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000000">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000000">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000000">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000000">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000000">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000000">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000000">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000000">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000000">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141A156B" w14:textId="77777777" w:rsidR="00517AF9" w:rsidRDefault="00000000">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000000">
      <w:pPr>
        <w:pStyle w:val="EmailDiscussion2"/>
      </w:pPr>
      <w:r>
        <w:tab/>
        <w:t>Intended outcome: Report</w:t>
      </w:r>
    </w:p>
    <w:p w14:paraId="6CA1DA2F" w14:textId="77777777" w:rsidR="00517AF9" w:rsidRDefault="00000000">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000000">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af5"/>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000000">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000000">
            <w:pPr>
              <w:pStyle w:val="a9"/>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000000">
            <w:pPr>
              <w:jc w:val="left"/>
              <w:rPr>
                <w:sz w:val="20"/>
                <w:lang w:val="de-DE"/>
              </w:rPr>
            </w:pPr>
            <w:r>
              <w:rPr>
                <w:sz w:val="20"/>
                <w:lang w:val="de-DE"/>
              </w:rPr>
              <w:t>Qualcomm</w:t>
            </w:r>
          </w:p>
        </w:tc>
        <w:tc>
          <w:tcPr>
            <w:tcW w:w="5838" w:type="dxa"/>
          </w:tcPr>
          <w:p w14:paraId="3CF2B9C0" w14:textId="77777777" w:rsidR="00517AF9" w:rsidRDefault="00000000">
            <w:pPr>
              <w:jc w:val="left"/>
              <w:rPr>
                <w:sz w:val="20"/>
              </w:rPr>
            </w:pPr>
            <w:proofErr w:type="spellStart"/>
            <w:r>
              <w:rPr>
                <w:sz w:val="20"/>
              </w:rPr>
              <w:t>Ozcan</w:t>
            </w:r>
            <w:proofErr w:type="spellEnd"/>
            <w:r>
              <w:rPr>
                <w:sz w:val="20"/>
              </w:rPr>
              <w:t xml:space="preserve"> Ozturk, oozturk@qti.qualcomm.com</w:t>
            </w:r>
          </w:p>
        </w:tc>
      </w:tr>
      <w:tr w:rsidR="00517AF9" w14:paraId="056029F7" w14:textId="77777777">
        <w:tc>
          <w:tcPr>
            <w:tcW w:w="2515" w:type="dxa"/>
          </w:tcPr>
          <w:p w14:paraId="3BDEECB3" w14:textId="77777777" w:rsidR="00517AF9" w:rsidRDefault="00000000">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000000">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14:paraId="532A86BB" w14:textId="77777777">
        <w:tc>
          <w:tcPr>
            <w:tcW w:w="2515" w:type="dxa"/>
          </w:tcPr>
          <w:p w14:paraId="55368F05" w14:textId="77777777" w:rsidR="00517AF9" w:rsidRDefault="00000000">
            <w:pPr>
              <w:jc w:val="left"/>
              <w:rPr>
                <w:sz w:val="20"/>
                <w:lang w:val="en-US"/>
              </w:rPr>
            </w:pPr>
            <w:r>
              <w:rPr>
                <w:rFonts w:hint="eastAsia"/>
                <w:sz w:val="20"/>
                <w:lang w:val="en-US"/>
              </w:rPr>
              <w:t>ZTE</w:t>
            </w:r>
          </w:p>
        </w:tc>
        <w:tc>
          <w:tcPr>
            <w:tcW w:w="5838" w:type="dxa"/>
          </w:tcPr>
          <w:p w14:paraId="291985B0" w14:textId="77777777" w:rsidR="00517AF9" w:rsidRDefault="00000000">
            <w:pPr>
              <w:jc w:val="left"/>
              <w:rPr>
                <w:rFonts w:eastAsia="PMingLiU"/>
                <w:sz w:val="20"/>
                <w:lang w:val="it-IT" w:eastAsia="zh-TW"/>
              </w:rPr>
            </w:pPr>
            <w:r>
              <w:rPr>
                <w:rFonts w:hint="eastAsia"/>
                <w:sz w:val="20"/>
                <w:lang w:val="de-DE"/>
              </w:rPr>
              <w:t>Mengjie Zhang, zhang.mengjie@zte.com.cn</w:t>
            </w:r>
          </w:p>
        </w:tc>
      </w:tr>
      <w:tr w:rsidR="00517AF9" w14:paraId="36597E8A" w14:textId="77777777">
        <w:tc>
          <w:tcPr>
            <w:tcW w:w="2515" w:type="dxa"/>
          </w:tcPr>
          <w:p w14:paraId="217F8CF3" w14:textId="77777777" w:rsidR="00517AF9" w:rsidRDefault="00000000">
            <w:pPr>
              <w:jc w:val="left"/>
              <w:rPr>
                <w:sz w:val="20"/>
                <w:lang w:val="en-US"/>
              </w:rPr>
            </w:pPr>
            <w:r>
              <w:rPr>
                <w:sz w:val="20"/>
                <w:lang w:val="en-US"/>
              </w:rPr>
              <w:t>Panasonic</w:t>
            </w:r>
          </w:p>
        </w:tc>
        <w:tc>
          <w:tcPr>
            <w:tcW w:w="5838" w:type="dxa"/>
          </w:tcPr>
          <w:p w14:paraId="354F1806" w14:textId="77777777" w:rsidR="00517AF9" w:rsidRDefault="00000000">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000000">
            <w:pPr>
              <w:jc w:val="left"/>
              <w:rPr>
                <w:sz w:val="20"/>
                <w:lang w:val="en-US"/>
              </w:rPr>
            </w:pPr>
            <w:r>
              <w:rPr>
                <w:sz w:val="20"/>
                <w:lang w:val="en-US"/>
              </w:rPr>
              <w:t>Apple</w:t>
            </w:r>
          </w:p>
        </w:tc>
        <w:tc>
          <w:tcPr>
            <w:tcW w:w="5838" w:type="dxa"/>
          </w:tcPr>
          <w:p w14:paraId="2E58764A" w14:textId="77777777" w:rsidR="00517AF9" w:rsidRDefault="00000000">
            <w:pPr>
              <w:jc w:val="left"/>
              <w:rPr>
                <w:sz w:val="20"/>
                <w:lang w:val="de-DE"/>
              </w:rPr>
            </w:pPr>
            <w:r>
              <w:rPr>
                <w:sz w:val="20"/>
                <w:lang w:val="de-DE"/>
              </w:rPr>
              <w:t>Naveen Palle naveen.palle at apple</w:t>
            </w:r>
          </w:p>
        </w:tc>
      </w:tr>
      <w:tr w:rsidR="00517AF9" w14:paraId="56BA1E2C" w14:textId="77777777">
        <w:tc>
          <w:tcPr>
            <w:tcW w:w="2515" w:type="dxa"/>
          </w:tcPr>
          <w:p w14:paraId="3A727EE2" w14:textId="77777777" w:rsidR="00517AF9" w:rsidRDefault="00000000">
            <w:pPr>
              <w:jc w:val="left"/>
              <w:rPr>
                <w:sz w:val="20"/>
                <w:lang w:val="en-US"/>
              </w:rPr>
            </w:pPr>
            <w:r>
              <w:rPr>
                <w:rFonts w:hint="eastAsia"/>
                <w:sz w:val="20"/>
                <w:lang w:val="en-US"/>
              </w:rPr>
              <w:t>CATT</w:t>
            </w:r>
          </w:p>
        </w:tc>
        <w:tc>
          <w:tcPr>
            <w:tcW w:w="5838" w:type="dxa"/>
          </w:tcPr>
          <w:p w14:paraId="557A7A7E" w14:textId="77777777" w:rsidR="00517AF9" w:rsidRDefault="00000000">
            <w:pPr>
              <w:jc w:val="left"/>
              <w:rPr>
                <w:sz w:val="20"/>
                <w:lang w:val="de-DE"/>
              </w:rPr>
            </w:pPr>
            <w:r>
              <w:rPr>
                <w:rFonts w:hint="eastAsia"/>
                <w:sz w:val="20"/>
                <w:lang w:val="de-DE"/>
              </w:rPr>
              <w:t>Bufang Zhang, zhangbufang@catt.cn</w:t>
            </w:r>
          </w:p>
        </w:tc>
      </w:tr>
      <w:tr w:rsidR="00517AF9" w14:paraId="4FBA647A" w14:textId="77777777">
        <w:tc>
          <w:tcPr>
            <w:tcW w:w="2515" w:type="dxa"/>
          </w:tcPr>
          <w:p w14:paraId="3D245520" w14:textId="77777777" w:rsidR="00517AF9" w:rsidRDefault="00000000">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000000">
            <w:pPr>
              <w:jc w:val="left"/>
              <w:rPr>
                <w:sz w:val="20"/>
                <w:lang w:val="de-DE"/>
              </w:rPr>
            </w:pPr>
            <w:r>
              <w:rPr>
                <w:sz w:val="20"/>
                <w:lang w:val="de-DE"/>
              </w:rPr>
              <w:t xml:space="preserve">Jialin Zou, </w:t>
            </w:r>
            <w:r>
              <w:fldChar w:fldCharType="begin"/>
            </w:r>
            <w:r>
              <w:instrText xml:space="preserve"> HYPERLINK "mailto:jialinzou88@yahoo.com" </w:instrText>
            </w:r>
            <w:r>
              <w:fldChar w:fldCharType="separate"/>
            </w:r>
            <w:r>
              <w:rPr>
                <w:rStyle w:val="af9"/>
                <w:sz w:val="20"/>
                <w:lang w:val="de-DE"/>
              </w:rPr>
              <w:t>jialinzou88@yahoo.com</w:t>
            </w:r>
            <w:r>
              <w:rPr>
                <w:rStyle w:val="af9"/>
                <w:sz w:val="20"/>
                <w:lang w:val="de-DE"/>
              </w:rPr>
              <w:fldChar w:fldCharType="end"/>
            </w:r>
          </w:p>
        </w:tc>
      </w:tr>
      <w:tr w:rsidR="00517AF9" w14:paraId="3E88CEB7" w14:textId="77777777">
        <w:tc>
          <w:tcPr>
            <w:tcW w:w="2515" w:type="dxa"/>
          </w:tcPr>
          <w:p w14:paraId="3CAD836C" w14:textId="77777777" w:rsidR="00517AF9" w:rsidRDefault="00000000">
            <w:pPr>
              <w:jc w:val="left"/>
              <w:rPr>
                <w:sz w:val="20"/>
                <w:lang w:val="en-US"/>
              </w:rPr>
            </w:pPr>
            <w:r>
              <w:rPr>
                <w:sz w:val="20"/>
                <w:lang w:val="en-US"/>
              </w:rPr>
              <w:t>Lenovo</w:t>
            </w:r>
          </w:p>
        </w:tc>
        <w:tc>
          <w:tcPr>
            <w:tcW w:w="5838" w:type="dxa"/>
          </w:tcPr>
          <w:p w14:paraId="67979DAC" w14:textId="77777777" w:rsidR="00517AF9" w:rsidRDefault="00000000">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000000">
            <w:pPr>
              <w:jc w:val="left"/>
              <w:rPr>
                <w:sz w:val="20"/>
              </w:rPr>
            </w:pPr>
            <w:r>
              <w:rPr>
                <w:rFonts w:hint="eastAsia"/>
                <w:sz w:val="20"/>
              </w:rPr>
              <w:t>O</w:t>
            </w:r>
            <w:r>
              <w:rPr>
                <w:sz w:val="20"/>
              </w:rPr>
              <w:t>PPO</w:t>
            </w:r>
          </w:p>
        </w:tc>
        <w:tc>
          <w:tcPr>
            <w:tcW w:w="5838" w:type="dxa"/>
          </w:tcPr>
          <w:p w14:paraId="3B512D7C" w14:textId="77777777" w:rsidR="00517AF9" w:rsidRDefault="00000000">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000000">
            <w:pPr>
              <w:jc w:val="left"/>
              <w:rPr>
                <w:sz w:val="20"/>
              </w:rPr>
            </w:pPr>
            <w:r>
              <w:rPr>
                <w:rFonts w:hint="eastAsia"/>
                <w:sz w:val="20"/>
                <w:lang w:val="en-US"/>
              </w:rPr>
              <w:t>Xiaomi</w:t>
            </w:r>
          </w:p>
        </w:tc>
        <w:tc>
          <w:tcPr>
            <w:tcW w:w="5838" w:type="dxa"/>
          </w:tcPr>
          <w:p w14:paraId="66F81528" w14:textId="77777777" w:rsidR="00517AF9" w:rsidRDefault="00000000">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000000">
            <w:pPr>
              <w:jc w:val="left"/>
              <w:rPr>
                <w:sz w:val="20"/>
              </w:rPr>
            </w:pPr>
            <w:r>
              <w:rPr>
                <w:sz w:val="20"/>
              </w:rPr>
              <w:t>Vivo</w:t>
            </w:r>
          </w:p>
        </w:tc>
        <w:tc>
          <w:tcPr>
            <w:tcW w:w="5838" w:type="dxa"/>
          </w:tcPr>
          <w:p w14:paraId="78CA36BD" w14:textId="77777777" w:rsidR="00517AF9" w:rsidRDefault="00000000">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000000">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000000">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000000">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000000">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bl>
    <w:p w14:paraId="54C7EB70" w14:textId="77777777" w:rsidR="00517AF9" w:rsidRPr="001A5F22"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000000">
      <w:pPr>
        <w:pStyle w:val="1"/>
        <w:numPr>
          <w:ilvl w:val="0"/>
          <w:numId w:val="3"/>
        </w:numPr>
        <w:jc w:val="left"/>
        <w:rPr>
          <w:rFonts w:ascii="Times New Roman" w:hAnsi="Times New Roman"/>
        </w:rPr>
      </w:pPr>
      <w:r>
        <w:rPr>
          <w:rFonts w:ascii="Times New Roman" w:hAnsi="Times New Roman"/>
        </w:rPr>
        <w:t>Discussion</w:t>
      </w:r>
    </w:p>
    <w:p w14:paraId="5783D13F" w14:textId="77777777" w:rsidR="00517AF9" w:rsidRDefault="00000000">
      <w:pPr>
        <w:pStyle w:val="20"/>
        <w:numPr>
          <w:ilvl w:val="0"/>
          <w:numId w:val="5"/>
        </w:numPr>
        <w:jc w:val="left"/>
        <w:rPr>
          <w:lang w:val="en-US"/>
        </w:rPr>
      </w:pPr>
      <w:r>
        <w:rPr>
          <w:lang w:val="en-US"/>
        </w:rPr>
        <w:t>Location of measurement config</w:t>
      </w:r>
    </w:p>
    <w:p w14:paraId="76FF4D14" w14:textId="77777777" w:rsidR="00517AF9" w:rsidRDefault="00000000">
      <w:pPr>
        <w:jc w:val="left"/>
        <w:rPr>
          <w:sz w:val="20"/>
          <w:szCs w:val="18"/>
        </w:rPr>
      </w:pPr>
      <w:r>
        <w:rPr>
          <w:sz w:val="20"/>
          <w:szCs w:val="18"/>
        </w:rPr>
        <w:t>We can divide the measurement configuration into three parts, similar to L3 measurements:</w:t>
      </w:r>
    </w:p>
    <w:p w14:paraId="3B3CE763" w14:textId="77777777" w:rsidR="00517AF9" w:rsidRDefault="00000000">
      <w:pPr>
        <w:pStyle w:val="afb"/>
        <w:numPr>
          <w:ilvl w:val="1"/>
          <w:numId w:val="6"/>
        </w:numPr>
        <w:jc w:val="left"/>
        <w:rPr>
          <w:sz w:val="20"/>
          <w:szCs w:val="18"/>
        </w:rPr>
      </w:pPr>
      <w:r>
        <w:rPr>
          <w:sz w:val="20"/>
          <w:szCs w:val="18"/>
        </w:rPr>
        <w:lastRenderedPageBreak/>
        <w:t>What to measure (measurement object in L3)</w:t>
      </w:r>
    </w:p>
    <w:p w14:paraId="2A8582D4" w14:textId="77777777" w:rsidR="00517AF9" w:rsidRDefault="00000000">
      <w:pPr>
        <w:pStyle w:val="afb"/>
        <w:numPr>
          <w:ilvl w:val="1"/>
          <w:numId w:val="6"/>
        </w:numPr>
        <w:jc w:val="left"/>
        <w:rPr>
          <w:sz w:val="20"/>
          <w:szCs w:val="18"/>
        </w:rPr>
      </w:pPr>
      <w:r>
        <w:rPr>
          <w:sz w:val="20"/>
          <w:szCs w:val="18"/>
        </w:rPr>
        <w:t>How to measure (quantity configuration in L3)</w:t>
      </w:r>
    </w:p>
    <w:p w14:paraId="5EF8CBE4" w14:textId="77777777" w:rsidR="00517AF9" w:rsidRDefault="00000000">
      <w:pPr>
        <w:pStyle w:val="afb"/>
        <w:numPr>
          <w:ilvl w:val="1"/>
          <w:numId w:val="6"/>
        </w:numPr>
        <w:jc w:val="left"/>
        <w:rPr>
          <w:sz w:val="20"/>
          <w:szCs w:val="18"/>
        </w:rPr>
      </w:pPr>
      <w:r>
        <w:rPr>
          <w:sz w:val="20"/>
          <w:szCs w:val="18"/>
        </w:rPr>
        <w:t>When to report (report configuration in L3)</w:t>
      </w:r>
    </w:p>
    <w:p w14:paraId="09B2D19C" w14:textId="77777777" w:rsidR="00517AF9" w:rsidRDefault="00000000">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2C1FF0BD" w14:textId="77777777" w:rsidR="00517AF9" w:rsidRDefault="00000000">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000000">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000000">
      <w:pPr>
        <w:pStyle w:val="afb"/>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000000">
      <w:pPr>
        <w:pStyle w:val="afb"/>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000000">
      <w:pPr>
        <w:pStyle w:val="afb"/>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000000">
      <w:pPr>
        <w:rPr>
          <w:sz w:val="20"/>
          <w:szCs w:val="18"/>
        </w:rPr>
      </w:pPr>
      <w:r>
        <w:rPr>
          <w:sz w:val="20"/>
          <w:szCs w:val="18"/>
        </w:rPr>
        <w:t>RAN1#112 has also discussed three configuration options for the SSB-based L1 measurement RS configurations:</w:t>
      </w:r>
    </w:p>
    <w:p w14:paraId="11DFA322" w14:textId="77777777" w:rsidR="00517AF9" w:rsidRDefault="00000000">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000000">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77777777" w:rsidR="00517AF9" w:rsidRDefault="00000000">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6C87881D" w14:textId="77777777" w:rsidR="00517AF9" w:rsidRDefault="00517AF9">
      <w:pPr>
        <w:jc w:val="left"/>
        <w:rPr>
          <w:sz w:val="20"/>
          <w:szCs w:val="18"/>
        </w:rPr>
      </w:pPr>
    </w:p>
    <w:p w14:paraId="267DB114" w14:textId="77777777" w:rsidR="00517AF9" w:rsidRDefault="00000000">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3EFF1F83" w14:textId="77777777" w:rsidR="00517AF9" w:rsidRDefault="00000000">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000000">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000000">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000000">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000000">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000000">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000000">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000000">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w:t>
            </w:r>
            <w:r>
              <w:rPr>
                <w:rFonts w:hint="eastAsia"/>
                <w:sz w:val="20"/>
                <w:szCs w:val="18"/>
                <w:lang w:val="en-US"/>
              </w:rPr>
              <w:lastRenderedPageBreak/>
              <w:t xml:space="preserve">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000000">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000000">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000000">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000000">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000000">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000000">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000000">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000000">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000000">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000000">
            <w:pPr>
              <w:spacing w:after="180"/>
              <w:jc w:val="left"/>
              <w:rPr>
                <w:sz w:val="20"/>
                <w:szCs w:val="18"/>
                <w:lang w:val="en-US"/>
              </w:rPr>
            </w:pPr>
            <w:r>
              <w:rPr>
                <w:rFonts w:eastAsia="等线"/>
                <w:sz w:val="20"/>
                <w:szCs w:val="18"/>
              </w:rPr>
              <w:t>F</w:t>
            </w:r>
            <w:r>
              <w:rPr>
                <w:rFonts w:eastAsia="等线" w:hint="eastAsia"/>
                <w:sz w:val="20"/>
                <w:szCs w:val="18"/>
              </w:rPr>
              <w:t xml:space="preserve">or option 1, it cannot work for subsequent LTM case, since </w:t>
            </w:r>
            <w:r>
              <w:rPr>
                <w:rFonts w:eastAsia="等线"/>
                <w:sz w:val="20"/>
                <w:szCs w:val="18"/>
              </w:rPr>
              <w:t>according</w:t>
            </w:r>
            <w:r>
              <w:rPr>
                <w:rFonts w:eastAsia="等线" w:hint="eastAsia"/>
                <w:sz w:val="20"/>
                <w:szCs w:val="18"/>
              </w:rPr>
              <w:t xml:space="preserve"> to legacy procedure, if the L1 measurement RS configuration is configured only in the serving cell configuration, then the L1 measurement RS </w:t>
            </w:r>
            <w:r>
              <w:rPr>
                <w:rFonts w:eastAsia="等线"/>
                <w:sz w:val="20"/>
                <w:szCs w:val="18"/>
              </w:rPr>
              <w:t>configuration</w:t>
            </w:r>
            <w:r>
              <w:rPr>
                <w:rFonts w:eastAsia="等线"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000000">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000000">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000000">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000000">
            <w:pPr>
              <w:spacing w:after="180"/>
              <w:jc w:val="left"/>
              <w:rPr>
                <w:rFonts w:eastAsia="等线"/>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000000">
            <w:pPr>
              <w:jc w:val="left"/>
              <w:rPr>
                <w:rFonts w:eastAsia="等线"/>
                <w:sz w:val="20"/>
                <w:szCs w:val="18"/>
              </w:rPr>
            </w:pPr>
            <w:r>
              <w:rPr>
                <w:rFonts w:eastAsia="等线" w:hint="eastAsia"/>
                <w:sz w:val="20"/>
                <w:szCs w:val="18"/>
              </w:rPr>
              <w:t>O</w:t>
            </w:r>
            <w:r>
              <w:rPr>
                <w:rFonts w:eastAsia="等线"/>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000000">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000000">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000000">
            <w:pPr>
              <w:jc w:val="left"/>
              <w:rPr>
                <w:rFonts w:eastAsia="等线"/>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000000">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000000">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000000">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000000">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w:t>
            </w:r>
            <w:proofErr w:type="gramStart"/>
            <w:r>
              <w:rPr>
                <w:sz w:val="20"/>
                <w:szCs w:val="18"/>
              </w:rPr>
              <w:t>i.e.</w:t>
            </w:r>
            <w:proofErr w:type="gramEnd"/>
            <w:r>
              <w:rPr>
                <w:sz w:val="20"/>
                <w:szCs w:val="18"/>
              </w:rPr>
              <w:t xml:space="preserve"> </w:t>
            </w:r>
            <w:proofErr w:type="spellStart"/>
            <w:r>
              <w:rPr>
                <w:sz w:val="20"/>
                <w:szCs w:val="18"/>
              </w:rPr>
              <w:t>csi-MeasConfig</w:t>
            </w:r>
            <w:proofErr w:type="spellEnd"/>
            <w:r>
              <w:rPr>
                <w:sz w:val="20"/>
                <w:szCs w:val="18"/>
              </w:rPr>
              <w:t xml:space="preserve">.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 xml:space="preserve">legacy </w:t>
            </w:r>
            <w:proofErr w:type="spellStart"/>
            <w:r>
              <w:rPr>
                <w:sz w:val="20"/>
                <w:szCs w:val="18"/>
              </w:rPr>
              <w:t>csi-MeasConfig</w:t>
            </w:r>
            <w:proofErr w:type="spellEnd"/>
            <w:r>
              <w:rPr>
                <w:sz w:val="20"/>
                <w:szCs w:val="18"/>
              </w:rPr>
              <w:t xml:space="preserve"> configuration of serving cell</w:t>
            </w:r>
            <w:r>
              <w:rPr>
                <w:rFonts w:hint="eastAsia"/>
                <w:sz w:val="20"/>
                <w:szCs w:val="18"/>
              </w:rPr>
              <w:t xml:space="preserve"> needs 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000000">
            <w:pPr>
              <w:spacing w:after="180"/>
              <w:jc w:val="left"/>
              <w:rPr>
                <w:sz w:val="20"/>
                <w:szCs w:val="18"/>
              </w:rPr>
            </w:pPr>
            <w:r>
              <w:rPr>
                <w:rFonts w:hint="eastAsia"/>
                <w:sz w:val="20"/>
                <w:szCs w:val="18"/>
              </w:rPr>
              <w:t xml:space="preserve">If yes, we prefer option3, which keeps the legacy design, </w:t>
            </w:r>
            <w:proofErr w:type="gramStart"/>
            <w:r>
              <w:rPr>
                <w:rFonts w:hint="eastAsia"/>
                <w:sz w:val="20"/>
                <w:szCs w:val="18"/>
              </w:rPr>
              <w:t>i.e.</w:t>
            </w:r>
            <w:proofErr w:type="gramEnd"/>
            <w:r>
              <w:rPr>
                <w:rFonts w:hint="eastAsia"/>
                <w:sz w:val="20"/>
                <w:szCs w:val="18"/>
              </w:rPr>
              <w:t xml:space="preserv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000000">
            <w:pPr>
              <w:spacing w:after="180"/>
              <w:jc w:val="left"/>
              <w:rPr>
                <w:sz w:val="20"/>
                <w:szCs w:val="18"/>
              </w:rPr>
            </w:pPr>
            <w:r>
              <w:rPr>
                <w:rFonts w:hint="eastAsia"/>
                <w:sz w:val="20"/>
                <w:szCs w:val="18"/>
              </w:rPr>
              <w:lastRenderedPageBreak/>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000000">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000000">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000000">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000000">
            <w:pPr>
              <w:spacing w:after="180"/>
              <w:jc w:val="left"/>
              <w:rPr>
                <w:sz w:val="20"/>
                <w:szCs w:val="18"/>
              </w:rPr>
            </w:pPr>
            <w:proofErr w:type="gramStart"/>
            <w:r>
              <w:rPr>
                <w:sz w:val="20"/>
                <w:szCs w:val="18"/>
              </w:rPr>
              <w:t>But,</w:t>
            </w:r>
            <w:proofErr w:type="gramEnd"/>
            <w:r>
              <w:rPr>
                <w:sz w:val="20"/>
                <w:szCs w:val="18"/>
              </w:rPr>
              <w:t xml:space="preserve">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000000">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000000">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000000">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000000">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000000">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000000">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000000">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000000">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bl>
    <w:p w14:paraId="754B8B90" w14:textId="77777777" w:rsidR="00517AF9" w:rsidRPr="00AD0E91" w:rsidRDefault="00517AF9">
      <w:pPr>
        <w:jc w:val="left"/>
        <w:rPr>
          <w:sz w:val="20"/>
          <w:szCs w:val="18"/>
        </w:rPr>
      </w:pPr>
    </w:p>
    <w:p w14:paraId="6E3606ED" w14:textId="77777777"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000000">
      <w:pPr>
        <w:tabs>
          <w:tab w:val="left" w:pos="1152"/>
        </w:tabs>
        <w:jc w:val="left"/>
        <w:rPr>
          <w:sz w:val="20"/>
        </w:rPr>
      </w:pPr>
      <w:r>
        <w:rPr>
          <w:sz w:val="20"/>
        </w:rPr>
        <w:t>From RAN1 LS:</w:t>
      </w:r>
    </w:p>
    <w:p w14:paraId="6A4A357F" w14:textId="77777777" w:rsidR="00517AF9" w:rsidRDefault="00000000">
      <w:pPr>
        <w:tabs>
          <w:tab w:val="left" w:pos="1152"/>
        </w:tabs>
        <w:jc w:val="left"/>
        <w:rPr>
          <w:i/>
          <w:iCs/>
          <w:sz w:val="20"/>
        </w:rPr>
      </w:pPr>
      <w:r>
        <w:rPr>
          <w:bCs/>
          <w:i/>
          <w:iCs/>
          <w:sz w:val="20"/>
          <w:lang w:val="en-US"/>
        </w:rPr>
        <w:lastRenderedPageBreak/>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000000">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000000">
      <w:pPr>
        <w:jc w:val="left"/>
        <w:rPr>
          <w:b/>
          <w:bCs/>
          <w:sz w:val="20"/>
          <w:szCs w:val="18"/>
        </w:rPr>
      </w:pPr>
      <w:r>
        <w:rPr>
          <w:b/>
          <w:bCs/>
          <w:sz w:val="20"/>
          <w:szCs w:val="18"/>
        </w:rPr>
        <w:t xml:space="preserve">Question A2: Should the location of “TCI state pools” for the candidate cells be same as the location of “L1 measurement object”, </w:t>
      </w:r>
      <w:proofErr w:type="gramStart"/>
      <w:r>
        <w:rPr>
          <w:b/>
          <w:bCs/>
          <w:sz w:val="20"/>
          <w:szCs w:val="18"/>
        </w:rPr>
        <w:t>i.e.</w:t>
      </w:r>
      <w:proofErr w:type="gramEnd"/>
      <w:r>
        <w:rPr>
          <w:b/>
          <w:bCs/>
          <w:sz w:val="20"/>
          <w:szCs w:val="18"/>
        </w:rPr>
        <w:t xml:space="preserv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000000">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000000">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000000">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000000">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000000">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000000">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000000">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000000">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000000">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000000">
            <w:pPr>
              <w:spacing w:after="180"/>
              <w:jc w:val="left"/>
              <w:rPr>
                <w:rFonts w:eastAsia="等线"/>
                <w:sz w:val="20"/>
                <w:szCs w:val="18"/>
              </w:rPr>
            </w:pPr>
            <w:r>
              <w:rPr>
                <w:rFonts w:eastAsia="等线"/>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000000">
            <w:pPr>
              <w:jc w:val="left"/>
              <w:rPr>
                <w:rFonts w:eastAsia="等线"/>
                <w:sz w:val="20"/>
                <w:szCs w:val="18"/>
              </w:rPr>
            </w:pPr>
            <w:r>
              <w:rPr>
                <w:rFonts w:eastAsia="等线"/>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000000">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000000">
            <w:pPr>
              <w:jc w:val="left"/>
              <w:rPr>
                <w:rFonts w:eastAsia="等线"/>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000000">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000000">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000000">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000000">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000000">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000000">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000000">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bl>
    <w:p w14:paraId="43FB62E4" w14:textId="77777777" w:rsidR="00517AF9" w:rsidRDefault="00517AF9">
      <w:pPr>
        <w:jc w:val="left"/>
        <w:rPr>
          <w:sz w:val="20"/>
          <w:szCs w:val="18"/>
        </w:rPr>
      </w:pPr>
    </w:p>
    <w:p w14:paraId="1E0D8FE9" w14:textId="77777777"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000000">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000000">
      <w:pPr>
        <w:pStyle w:val="20"/>
        <w:numPr>
          <w:ilvl w:val="0"/>
          <w:numId w:val="5"/>
        </w:numPr>
        <w:jc w:val="left"/>
        <w:rPr>
          <w:lang w:val="en-US"/>
        </w:rPr>
      </w:pPr>
      <w:r>
        <w:rPr>
          <w:lang w:val="en-US"/>
        </w:rPr>
        <w:lastRenderedPageBreak/>
        <w:t>Measurement triggering and reporting</w:t>
      </w:r>
    </w:p>
    <w:p w14:paraId="27F19885" w14:textId="77777777" w:rsidR="00517AF9" w:rsidRDefault="00000000">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000000">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000000">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000000">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000000">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000000">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000000">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000000">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000000">
            <w:pPr>
              <w:spacing w:after="180"/>
              <w:jc w:val="left"/>
              <w:rPr>
                <w:sz w:val="20"/>
                <w:szCs w:val="18"/>
              </w:rPr>
            </w:pPr>
            <w:r>
              <w:rPr>
                <w:sz w:val="20"/>
                <w:szCs w:val="18"/>
              </w:rPr>
              <w:t>Since UE reports measurement results to the serving cell, the reporting configuration should be applied to the serving cell (</w:t>
            </w:r>
            <w:proofErr w:type="gramStart"/>
            <w:r>
              <w:rPr>
                <w:sz w:val="20"/>
                <w:szCs w:val="18"/>
              </w:rPr>
              <w:t>e.g.</w:t>
            </w:r>
            <w:proofErr w:type="gramEnd"/>
            <w:r>
              <w:rPr>
                <w:sz w:val="20"/>
                <w:szCs w:val="18"/>
              </w:rPr>
              <w:t xml:space="preserve">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000000">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000000">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000000">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000000">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000000">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000000">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proofErr w:type="gram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000000">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000000">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000000">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000000">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lastRenderedPageBreak/>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000000">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000000">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000000">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000000">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000000">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000000">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000000">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000000">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000000">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000000">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000000">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000000">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000000">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xml:space="preserve">. Report config should be provided per serving(candidate) cell, as the UL resources is configured per serving cell, </w:t>
            </w:r>
            <w:proofErr w:type="gramStart"/>
            <w:r>
              <w:rPr>
                <w:sz w:val="20"/>
                <w:szCs w:val="18"/>
              </w:rPr>
              <w:t>i.e.</w:t>
            </w:r>
            <w:proofErr w:type="gramEnd"/>
            <w:r>
              <w:rPr>
                <w:sz w:val="20"/>
                <w:szCs w:val="18"/>
              </w:rPr>
              <w:t xml:space="preserv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000000">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000000">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000000">
            <w:pPr>
              <w:spacing w:after="180"/>
              <w:jc w:val="left"/>
              <w:rPr>
                <w:sz w:val="20"/>
                <w:szCs w:val="18"/>
              </w:rPr>
            </w:pPr>
            <w:r>
              <w:rPr>
                <w:sz w:val="20"/>
                <w:szCs w:val="18"/>
              </w:rPr>
              <w:t xml:space="preserve">Share the same view with CATT. For subsequent LTM, the L1 measurement reporting configuration can be included in the LTM candidate configuration, </w:t>
            </w:r>
            <w:r>
              <w:rPr>
                <w:sz w:val="20"/>
                <w:szCs w:val="18"/>
              </w:rPr>
              <w:lastRenderedPageBreak/>
              <w:t>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000000">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000000">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000000">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000000">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000000">
            <w:pPr>
              <w:spacing w:after="180"/>
              <w:jc w:val="left"/>
              <w:rPr>
                <w:sz w:val="20"/>
                <w:szCs w:val="18"/>
              </w:rPr>
            </w:pPr>
            <w:r>
              <w:rPr>
                <w:rFonts w:hint="eastAsia"/>
                <w:sz w:val="20"/>
                <w:szCs w:val="18"/>
              </w:rPr>
              <w:t>I</w:t>
            </w:r>
            <w:r>
              <w:rPr>
                <w:sz w:val="20"/>
                <w:szCs w:val="18"/>
              </w:rPr>
              <w:t xml:space="preserve">n case it was agreed the measurement results will be reported via L1, the corresponding configuration could be configured in serving cell configuration. Otherwise, </w:t>
            </w:r>
            <w:proofErr w:type="gramStart"/>
            <w:r>
              <w:rPr>
                <w:sz w:val="20"/>
                <w:szCs w:val="18"/>
              </w:rPr>
              <w:t>i.e.</w:t>
            </w:r>
            <w:proofErr w:type="gramEnd"/>
            <w:r>
              <w:rPr>
                <w:sz w:val="20"/>
                <w:szCs w:val="18"/>
              </w:rPr>
              <w:t xml:space="preserv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000000">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000000">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000000">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000000">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000000">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000000">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000000">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w:t>
            </w:r>
            <w:proofErr w:type="spellStart"/>
            <w:r w:rsidRPr="009A7426">
              <w:rPr>
                <w:sz w:val="20"/>
                <w:szCs w:val="18"/>
                <w:lang w:val="en-US"/>
              </w:rPr>
              <w:t>RRCReconfiguration</w:t>
            </w:r>
            <w:proofErr w:type="spellEnd"/>
            <w:r w:rsidRPr="009A7426">
              <w:rPr>
                <w:sz w:val="20"/>
                <w:szCs w:val="18"/>
                <w:lang w:val="en-US"/>
              </w:rPr>
              <w:t xml:space="preserve"> of candidate cell, i.e., this report configuration of the target cell could be used after the switch.</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000000">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000000">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4421303A" w14:textId="77777777" w:rsidR="00517AF9" w:rsidRDefault="00000000">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000000">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000000">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000000">
            <w:pPr>
              <w:spacing w:after="180"/>
              <w:jc w:val="left"/>
              <w:rPr>
                <w:rFonts w:eastAsia="PMingLiU"/>
                <w:sz w:val="20"/>
                <w:szCs w:val="18"/>
                <w:lang w:eastAsia="zh-TW"/>
              </w:rPr>
            </w:pPr>
            <w:r>
              <w:rPr>
                <w:rFonts w:eastAsia="PMingLiU" w:hint="eastAsia"/>
                <w:sz w:val="20"/>
                <w:szCs w:val="18"/>
                <w:lang w:eastAsia="zh-TW"/>
              </w:rPr>
              <w:lastRenderedPageBreak/>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000000">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000000">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000000">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000000">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000000">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000000">
            <w:pPr>
              <w:spacing w:after="180"/>
              <w:jc w:val="left"/>
              <w:rPr>
                <w:sz w:val="20"/>
                <w:szCs w:val="18"/>
                <w:lang w:val="en-US"/>
              </w:rPr>
            </w:pPr>
            <w:r>
              <w:rPr>
                <w:rFonts w:hint="eastAsia"/>
                <w:sz w:val="20"/>
                <w:szCs w:val="18"/>
                <w:lang w:val="en-US"/>
              </w:rPr>
              <w:t>Agree with NEC.</w:t>
            </w:r>
          </w:p>
          <w:p w14:paraId="0B2308FA" w14:textId="77777777" w:rsidR="00517AF9" w:rsidRDefault="00000000">
            <w:pPr>
              <w:spacing w:after="180"/>
              <w:jc w:val="left"/>
              <w:rPr>
                <w:sz w:val="20"/>
                <w:szCs w:val="18"/>
              </w:rPr>
            </w:pPr>
            <w:r>
              <w:rPr>
                <w:rFonts w:hint="eastAsia"/>
                <w:sz w:val="20"/>
                <w:szCs w:val="18"/>
                <w:lang w:val="en-US"/>
              </w:rPr>
              <w:t>Besides, if the report configuration is included in the serving cell configuration (</w:t>
            </w:r>
            <w:proofErr w:type="gramStart"/>
            <w:r>
              <w:rPr>
                <w:rFonts w:hint="eastAsia"/>
                <w:sz w:val="20"/>
                <w:szCs w:val="18"/>
                <w:lang w:val="en-US"/>
              </w:rPr>
              <w:t>i.e.</w:t>
            </w:r>
            <w:proofErr w:type="gramEnd"/>
            <w:r>
              <w:rPr>
                <w:rFonts w:hint="eastAsia"/>
                <w:sz w:val="20"/>
                <w:szCs w:val="18"/>
                <w:lang w:val="en-US"/>
              </w:rPr>
              <w:t xml:space="preserv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000000">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000000">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000000">
            <w:pPr>
              <w:spacing w:after="180"/>
              <w:jc w:val="left"/>
              <w:rPr>
                <w:sz w:val="20"/>
                <w:szCs w:val="18"/>
                <w:lang w:val="en-US"/>
              </w:rPr>
            </w:pPr>
            <w:r>
              <w:rPr>
                <w:sz w:val="20"/>
                <w:szCs w:val="18"/>
                <w:lang w:val="en-US"/>
              </w:rPr>
              <w:t xml:space="preserve">The reporting configuration, </w:t>
            </w:r>
            <w:proofErr w:type="gramStart"/>
            <w:r>
              <w:rPr>
                <w:sz w:val="20"/>
                <w:szCs w:val="18"/>
                <w:lang w:val="en-US"/>
              </w:rPr>
              <w:t>e.g.</w:t>
            </w:r>
            <w:proofErr w:type="gramEnd"/>
            <w:r>
              <w:rPr>
                <w:sz w:val="20"/>
                <w:szCs w:val="18"/>
                <w:lang w:val="en-US"/>
              </w:rPr>
              <w:t xml:space="preserve">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000000">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000000">
            <w:pPr>
              <w:jc w:val="left"/>
              <w:rPr>
                <w:rFonts w:eastAsia="等线"/>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000000">
            <w:pPr>
              <w:spacing w:after="180"/>
              <w:jc w:val="left"/>
              <w:rPr>
                <w:rFonts w:eastAsia="等线"/>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等线" w:hint="eastAsia"/>
                <w:sz w:val="20"/>
                <w:szCs w:val="18"/>
              </w:rPr>
              <w:t>referring to</w:t>
            </w:r>
            <w:r>
              <w:rPr>
                <w:rFonts w:eastAsia="等线"/>
                <w:sz w:val="20"/>
                <w:szCs w:val="18"/>
              </w:rPr>
              <w:t xml:space="preserve"> the </w:t>
            </w:r>
            <w:r>
              <w:rPr>
                <w:rFonts w:eastAsia="等线" w:hint="eastAsia"/>
                <w:sz w:val="20"/>
                <w:szCs w:val="18"/>
              </w:rPr>
              <w:t xml:space="preserve">L1 </w:t>
            </w:r>
            <w:r>
              <w:rPr>
                <w:rFonts w:eastAsia="等线"/>
                <w:sz w:val="20"/>
                <w:szCs w:val="18"/>
              </w:rPr>
              <w:t xml:space="preserve">measurement </w:t>
            </w:r>
            <w:r>
              <w:rPr>
                <w:rFonts w:eastAsia="等线" w:hint="eastAsia"/>
                <w:sz w:val="20"/>
                <w:szCs w:val="18"/>
              </w:rPr>
              <w:t xml:space="preserve">RS </w:t>
            </w:r>
            <w:r>
              <w:rPr>
                <w:rFonts w:eastAsia="等线"/>
                <w:sz w:val="20"/>
                <w:szCs w:val="18"/>
              </w:rPr>
              <w:t xml:space="preserve">configurations </w:t>
            </w:r>
            <w:r>
              <w:rPr>
                <w:rFonts w:eastAsia="等线" w:hint="eastAsia"/>
                <w:sz w:val="20"/>
                <w:szCs w:val="18"/>
              </w:rPr>
              <w:t xml:space="preserve">configured using above option 2. </w:t>
            </w:r>
            <w:r>
              <w:rPr>
                <w:rFonts w:eastAsia="PMingLiU" w:hint="eastAsia"/>
                <w:sz w:val="20"/>
                <w:szCs w:val="18"/>
              </w:rPr>
              <w:t xml:space="preserve">And </w:t>
            </w:r>
            <w:r>
              <w:rPr>
                <w:rFonts w:eastAsia="等线" w:hint="eastAsia"/>
                <w:sz w:val="20"/>
                <w:szCs w:val="18"/>
              </w:rPr>
              <w:t xml:space="preserve">as we </w:t>
            </w:r>
            <w:r>
              <w:rPr>
                <w:rFonts w:eastAsia="等线"/>
                <w:sz w:val="20"/>
                <w:szCs w:val="18"/>
              </w:rPr>
              <w:t>comment in Question B1</w:t>
            </w:r>
            <w:r>
              <w:rPr>
                <w:rFonts w:eastAsia="等线"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等线" w:hint="eastAsia"/>
                <w:sz w:val="20"/>
                <w:szCs w:val="18"/>
              </w:rPr>
              <w:t>referring to</w:t>
            </w:r>
            <w:r>
              <w:rPr>
                <w:rFonts w:eastAsia="等线"/>
                <w:sz w:val="20"/>
                <w:szCs w:val="18"/>
              </w:rPr>
              <w:t xml:space="preserve"> the </w:t>
            </w:r>
            <w:r>
              <w:rPr>
                <w:rFonts w:eastAsia="等线" w:hint="eastAsia"/>
                <w:sz w:val="20"/>
                <w:szCs w:val="18"/>
              </w:rPr>
              <w:t xml:space="preserve">L1 </w:t>
            </w:r>
            <w:r>
              <w:rPr>
                <w:rFonts w:eastAsia="等线"/>
                <w:sz w:val="20"/>
                <w:szCs w:val="18"/>
              </w:rPr>
              <w:t xml:space="preserve">measurement </w:t>
            </w:r>
            <w:r>
              <w:rPr>
                <w:rFonts w:eastAsia="等线" w:hint="eastAsia"/>
                <w:sz w:val="20"/>
                <w:szCs w:val="18"/>
              </w:rPr>
              <w:t xml:space="preserve">RS </w:t>
            </w:r>
            <w:r>
              <w:rPr>
                <w:rFonts w:eastAsia="等线"/>
                <w:sz w:val="20"/>
                <w:szCs w:val="18"/>
              </w:rPr>
              <w:t xml:space="preserve">configurations </w:t>
            </w:r>
            <w:r>
              <w:rPr>
                <w:rFonts w:eastAsia="等线"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000000">
            <w:pPr>
              <w:spacing w:after="180"/>
              <w:jc w:val="left"/>
              <w:rPr>
                <w:sz w:val="20"/>
                <w:szCs w:val="18"/>
                <w:lang w:val="en-US"/>
              </w:rPr>
            </w:pPr>
            <w:r>
              <w:rPr>
                <w:rFonts w:eastAsia="等线"/>
                <w:noProof/>
                <w:sz w:val="20"/>
                <w:szCs w:val="18"/>
                <w:lang w:val="en-US"/>
              </w:rPr>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000000">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000000">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000000">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000000">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000000">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000000">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000000">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000000">
            <w:pPr>
              <w:spacing w:after="180"/>
              <w:jc w:val="left"/>
              <w:rPr>
                <w:rFonts w:eastAsia="等线"/>
                <w:sz w:val="20"/>
                <w:szCs w:val="18"/>
              </w:rPr>
            </w:pPr>
            <w:r>
              <w:rPr>
                <w:rFonts w:eastAsia="等线" w:hint="eastAsia"/>
                <w:sz w:val="20"/>
                <w:szCs w:val="18"/>
              </w:rPr>
              <w:t>T</w:t>
            </w:r>
            <w:r>
              <w:rPr>
                <w:rFonts w:eastAsia="等线"/>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000000">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000000">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000000">
            <w:pPr>
              <w:spacing w:after="180"/>
              <w:jc w:val="left"/>
              <w:rPr>
                <w:rFonts w:eastAsia="等线"/>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000000">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000000">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000000">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000000">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000000">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000000">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000000">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000000">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000000">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000000">
            <w:pPr>
              <w:spacing w:after="180"/>
              <w:jc w:val="left"/>
              <w:rPr>
                <w:sz w:val="20"/>
                <w:szCs w:val="18"/>
                <w:lang w:val="en-US"/>
              </w:rPr>
            </w:pPr>
            <w:r>
              <w:rPr>
                <w:rFonts w:hint="eastAsia"/>
                <w:sz w:val="20"/>
                <w:szCs w:val="18"/>
                <w:lang w:val="en-US"/>
              </w:rPr>
              <w:t xml:space="preserve">As replied to Question A1,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bl>
    <w:p w14:paraId="153C65BB" w14:textId="77777777" w:rsidR="00517AF9" w:rsidRPr="00862138" w:rsidRDefault="00517AF9">
      <w:pPr>
        <w:jc w:val="left"/>
        <w:rPr>
          <w:sz w:val="20"/>
          <w:szCs w:val="18"/>
        </w:rPr>
      </w:pPr>
    </w:p>
    <w:p w14:paraId="49177EB7" w14:textId="77777777"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000000">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000000">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000000">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000000">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000000">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000000">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000000">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000000">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000000">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000000">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w:t>
            </w:r>
            <w:proofErr w:type="gramStart"/>
            <w:r>
              <w:rPr>
                <w:rFonts w:hint="eastAsia"/>
                <w:sz w:val="20"/>
                <w:szCs w:val="18"/>
                <w:lang w:val="en-US"/>
              </w:rPr>
              <w:t>e.g.</w:t>
            </w:r>
            <w:proofErr w:type="gramEnd"/>
            <w:r>
              <w:rPr>
                <w:rFonts w:hint="eastAsia"/>
                <w:sz w:val="20"/>
                <w:szCs w:val="18"/>
                <w:lang w:val="en-US"/>
              </w:rPr>
              <w:t xml:space="preserve"> MAC CE) to dynamically activate/select a subset of candidate cells or beams to be measured/reported, to prevent excessive and unnecessary measurement and reporting, e.g. for subsequent LTM.</w:t>
            </w:r>
          </w:p>
          <w:p w14:paraId="0D2B7650" w14:textId="77777777" w:rsidR="00517AF9" w:rsidRDefault="00000000">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000000">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000000">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000000">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000000">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Pr>
                <w:rFonts w:ascii="Times" w:hAnsi="Times"/>
                <w:sz w:val="20"/>
                <w:lang w:val="en-US"/>
              </w:rPr>
              <w:t>see</w:t>
            </w:r>
            <w:proofErr w:type="gramEnd"/>
            <w:r>
              <w:rPr>
                <w:rFonts w:ascii="Times" w:hAnsi="Times"/>
                <w:sz w:val="20"/>
                <w:lang w:val="en-US"/>
              </w:rPr>
              <w:t xml:space="preserv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w:t>
            </w:r>
            <w:proofErr w:type="gramStart"/>
            <w:r>
              <w:rPr>
                <w:rFonts w:ascii="Times" w:hAnsi="Times"/>
                <w:sz w:val="20"/>
                <w:lang w:val="en-US"/>
              </w:rPr>
              <w:t>see</w:t>
            </w:r>
            <w:proofErr w:type="gramEnd"/>
            <w:r>
              <w:rPr>
                <w:rFonts w:ascii="Times" w:hAnsi="Times"/>
                <w:sz w:val="20"/>
                <w:lang w:val="en-US"/>
              </w:rPr>
              <w:t xml:space="preserve"> NR UE FG 23-1-2).</w:t>
            </w:r>
          </w:p>
          <w:p w14:paraId="7A1ACE09" w14:textId="77777777" w:rsidR="00517AF9" w:rsidRDefault="00517AF9">
            <w:pPr>
              <w:spacing w:after="0"/>
              <w:rPr>
                <w:rFonts w:ascii="Times" w:hAnsi="Times"/>
                <w:sz w:val="20"/>
                <w:lang w:val="en-US"/>
              </w:rPr>
            </w:pPr>
          </w:p>
          <w:p w14:paraId="715F28BA" w14:textId="77777777" w:rsidR="00517AF9" w:rsidRDefault="00000000">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w:t>
            </w:r>
            <w:proofErr w:type="gramStart"/>
            <w:r>
              <w:rPr>
                <w:rFonts w:ascii="Times" w:hAnsi="Times"/>
                <w:sz w:val="20"/>
                <w:lang w:val="en-US"/>
              </w:rPr>
              <w:t>i.e.</w:t>
            </w:r>
            <w:proofErr w:type="gramEnd"/>
            <w:r>
              <w:rPr>
                <w:rFonts w:ascii="Times" w:hAnsi="Times"/>
                <w:sz w:val="20"/>
                <w:lang w:val="en-US"/>
              </w:rPr>
              <w:t xml:space="preserv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000000">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000000">
            <w:pPr>
              <w:snapToGrid w:val="0"/>
              <w:spacing w:after="100" w:afterAutospacing="1" w:line="240" w:lineRule="auto"/>
              <w:rPr>
                <w:rFonts w:ascii="Times" w:eastAsia="Batang" w:hAnsi="Times"/>
                <w:sz w:val="20"/>
                <w:lang w:val="en-US"/>
              </w:rPr>
            </w:pPr>
            <w:r>
              <w:rPr>
                <w:rFonts w:ascii="Times" w:eastAsia="Batang" w:hAnsi="Times"/>
                <w:sz w:val="20"/>
                <w:lang w:val="en-US"/>
              </w:rPr>
              <w:lastRenderedPageBreak/>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000000">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000000">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000000">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000000">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000000">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000000">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000000">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000000">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000000">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000000">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000000">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000000">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000000">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000000">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000000">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000000">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000000">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000000">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000000">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000000">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000000">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000000">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000000">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000000">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000000">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000000">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000000">
            <w:pPr>
              <w:rPr>
                <w:rFonts w:eastAsia="等线"/>
                <w:sz w:val="20"/>
                <w:highlight w:val="green"/>
              </w:rPr>
            </w:pPr>
            <w:r>
              <w:rPr>
                <w:rFonts w:eastAsia="等线"/>
                <w:sz w:val="20"/>
                <w:highlight w:val="green"/>
              </w:rPr>
              <w:t>Agreement</w:t>
            </w:r>
          </w:p>
          <w:p w14:paraId="03185491" w14:textId="77777777" w:rsidR="00517AF9" w:rsidRDefault="00000000">
            <w:pPr>
              <w:pStyle w:val="afb"/>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000000">
            <w:pPr>
              <w:pStyle w:val="afb"/>
              <w:numPr>
                <w:ilvl w:val="1"/>
                <w:numId w:val="8"/>
              </w:numPr>
              <w:snapToGrid w:val="0"/>
              <w:spacing w:after="100" w:afterAutospacing="1"/>
              <w:rPr>
                <w:sz w:val="20"/>
              </w:rPr>
            </w:pPr>
            <w:r>
              <w:rPr>
                <w:sz w:val="20"/>
              </w:rPr>
              <w:lastRenderedPageBreak/>
              <w:t xml:space="preserve"> Report as UCI on PUCCH or PUSCH</w:t>
            </w:r>
          </w:p>
          <w:p w14:paraId="22711A92" w14:textId="77777777" w:rsidR="00517AF9" w:rsidRDefault="00000000">
            <w:pPr>
              <w:pStyle w:val="afb"/>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000000">
            <w:pPr>
              <w:pStyle w:val="afb"/>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000000">
            <w:pPr>
              <w:pStyle w:val="afb"/>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lastRenderedPageBreak/>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bl>
    <w:p w14:paraId="00015E3B" w14:textId="77777777" w:rsidR="00517AF9" w:rsidRPr="006F1EA8" w:rsidRDefault="00517AF9">
      <w:pPr>
        <w:jc w:val="left"/>
        <w:rPr>
          <w:sz w:val="20"/>
          <w:szCs w:val="18"/>
        </w:rPr>
      </w:pPr>
    </w:p>
    <w:p w14:paraId="4F889C4E" w14:textId="77777777"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000000">
      <w:pPr>
        <w:pStyle w:val="20"/>
        <w:numPr>
          <w:ilvl w:val="0"/>
          <w:numId w:val="5"/>
        </w:numPr>
        <w:jc w:val="left"/>
        <w:rPr>
          <w:lang w:val="en-US"/>
        </w:rPr>
      </w:pPr>
      <w:r>
        <w:rPr>
          <w:lang w:val="en-US"/>
        </w:rPr>
        <w:t>Other</w:t>
      </w:r>
    </w:p>
    <w:p w14:paraId="044E2F5C" w14:textId="77777777" w:rsidR="00517AF9" w:rsidRDefault="00000000">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000000">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000000">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000000">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000000">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000000">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000000">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000000">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000000">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000000">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000000">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proofErr w:type="gramStart"/>
            <w:r>
              <w:rPr>
                <w:rFonts w:hint="eastAsia"/>
                <w:sz w:val="20"/>
              </w:rPr>
              <w:t>a</w:t>
            </w:r>
            <w:proofErr w:type="spellEnd"/>
            <w:proofErr w:type="gramEnd"/>
            <w:r>
              <w:rPr>
                <w:rFonts w:hint="eastAsia"/>
                <w:sz w:val="20"/>
              </w:rPr>
              <w:t xml:space="preserve"> issue. </w:t>
            </w:r>
          </w:p>
          <w:p w14:paraId="6E5FBC42" w14:textId="77777777" w:rsidR="00517AF9" w:rsidRDefault="00000000">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000000">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000000">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000000">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000000">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000000">
            <w:pPr>
              <w:spacing w:after="180"/>
              <w:jc w:val="left"/>
              <w:rPr>
                <w:rFonts w:eastAsia="PMingLiU"/>
                <w:sz w:val="20"/>
                <w:szCs w:val="18"/>
              </w:rPr>
            </w:pPr>
            <w:r>
              <w:rPr>
                <w:rFonts w:hint="eastAsia"/>
                <w:sz w:val="20"/>
                <w:szCs w:val="18"/>
              </w:rPr>
              <w:lastRenderedPageBreak/>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000000">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000000">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000000">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000000">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000000">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000000">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000000">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000000">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000000">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000000">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000000">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000000">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000000">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000000">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000000">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bl>
    <w:p w14:paraId="070AF648" w14:textId="77777777" w:rsidR="00517AF9" w:rsidRDefault="00517AF9">
      <w:pPr>
        <w:jc w:val="left"/>
        <w:rPr>
          <w:sz w:val="20"/>
          <w:szCs w:val="18"/>
        </w:rPr>
      </w:pPr>
    </w:p>
    <w:p w14:paraId="4A96DCE8" w14:textId="77777777"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000000">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000000">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000000">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000000">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000000">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000000">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000000">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000000">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000000">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等线"/>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000000">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000000">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000000">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000000">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000000">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000000">
            <w:pPr>
              <w:jc w:val="left"/>
              <w:rPr>
                <w:rFonts w:eastAsia="等线"/>
                <w:sz w:val="20"/>
                <w:szCs w:val="18"/>
                <w:lang w:val="en-US"/>
              </w:rPr>
            </w:pPr>
            <w:r>
              <w:rPr>
                <w:rFonts w:eastAsia="等线"/>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000000">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000000">
            <w:pPr>
              <w:spacing w:after="180"/>
              <w:jc w:val="left"/>
              <w:rPr>
                <w:rFonts w:eastAsia="等线"/>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000000">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000000">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000000">
            <w:pPr>
              <w:jc w:val="left"/>
              <w:rPr>
                <w:rFonts w:eastAsia="等线"/>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000000">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 LTM candidate cell, Network can configure the candidate cell in the LTM candidate configuration, UE should perform L1 measurements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000000">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000000">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000000">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 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000000">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000000">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000000">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000000">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000000">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000000">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000000">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bl>
    <w:p w14:paraId="752008E2" w14:textId="77777777" w:rsidR="00517AF9" w:rsidRDefault="00517AF9">
      <w:pPr>
        <w:jc w:val="left"/>
        <w:rPr>
          <w:sz w:val="20"/>
          <w:szCs w:val="18"/>
        </w:rPr>
      </w:pPr>
    </w:p>
    <w:p w14:paraId="6901BC90" w14:textId="77777777" w:rsidR="00517AF9"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000000">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000000">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000000">
      <w:pPr>
        <w:pStyle w:val="1"/>
        <w:numPr>
          <w:ilvl w:val="0"/>
          <w:numId w:val="3"/>
        </w:numPr>
        <w:jc w:val="left"/>
        <w:rPr>
          <w:rFonts w:ascii="Times New Roman" w:hAnsi="Times New Roman"/>
        </w:rPr>
      </w:pPr>
      <w:r>
        <w:rPr>
          <w:rFonts w:ascii="Times New Roman" w:hAnsi="Times New Roman"/>
        </w:rPr>
        <w:t>References</w:t>
      </w:r>
    </w:p>
    <w:p w14:paraId="190DBDAC" w14:textId="77777777" w:rsidR="00517AF9" w:rsidRDefault="00000000">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000000">
      <w:pPr>
        <w:pStyle w:val="Doc-title"/>
        <w:spacing w:after="120"/>
        <w:rPr>
          <w:rFonts w:ascii="Times New Roman" w:hAnsi="Times New Roman"/>
        </w:rPr>
      </w:pPr>
      <w:r>
        <w:rPr>
          <w:rFonts w:ascii="Times New Roman" w:hAnsi="Times New Roman"/>
        </w:rPr>
        <w:lastRenderedPageBreak/>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000000">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000000">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000000">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000000">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000000">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000000">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000000">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000000">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3973" w14:textId="77777777" w:rsidR="00AD5B9C" w:rsidRDefault="00AD5B9C">
      <w:pPr>
        <w:spacing w:line="240" w:lineRule="auto"/>
      </w:pPr>
      <w:r>
        <w:separator/>
      </w:r>
    </w:p>
  </w:endnote>
  <w:endnote w:type="continuationSeparator" w:id="0">
    <w:p w14:paraId="5DD8350B" w14:textId="77777777" w:rsidR="00AD5B9C" w:rsidRDefault="00AD5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Yu Mincho">
    <w:altName w:val="Yu Gothic"/>
    <w:charset w:val="80"/>
    <w:family w:val="roman"/>
    <w:pitch w:val="default"/>
    <w:sig w:usb0="00000000" w:usb1="0000000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77777777" w:rsidR="00517AF9" w:rsidRDefault="00000000">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12</w:t>
    </w:r>
    <w:r>
      <w:rPr>
        <w:sz w:val="20"/>
        <w:szCs w:val="20"/>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8341" w14:textId="77777777" w:rsidR="00AD5B9C" w:rsidRDefault="00AD5B9C">
      <w:pPr>
        <w:spacing w:after="0"/>
      </w:pPr>
      <w:r>
        <w:separator/>
      </w:r>
    </w:p>
  </w:footnote>
  <w:footnote w:type="continuationSeparator" w:id="0">
    <w:p w14:paraId="27AE6200" w14:textId="77777777" w:rsidR="00AD5B9C" w:rsidRDefault="00AD5B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838151873">
    <w:abstractNumId w:val="1"/>
  </w:num>
  <w:num w:numId="2" w16cid:durableId="239215671">
    <w:abstractNumId w:val="6"/>
  </w:num>
  <w:num w:numId="3" w16cid:durableId="1279945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3733904">
    <w:abstractNumId w:val="4"/>
  </w:num>
  <w:num w:numId="5" w16cid:durableId="142040886">
    <w:abstractNumId w:val="3"/>
  </w:num>
  <w:num w:numId="6" w16cid:durableId="2100562601">
    <w:abstractNumId w:val="0"/>
  </w:num>
  <w:num w:numId="7" w16cid:durableId="1010716686">
    <w:abstractNumId w:val="2"/>
  </w:num>
  <w:num w:numId="8" w16cid:durableId="2021543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af2">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3">
    <w:name w:val="annotation subject"/>
    <w:basedOn w:val="a7"/>
    <w:next w:val="a7"/>
    <w:link w:val="af4"/>
    <w:uiPriority w:val="99"/>
    <w:semiHidden/>
    <w:unhideWhenUsed/>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6">
    <w:name w:val="page number"/>
    <w:basedOn w:val="a0"/>
    <w:qFormat/>
  </w:style>
  <w:style w:type="character" w:styleId="af7">
    <w:name w:val="FollowedHyperlink"/>
    <w:basedOn w:val="a0"/>
    <w:uiPriority w:val="99"/>
    <w:semiHidden/>
    <w:unhideWhenUsed/>
    <w:qFormat/>
    <w:rPr>
      <w:color w:val="954F72" w:themeColor="followedHyperlink"/>
      <w:u w:val="single"/>
    </w:rPr>
  </w:style>
  <w:style w:type="character" w:styleId="af8">
    <w:name w:val="Emphasis"/>
    <w:uiPriority w:val="20"/>
    <w:qFormat/>
    <w:rPr>
      <w:color w:val="CC0000"/>
    </w:rPr>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customStyle="1" w:styleId="10">
    <w:name w:val="标题 1 字符"/>
    <w:link w:val="1"/>
    <w:uiPriority w:val="9"/>
    <w:qFormat/>
    <w:rPr>
      <w:rFonts w:ascii="Arial" w:hAnsi="Arial"/>
      <w:sz w:val="36"/>
      <w:szCs w:val="36"/>
      <w:lang w:val="en-GB" w:bidi="ar-SA"/>
    </w:rPr>
  </w:style>
  <w:style w:type="character" w:customStyle="1" w:styleId="21">
    <w:name w:val="标题 2 字符"/>
    <w:link w:val="20"/>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uiPriority w:val="9"/>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页脚 字符"/>
    <w:link w:val="ad"/>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0">
    <w:name w:val="页眉 字符"/>
    <w:link w:val="ae"/>
    <w:qFormat/>
    <w:rPr>
      <w:rFonts w:ascii="Times New Roman" w:eastAsia="宋体" w:hAnsi="Times New Roman" w:cs="Times New Roman"/>
      <w:kern w:val="0"/>
      <w:sz w:val="18"/>
      <w:szCs w:val="18"/>
      <w:lang w:val="en-GB"/>
    </w:rPr>
  </w:style>
  <w:style w:type="character" w:customStyle="1" w:styleId="ac">
    <w:name w:val="批注框文本 字符"/>
    <w:link w:val="ab"/>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文档结构图 字符"/>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a8">
    <w:name w:val="批注文字 字符"/>
    <w:link w:val="a7"/>
    <w:qFormat/>
    <w:rPr>
      <w:rFonts w:ascii="Times New Roman" w:hAnsi="Times New Roman"/>
      <w:sz w:val="22"/>
      <w:lang w:val="en-GB"/>
    </w:rPr>
  </w:style>
  <w:style w:type="character" w:customStyle="1" w:styleId="af4">
    <w:name w:val="批注主题 字符"/>
    <w:link w:val="af3"/>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2"/>
    <w:qFormat/>
    <w:rPr>
      <w:rFonts w:ascii="Times New Roman" w:hAnsi="Times New Roman"/>
      <w:b/>
      <w:bCs/>
      <w:lang w:val="en-GB" w:eastAsia="zh-CN"/>
    </w:rPr>
  </w:style>
  <w:style w:type="character" w:customStyle="1" w:styleId="aa">
    <w:name w:val="正文文本 字符"/>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b">
    <w:name w:val="List Paragraph"/>
    <w:basedOn w:val="a"/>
    <w:link w:val="afc"/>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c">
    <w:name w:val="列表段落 字符"/>
    <w:link w:val="afb"/>
    <w:uiPriority w:val="34"/>
    <w:qFormat/>
    <w:locked/>
    <w:rPr>
      <w:rFonts w:ascii="Times New Roman" w:hAnsi="Times New Roman"/>
      <w:sz w:val="22"/>
      <w:lang w:val="en-GB" w:eastAsia="zh-CN"/>
    </w:rPr>
  </w:style>
  <w:style w:type="paragraph" w:customStyle="1" w:styleId="23">
    <w:name w:val="修订2"/>
    <w:hidden/>
    <w:uiPriority w:val="99"/>
    <w:semiHidden/>
    <w:qFormat/>
    <w:pPr>
      <w:spacing w:after="160" w:line="259" w:lineRule="auto"/>
    </w:pPr>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2">
    <w:name w:val="修订3"/>
    <w:hidden/>
    <w:uiPriority w:val="99"/>
    <w:semiHidden/>
    <w:rPr>
      <w:rFonts w:ascii="Times New Roman" w:hAnsi="Times New Roman" w:cs="Times New Roman"/>
      <w:sz w:val="22"/>
      <w:lang w:val="en-GB"/>
    </w:rPr>
  </w:style>
  <w:style w:type="character" w:customStyle="1" w:styleId="24">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D07EF-22A6-4DBC-B719-42B470BA0CFD}">
  <ds:schemaRefs>
    <ds:schemaRef ds:uri="http://schemas.openxmlformats.org/officeDocument/2006/bibliography"/>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5225</Words>
  <Characters>29784</Characters>
  <Application>Microsoft Office Word</Application>
  <DocSecurity>0</DocSecurity>
  <Lines>248</Lines>
  <Paragraphs>69</Paragraphs>
  <ScaleCrop>false</ScaleCrop>
  <Company>OPPO</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CMCC-Xiaoxuan-0420</cp:lastModifiedBy>
  <cp:revision>17</cp:revision>
  <cp:lastPrinted>2019-12-04T11:04:00Z</cp:lastPrinted>
  <dcterms:created xsi:type="dcterms:W3CDTF">2023-04-24T03:15:00Z</dcterms:created>
  <dcterms:modified xsi:type="dcterms:W3CDTF">2023-04-24T04:54:00Z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