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DCB2A" w14:textId="765BBF35" w:rsidR="006635FE" w:rsidRPr="00504F4F" w:rsidRDefault="006635FE" w:rsidP="006635FE">
      <w:pPr>
        <w:widowControl w:val="0"/>
        <w:tabs>
          <w:tab w:val="left" w:pos="1701"/>
          <w:tab w:val="right" w:pos="9923"/>
        </w:tabs>
        <w:spacing w:before="120" w:after="0"/>
        <w:jc w:val="left"/>
        <w:rPr>
          <w:rFonts w:eastAsia="MS Mincho"/>
          <w:b/>
          <w:sz w:val="24"/>
          <w:szCs w:val="24"/>
          <w:lang w:val="de-DE" w:eastAsia="x-none"/>
        </w:rPr>
      </w:pPr>
      <w:bookmarkStart w:id="0" w:name="OLE_LINK12"/>
      <w:r w:rsidRPr="00504F4F">
        <w:rPr>
          <w:rFonts w:eastAsia="MS Mincho"/>
          <w:b/>
          <w:sz w:val="24"/>
          <w:szCs w:val="24"/>
          <w:lang w:val="de-DE" w:eastAsia="x-none"/>
        </w:rPr>
        <w:t>3GPP TSG-RAN WG2 Meeting #121-bis electronic</w:t>
      </w:r>
      <w:r w:rsidRPr="00504F4F">
        <w:rPr>
          <w:rFonts w:eastAsia="MS Mincho"/>
          <w:b/>
          <w:sz w:val="24"/>
          <w:szCs w:val="24"/>
          <w:lang w:val="de-DE" w:eastAsia="x-none"/>
        </w:rPr>
        <w:tab/>
        <w:t>R2-2</w:t>
      </w:r>
      <w:r w:rsidR="007A1149">
        <w:rPr>
          <w:rFonts w:eastAsia="MS Mincho"/>
          <w:b/>
          <w:sz w:val="24"/>
          <w:szCs w:val="24"/>
          <w:lang w:val="de-DE" w:eastAsia="x-none"/>
        </w:rPr>
        <w:t>3</w:t>
      </w:r>
      <w:r w:rsidR="007A1149" w:rsidRPr="007A1149">
        <w:rPr>
          <w:rFonts w:eastAsia="MS Mincho"/>
          <w:b/>
          <w:sz w:val="24"/>
          <w:szCs w:val="24"/>
          <w:lang w:val="de-DE" w:eastAsia="x-none"/>
        </w:rPr>
        <w:t>03944</w:t>
      </w:r>
    </w:p>
    <w:p w14:paraId="0FD80E49" w14:textId="77777777" w:rsidR="006635FE" w:rsidRDefault="006635FE" w:rsidP="006635FE">
      <w:pPr>
        <w:widowControl w:val="0"/>
        <w:tabs>
          <w:tab w:val="left" w:pos="1701"/>
          <w:tab w:val="right" w:pos="9923"/>
        </w:tabs>
        <w:spacing w:before="120" w:after="0"/>
        <w:jc w:val="left"/>
        <w:rPr>
          <w:rFonts w:eastAsia="MS Mincho"/>
          <w:b/>
          <w:sz w:val="24"/>
          <w:szCs w:val="24"/>
          <w:lang w:val="de-DE" w:eastAsia="x-none"/>
        </w:rPr>
      </w:pPr>
      <w:r w:rsidRPr="00504F4F">
        <w:rPr>
          <w:rFonts w:eastAsia="MS Mincho"/>
          <w:b/>
          <w:sz w:val="24"/>
          <w:szCs w:val="24"/>
          <w:lang w:val="de-DE" w:eastAsia="x-none"/>
        </w:rPr>
        <w:t>April 17-26, 2023</w:t>
      </w:r>
    </w:p>
    <w:bookmarkEnd w:id="0"/>
    <w:p w14:paraId="0AE6F617" w14:textId="77777777" w:rsidR="00213046" w:rsidRDefault="00213046" w:rsidP="002D479B">
      <w:pPr>
        <w:ind w:left="1800" w:hanging="1800"/>
        <w:rPr>
          <w:b/>
          <w:sz w:val="24"/>
          <w:szCs w:val="24"/>
        </w:rPr>
      </w:pPr>
    </w:p>
    <w:p w14:paraId="4ECEF67E" w14:textId="4F31B487"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5E598C">
        <w:rPr>
          <w:b/>
          <w:sz w:val="24"/>
          <w:szCs w:val="24"/>
        </w:rPr>
        <w:t>7</w:t>
      </w:r>
      <w:r w:rsidR="0023655D">
        <w:rPr>
          <w:b/>
          <w:sz w:val="24"/>
          <w:szCs w:val="24"/>
        </w:rPr>
        <w:t>.1</w:t>
      </w:r>
      <w:r w:rsidR="004627EF">
        <w:rPr>
          <w:b/>
          <w:sz w:val="24"/>
          <w:szCs w:val="24"/>
        </w:rPr>
        <w:t>.</w:t>
      </w:r>
      <w:r w:rsidR="005E598C">
        <w:rPr>
          <w:b/>
          <w:sz w:val="24"/>
          <w:szCs w:val="24"/>
        </w:rPr>
        <w:t>3</w:t>
      </w:r>
    </w:p>
    <w:p w14:paraId="74D32287" w14:textId="49B3C8B8"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4BFB8003"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2" w:name="OLE_LINK1"/>
      <w:r w:rsidR="00371F1D">
        <w:rPr>
          <w:b/>
          <w:bCs/>
          <w:sz w:val="24"/>
          <w:szCs w:val="24"/>
        </w:rPr>
        <w:t>Cell selection</w:t>
      </w:r>
      <w:r w:rsidR="001F4837" w:rsidRPr="001F4837">
        <w:rPr>
          <w:b/>
          <w:bCs/>
          <w:sz w:val="24"/>
          <w:szCs w:val="24"/>
        </w:rPr>
        <w:t xml:space="preserve"> for NR network-controlled repeaters</w:t>
      </w:r>
      <w:bookmarkEnd w:id="2"/>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3" w:name="DocumentFor"/>
      <w:bookmarkEnd w:id="3"/>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77777777" w:rsidR="00B437E2" w:rsidRDefault="00B437E2" w:rsidP="00B437E2">
      <w:pPr>
        <w:rPr>
          <w:rFonts w:ascii="Calibri" w:eastAsia="Malgun Gothic" w:hAnsi="Calibri" w:cs="Batang"/>
          <w:lang w:val="en-GB" w:eastAsia="ko-KR"/>
        </w:rPr>
      </w:pPr>
      <w:bookmarkStart w:id="4" w:name="OLE_LINK41"/>
      <w:bookmarkStart w:id="5" w:name="OLE_LINK42"/>
      <w:bookmarkStart w:id="6"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Pr>
          <w:rFonts w:ascii="Calibri" w:hAnsi="Calibri" w:cs="Calibri"/>
        </w:rPr>
        <w:t xml:space="preserve">NR Network-controlled Repeaters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to specify enhancements over conventional RF repeaters including the following objectives:</w:t>
      </w:r>
    </w:p>
    <w:p w14:paraId="02B49CAD" w14:textId="77777777" w:rsidR="00B437E2" w:rsidRPr="00B437E2" w:rsidRDefault="00B437E2" w:rsidP="00B437E2">
      <w:pPr>
        <w:spacing w:beforeLines="50" w:before="120" w:afterLines="50"/>
        <w:rPr>
          <w:sz w:val="18"/>
          <w:szCs w:val="18"/>
        </w:rPr>
      </w:pPr>
      <w:r w:rsidRPr="00B437E2">
        <w:rPr>
          <w:sz w:val="18"/>
          <w:szCs w:val="18"/>
        </w:rPr>
        <w:t xml:space="preserve">Specify the </w:t>
      </w:r>
      <w:proofErr w:type="spellStart"/>
      <w:r w:rsidRPr="00B437E2">
        <w:rPr>
          <w:sz w:val="18"/>
          <w:szCs w:val="18"/>
        </w:rPr>
        <w:t>signalling</w:t>
      </w:r>
      <w:proofErr w:type="spellEnd"/>
      <w:r w:rsidRPr="00B437E2">
        <w:rPr>
          <w:sz w:val="18"/>
          <w:szCs w:val="18"/>
        </w:rPr>
        <w:t xml:space="preserve"> and behavior of the following side control information for controlling the NCR-</w:t>
      </w:r>
      <w:proofErr w:type="spellStart"/>
      <w:r w:rsidRPr="00B437E2">
        <w:rPr>
          <w:sz w:val="18"/>
          <w:szCs w:val="18"/>
        </w:rPr>
        <w:t>Fwd</w:t>
      </w:r>
      <w:proofErr w:type="spellEnd"/>
      <w:r w:rsidRPr="00B437E2">
        <w:rPr>
          <w:sz w:val="18"/>
          <w:szCs w:val="18"/>
        </w:rPr>
        <w:t xml:space="preserve"> [RAN1, RAN2]</w:t>
      </w:r>
    </w:p>
    <w:p w14:paraId="65EB43C8"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Beamforming</w:t>
      </w:r>
    </w:p>
    <w:p w14:paraId="0D942C93"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UL-DL TDD operation</w:t>
      </w:r>
    </w:p>
    <w:p w14:paraId="087EB083"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ON-OFF information</w:t>
      </w:r>
    </w:p>
    <w:bookmarkEnd w:id="4"/>
    <w:p w14:paraId="47D417D4" w14:textId="14D1DEE1" w:rsidR="00B437E2" w:rsidRPr="00B437E2" w:rsidRDefault="00B437E2" w:rsidP="00B437E2">
      <w:pPr>
        <w:pStyle w:val="ListParagraph"/>
        <w:spacing w:beforeLines="50" w:before="120" w:afterLines="50"/>
        <w:ind w:left="0"/>
        <w:rPr>
          <w:sz w:val="18"/>
          <w:szCs w:val="18"/>
          <w:lang w:eastAsia="zh-CN"/>
        </w:rPr>
      </w:pPr>
      <w:r w:rsidRPr="00B437E2">
        <w:rPr>
          <w:sz w:val="18"/>
          <w:szCs w:val="18"/>
          <w:lang w:eastAsia="zh-CN"/>
        </w:rPr>
        <w:t>Note: Power control aspect will be checked in RAN#98e.</w:t>
      </w:r>
      <w:bookmarkEnd w:id="5"/>
    </w:p>
    <w:p w14:paraId="2EA2F4C3" w14:textId="77777777" w:rsidR="00B437E2" w:rsidRPr="00B437E2" w:rsidRDefault="00B437E2" w:rsidP="00B437E2">
      <w:pPr>
        <w:spacing w:beforeLines="50" w:before="120" w:afterLines="50"/>
        <w:rPr>
          <w:sz w:val="18"/>
          <w:szCs w:val="18"/>
        </w:rPr>
      </w:pPr>
      <w:r w:rsidRPr="00B437E2">
        <w:rPr>
          <w:sz w:val="18"/>
          <w:szCs w:val="18"/>
        </w:rPr>
        <w:t xml:space="preserve">Specify control plane </w:t>
      </w:r>
      <w:proofErr w:type="spellStart"/>
      <w:r w:rsidRPr="00B437E2">
        <w:rPr>
          <w:sz w:val="18"/>
          <w:szCs w:val="18"/>
        </w:rPr>
        <w:t>signalling</w:t>
      </w:r>
      <w:proofErr w:type="spellEnd"/>
      <w:r w:rsidRPr="00B437E2">
        <w:rPr>
          <w:sz w:val="18"/>
          <w:szCs w:val="18"/>
        </w:rPr>
        <w:t xml:space="preserve"> and procedures [RAN2, RAN1]</w:t>
      </w:r>
    </w:p>
    <w:p w14:paraId="3C94A106"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 xml:space="preserve">The configuration of </w:t>
      </w:r>
      <w:proofErr w:type="spellStart"/>
      <w:r w:rsidRPr="00B437E2">
        <w:rPr>
          <w:sz w:val="18"/>
          <w:szCs w:val="18"/>
        </w:rPr>
        <w:t>signalling</w:t>
      </w:r>
      <w:proofErr w:type="spellEnd"/>
      <w:r w:rsidRPr="00B437E2">
        <w:rPr>
          <w:sz w:val="18"/>
          <w:szCs w:val="18"/>
        </w:rPr>
        <w:t xml:space="preserve"> for side control information indication</w:t>
      </w:r>
    </w:p>
    <w:p w14:paraId="2CF24842" w14:textId="77777777" w:rsidR="00B437E2" w:rsidRPr="00B437E2" w:rsidRDefault="00B437E2" w:rsidP="00B437E2">
      <w:pPr>
        <w:numPr>
          <w:ilvl w:val="1"/>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NOTE: Down-selection of solutions in section 7.2 of TR 38.867 is needed</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049B3856" w:rsidR="00F765DB" w:rsidRPr="00045AED" w:rsidRDefault="00F765DB" w:rsidP="00045AED">
      <w:pPr>
        <w:pStyle w:val="Doc-text2"/>
        <w:ind w:left="0" w:firstLine="0"/>
        <w:rPr>
          <w:rFonts w:ascii="Calibri" w:eastAsia="Malgun Gothic" w:hAnsi="Calibri" w:cs="Batang"/>
          <w:lang w:val="en-GB" w:eastAsia="ko-KR"/>
        </w:rPr>
      </w:pPr>
      <w:bookmarkStart w:id="7"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57056A">
        <w:rPr>
          <w:rFonts w:ascii="Calibri" w:eastAsia="Malgun Gothic" w:hAnsi="Calibri" w:cs="Batang"/>
          <w:lang w:val="en-GB" w:eastAsia="ko-KR"/>
        </w:rPr>
        <w:t xml:space="preserve">solutions for </w:t>
      </w:r>
      <w:r w:rsidR="00371F1D">
        <w:rPr>
          <w:rFonts w:ascii="Calibri" w:eastAsia="Malgun Gothic" w:hAnsi="Calibri" w:cs="Batang"/>
          <w:lang w:val="en-GB" w:eastAsia="ko-KR"/>
        </w:rPr>
        <w:t>cell selection</w:t>
      </w:r>
      <w:r w:rsidR="00FA4D2C">
        <w:rPr>
          <w:rFonts w:ascii="Calibri" w:eastAsia="Malgun Gothic" w:hAnsi="Calibri" w:cs="Batang"/>
          <w:lang w:val="en-GB" w:eastAsia="ko-KR"/>
        </w:rPr>
        <w:t xml:space="preserve"> </w:t>
      </w:r>
      <w:r w:rsidR="00854C66">
        <w:rPr>
          <w:rFonts w:ascii="Calibri" w:eastAsia="Malgun Gothic" w:hAnsi="Calibri" w:cs="Batang"/>
          <w:lang w:val="en-GB" w:eastAsia="ko-KR"/>
        </w:rPr>
        <w:t>of an</w:t>
      </w:r>
      <w:r w:rsidR="0057056A" w:rsidRPr="0057056A">
        <w:rPr>
          <w:rFonts w:ascii="Calibri" w:eastAsia="Malgun Gothic" w:hAnsi="Calibri" w:cs="Batang"/>
          <w:lang w:val="en-GB" w:eastAsia="ko-KR"/>
        </w:rPr>
        <w:t xml:space="preserve"> NCR-MT.</w:t>
      </w:r>
    </w:p>
    <w:bookmarkEnd w:id="6"/>
    <w:bookmarkEnd w:id="7"/>
    <w:p w14:paraId="6CB6A382" w14:textId="77777777" w:rsidR="00F765DB" w:rsidRDefault="00F765DB" w:rsidP="00EE2068">
      <w:pPr>
        <w:pStyle w:val="maintext"/>
        <w:ind w:firstLineChars="0" w:firstLine="0"/>
        <w:rPr>
          <w:rFonts w:ascii="Calibri" w:hAnsi="Calibri"/>
        </w:rPr>
      </w:pPr>
    </w:p>
    <w:p w14:paraId="4600A3D6" w14:textId="0047A7CF" w:rsidR="00346605" w:rsidRPr="00172743" w:rsidRDefault="00544843" w:rsidP="00326FF6">
      <w:pPr>
        <w:pStyle w:val="Heading1"/>
      </w:pPr>
      <w:r>
        <w:t>Side control information for NR network-controlled repeaters</w:t>
      </w:r>
    </w:p>
    <w:p w14:paraId="0C55E876" w14:textId="58939228" w:rsidR="0057056A" w:rsidRDefault="0057056A" w:rsidP="0057056A">
      <w:pPr>
        <w:pStyle w:val="maintext"/>
        <w:ind w:firstLineChars="0" w:firstLine="0"/>
        <w:rPr>
          <w:rFonts w:ascii="Calibri" w:hAnsi="Calibri"/>
        </w:rPr>
      </w:pPr>
      <w:r>
        <w:rPr>
          <w:rFonts w:ascii="Calibri" w:hAnsi="Calibri"/>
        </w:rPr>
        <w:t>During RAN1#109e, the following agreement was made which introduces the concept of NCR-MT and NCR-</w:t>
      </w:r>
      <w:proofErr w:type="spellStart"/>
      <w:r>
        <w:rPr>
          <w:rFonts w:ascii="Calibri" w:hAnsi="Calibri"/>
        </w:rPr>
        <w:t>Fwd</w:t>
      </w:r>
      <w:proofErr w:type="spellEnd"/>
      <w:r>
        <w:rPr>
          <w:rFonts w:ascii="Calibri" w:hAnsi="Calibri"/>
        </w:rPr>
        <w:t xml:space="preserve"> functions, as well as a control link between the NCR and gNB which is separate from the access and backhaul links:</w:t>
      </w:r>
    </w:p>
    <w:p w14:paraId="56C3BB5A" w14:textId="77777777" w:rsidR="0057056A" w:rsidRPr="00B437E2" w:rsidRDefault="0057056A" w:rsidP="0057056A">
      <w:pPr>
        <w:snapToGrid w:val="0"/>
        <w:rPr>
          <w:rFonts w:cs="Times"/>
          <w:sz w:val="18"/>
          <w:szCs w:val="18"/>
          <w:highlight w:val="green"/>
          <w:lang w:eastAsia="zh-CN"/>
        </w:rPr>
      </w:pPr>
      <w:r w:rsidRPr="00B437E2">
        <w:rPr>
          <w:rFonts w:cs="Times"/>
          <w:b/>
          <w:bCs/>
          <w:sz w:val="18"/>
          <w:szCs w:val="18"/>
          <w:highlight w:val="green"/>
          <w:lang w:eastAsia="zh-CN"/>
        </w:rPr>
        <w:t>Agreement</w:t>
      </w:r>
    </w:p>
    <w:p w14:paraId="2DF74649" w14:textId="77777777" w:rsidR="0057056A" w:rsidRPr="00B437E2" w:rsidRDefault="0057056A" w:rsidP="0057056A">
      <w:pPr>
        <w:snapToGrid w:val="0"/>
        <w:rPr>
          <w:rFonts w:cs="Times"/>
          <w:sz w:val="18"/>
          <w:szCs w:val="18"/>
          <w:lang w:eastAsia="zh-CN"/>
        </w:rPr>
      </w:pPr>
      <w:r w:rsidRPr="00B437E2">
        <w:rPr>
          <w:rFonts w:cs="Times"/>
          <w:sz w:val="18"/>
          <w:szCs w:val="18"/>
          <w:lang w:eastAsia="zh-CN"/>
        </w:rPr>
        <w:t>Capture the following model of network-controlled repeater in TR 38.867.</w:t>
      </w:r>
    </w:p>
    <w:p w14:paraId="02502927" w14:textId="77777777" w:rsidR="0057056A" w:rsidRPr="00B437E2" w:rsidRDefault="0057056A" w:rsidP="0057056A">
      <w:pPr>
        <w:pStyle w:val="Proposal"/>
        <w:spacing w:after="0"/>
        <w:ind w:left="1440" w:firstLine="0"/>
        <w:jc w:val="center"/>
        <w:rPr>
          <w:rFonts w:ascii="Times" w:hAnsi="Times" w:cs="Times"/>
          <w:sz w:val="18"/>
          <w:szCs w:val="18"/>
        </w:rPr>
      </w:pPr>
      <w:r w:rsidRPr="00B437E2">
        <w:rPr>
          <w:noProof/>
          <w:sz w:val="18"/>
          <w:szCs w:val="18"/>
          <w:lang w:val="en-US" w:eastAsia="ko-KR"/>
        </w:rPr>
        <w:drawing>
          <wp:inline distT="0" distB="0" distL="0" distR="0" wp14:anchorId="36922E66" wp14:editId="210AD7EC">
            <wp:extent cx="3746500" cy="927100"/>
            <wp:effectExtent l="0" t="0" r="0" b="0"/>
            <wp:docPr id="266" name="图片 40" descr="A picture containing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6" name="图片 40" descr="A picture containing diagram&#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6500" cy="927100"/>
                    </a:xfrm>
                    <a:prstGeom prst="rect">
                      <a:avLst/>
                    </a:prstGeom>
                    <a:noFill/>
                    <a:ln>
                      <a:noFill/>
                    </a:ln>
                  </pic:spPr>
                </pic:pic>
              </a:graphicData>
            </a:graphic>
          </wp:inline>
        </w:drawing>
      </w:r>
    </w:p>
    <w:p w14:paraId="57905ED9" w14:textId="77777777" w:rsidR="00B437E2" w:rsidRPr="00B437E2" w:rsidRDefault="00B437E2" w:rsidP="00B437E2">
      <w:pPr>
        <w:pStyle w:val="ListParagraph"/>
        <w:snapToGrid w:val="0"/>
        <w:spacing w:before="0" w:after="0"/>
        <w:contextualSpacing w:val="0"/>
        <w:jc w:val="left"/>
        <w:rPr>
          <w:rFonts w:eastAsia="Malgun Gothic" w:cs="Times"/>
          <w:sz w:val="18"/>
          <w:szCs w:val="18"/>
          <w:lang w:eastAsia="zh-CN"/>
        </w:rPr>
      </w:pPr>
    </w:p>
    <w:p w14:paraId="58476D59" w14:textId="4B73D594" w:rsidR="0057056A" w:rsidRPr="00B437E2" w:rsidRDefault="0057056A" w:rsidP="0057056A">
      <w:pPr>
        <w:pStyle w:val="ListParagraph"/>
        <w:numPr>
          <w:ilvl w:val="0"/>
          <w:numId w:val="25"/>
        </w:numPr>
        <w:snapToGrid w:val="0"/>
        <w:spacing w:before="0" w:after="0"/>
        <w:contextualSpacing w:val="0"/>
        <w:jc w:val="left"/>
        <w:rPr>
          <w:rFonts w:eastAsia="Malgun Gothic" w:cs="Times"/>
          <w:sz w:val="18"/>
          <w:szCs w:val="18"/>
          <w:lang w:eastAsia="zh-CN"/>
        </w:rPr>
      </w:pPr>
      <w:r w:rsidRPr="00B437E2">
        <w:rPr>
          <w:rFonts w:eastAsia="Malgun Gothic" w:cs="Times"/>
          <w:sz w:val="18"/>
          <w:szCs w:val="18"/>
          <w:lang w:eastAsia="zh-CN"/>
        </w:rPr>
        <w:t>The NCR-MT is defined as a function entity to communicate with a gNB via Control link (C-link) to enable the information exchanges (e.g.</w:t>
      </w:r>
      <w:r w:rsidR="0070754C">
        <w:rPr>
          <w:rFonts w:eastAsia="Malgun Gothic" w:cs="Times"/>
          <w:sz w:val="18"/>
          <w:szCs w:val="18"/>
          <w:lang w:eastAsia="zh-CN"/>
        </w:rPr>
        <w:t>,</w:t>
      </w:r>
      <w:r w:rsidRPr="00B437E2">
        <w:rPr>
          <w:rFonts w:eastAsia="Malgun Gothic" w:cs="Times"/>
          <w:sz w:val="18"/>
          <w:szCs w:val="18"/>
          <w:lang w:eastAsia="zh-CN"/>
        </w:rPr>
        <w:t xml:space="preserve"> side control information). The C-link is based on NR </w:t>
      </w:r>
      <w:proofErr w:type="spellStart"/>
      <w:r w:rsidRPr="00B437E2">
        <w:rPr>
          <w:rFonts w:eastAsia="Malgun Gothic" w:cs="Times"/>
          <w:sz w:val="18"/>
          <w:szCs w:val="18"/>
          <w:lang w:eastAsia="zh-CN"/>
        </w:rPr>
        <w:t>Uu</w:t>
      </w:r>
      <w:proofErr w:type="spellEnd"/>
      <w:r w:rsidRPr="00B437E2">
        <w:rPr>
          <w:rFonts w:eastAsia="Malgun Gothic" w:cs="Times"/>
          <w:sz w:val="18"/>
          <w:szCs w:val="18"/>
          <w:lang w:eastAsia="zh-CN"/>
        </w:rPr>
        <w:t xml:space="preserve"> interface.</w:t>
      </w:r>
    </w:p>
    <w:p w14:paraId="473AC14E" w14:textId="77777777" w:rsidR="0057056A" w:rsidRPr="00B437E2" w:rsidRDefault="0057056A" w:rsidP="0057056A">
      <w:pPr>
        <w:pStyle w:val="ListParagraph"/>
        <w:numPr>
          <w:ilvl w:val="1"/>
          <w:numId w:val="25"/>
        </w:numPr>
        <w:snapToGrid w:val="0"/>
        <w:spacing w:before="0" w:after="0"/>
        <w:contextualSpacing w:val="0"/>
        <w:jc w:val="left"/>
        <w:rPr>
          <w:rFonts w:eastAsia="Malgun Gothic" w:cs="Times"/>
          <w:sz w:val="18"/>
          <w:szCs w:val="18"/>
          <w:lang w:eastAsia="zh-CN"/>
        </w:rPr>
      </w:pPr>
      <w:r w:rsidRPr="00B437E2">
        <w:rPr>
          <w:rFonts w:eastAsia="Malgun Gothic" w:cs="Times"/>
          <w:sz w:val="18"/>
          <w:szCs w:val="18"/>
          <w:lang w:eastAsia="zh-CN"/>
        </w:rPr>
        <w:t>Note: Side control information is at least for the control of NCR-</w:t>
      </w:r>
      <w:proofErr w:type="spellStart"/>
      <w:r w:rsidRPr="00B437E2">
        <w:rPr>
          <w:rFonts w:eastAsia="Malgun Gothic" w:cs="Times"/>
          <w:sz w:val="18"/>
          <w:szCs w:val="18"/>
          <w:lang w:eastAsia="zh-CN"/>
        </w:rPr>
        <w:t>Fwd</w:t>
      </w:r>
      <w:proofErr w:type="spellEnd"/>
    </w:p>
    <w:p w14:paraId="65E70632" w14:textId="7F8CFEAF" w:rsidR="0057056A" w:rsidRPr="00B437E2" w:rsidRDefault="0057056A" w:rsidP="00B437E2">
      <w:pPr>
        <w:pStyle w:val="ListParagraph"/>
        <w:numPr>
          <w:ilvl w:val="0"/>
          <w:numId w:val="25"/>
        </w:numPr>
        <w:snapToGrid w:val="0"/>
        <w:spacing w:before="0" w:after="0"/>
        <w:contextualSpacing w:val="0"/>
        <w:jc w:val="left"/>
        <w:rPr>
          <w:rFonts w:eastAsia="Malgun Gothic" w:cs="Times"/>
          <w:sz w:val="18"/>
          <w:szCs w:val="18"/>
          <w:lang w:eastAsia="zh-CN"/>
        </w:rPr>
      </w:pPr>
      <w:r w:rsidRPr="00B437E2">
        <w:rPr>
          <w:rFonts w:eastAsia="Malgun Gothic" w:cs="Times"/>
          <w:sz w:val="18"/>
          <w:szCs w:val="18"/>
          <w:lang w:eastAsia="zh-CN"/>
        </w:rPr>
        <w:t>The NCR-</w:t>
      </w:r>
      <w:proofErr w:type="spellStart"/>
      <w:r w:rsidRPr="00B437E2">
        <w:rPr>
          <w:rFonts w:eastAsia="Malgun Gothic" w:cs="Times"/>
          <w:sz w:val="18"/>
          <w:szCs w:val="18"/>
          <w:lang w:eastAsia="zh-CN"/>
        </w:rPr>
        <w:t>Fwd</w:t>
      </w:r>
      <w:proofErr w:type="spellEnd"/>
      <w:r w:rsidRPr="00B437E2">
        <w:rPr>
          <w:rFonts w:eastAsia="Malgun Gothic" w:cs="Times"/>
          <w:sz w:val="18"/>
          <w:szCs w:val="18"/>
          <w:lang w:eastAsia="zh-CN"/>
        </w:rPr>
        <w:t xml:space="preserve"> is defined as a function entity to perform the amplify-and-forwarding of UL/DL RF signal between gNB and UE via backhaul link and access link. The behavior of the NCR-</w:t>
      </w:r>
      <w:proofErr w:type="spellStart"/>
      <w:r w:rsidRPr="00B437E2">
        <w:rPr>
          <w:rFonts w:eastAsia="Malgun Gothic" w:cs="Times"/>
          <w:sz w:val="18"/>
          <w:szCs w:val="18"/>
          <w:lang w:eastAsia="zh-CN"/>
        </w:rPr>
        <w:t>Fwd</w:t>
      </w:r>
      <w:proofErr w:type="spellEnd"/>
      <w:r w:rsidRPr="00B437E2">
        <w:rPr>
          <w:rFonts w:eastAsia="Malgun Gothic" w:cs="Times"/>
          <w:sz w:val="18"/>
          <w:szCs w:val="18"/>
          <w:lang w:eastAsia="zh-CN"/>
        </w:rPr>
        <w:t xml:space="preserve"> will be controlled according to the received side control information from gNB. </w:t>
      </w:r>
    </w:p>
    <w:p w14:paraId="7F07E58B" w14:textId="77777777" w:rsidR="00FB27A4" w:rsidRDefault="00FB27A4" w:rsidP="0057056A">
      <w:pPr>
        <w:rPr>
          <w:rFonts w:ascii="Calibri" w:eastAsia="Malgun Gothic" w:hAnsi="Calibri" w:cs="Batang"/>
          <w:lang w:val="en-GB" w:eastAsia="ko-KR"/>
        </w:rPr>
      </w:pPr>
    </w:p>
    <w:p w14:paraId="0C73F6EA" w14:textId="4B7F4E89" w:rsidR="00B313AA" w:rsidRDefault="0057056A" w:rsidP="0057056A">
      <w:pPr>
        <w:rPr>
          <w:rFonts w:ascii="Calibri" w:eastAsia="Malgun Gothic" w:hAnsi="Calibri" w:cs="Batang"/>
          <w:lang w:val="en-GB" w:eastAsia="ko-KR"/>
        </w:rPr>
      </w:pPr>
      <w:r>
        <w:rPr>
          <w:rFonts w:ascii="Calibri" w:eastAsia="Malgun Gothic" w:hAnsi="Calibri" w:cs="Batang"/>
          <w:lang w:val="en-GB" w:eastAsia="ko-KR"/>
        </w:rPr>
        <w:t xml:space="preserve">An example where this framework has already been realized in NR is the </w:t>
      </w:r>
      <w:r w:rsidRPr="0047793F">
        <w:rPr>
          <w:rFonts w:ascii="Calibri" w:eastAsia="Malgun Gothic" w:hAnsi="Calibri" w:cs="Batang"/>
          <w:lang w:val="en-GB" w:eastAsia="ko-KR"/>
        </w:rPr>
        <w:t xml:space="preserve">UE-like mobile termination (MT) function which </w:t>
      </w:r>
      <w:r>
        <w:rPr>
          <w:rFonts w:ascii="Calibri" w:eastAsia="Malgun Gothic" w:hAnsi="Calibri" w:cs="Batang"/>
          <w:lang w:val="en-GB" w:eastAsia="ko-KR"/>
        </w:rPr>
        <w:t xml:space="preserve">is used by Integrated Access and Backhaul (IAB) nodes to </w:t>
      </w:r>
      <w:r w:rsidRPr="0047793F">
        <w:rPr>
          <w:rFonts w:ascii="Calibri" w:eastAsia="Malgun Gothic" w:hAnsi="Calibri" w:cs="Batang"/>
          <w:lang w:val="en-GB" w:eastAsia="ko-KR"/>
        </w:rPr>
        <w:t xml:space="preserve">provide connectivity between the </w:t>
      </w:r>
      <w:r>
        <w:rPr>
          <w:rFonts w:ascii="Calibri" w:eastAsia="Malgun Gothic" w:hAnsi="Calibri" w:cs="Batang"/>
          <w:lang w:val="en-GB" w:eastAsia="ko-KR"/>
        </w:rPr>
        <w:t>IAB</w:t>
      </w:r>
      <w:r w:rsidRPr="0047793F">
        <w:rPr>
          <w:rFonts w:ascii="Calibri" w:eastAsia="Malgun Gothic" w:hAnsi="Calibri" w:cs="Batang"/>
          <w:lang w:val="en-GB" w:eastAsia="ko-KR"/>
        </w:rPr>
        <w:t xml:space="preserve"> node and its parent donor node</w:t>
      </w:r>
      <w:r>
        <w:rPr>
          <w:rFonts w:ascii="Calibri" w:eastAsia="Malgun Gothic" w:hAnsi="Calibri" w:cs="Batang"/>
          <w:lang w:val="en-GB" w:eastAsia="ko-KR"/>
        </w:rPr>
        <w:t xml:space="preserve">. </w:t>
      </w:r>
      <w:r w:rsidR="00A35B31" w:rsidRPr="00A35B31">
        <w:rPr>
          <w:rFonts w:ascii="Calibri" w:eastAsia="Malgun Gothic" w:hAnsi="Calibri" w:cs="Batang"/>
          <w:lang w:val="en-GB" w:eastAsia="ko-KR"/>
        </w:rPr>
        <w:t xml:space="preserve"> </w:t>
      </w:r>
      <w:r w:rsidR="00A35B31" w:rsidRPr="00A35B31">
        <w:rPr>
          <w:rFonts w:ascii="Calibri" w:eastAsia="Malgun Gothic" w:hAnsi="Calibri" w:cs="Batang"/>
          <w:lang w:val="en-GB" w:eastAsia="ko-KR"/>
        </w:rPr>
        <w:lastRenderedPageBreak/>
        <w:t>In Rel-16</w:t>
      </w:r>
      <w:r w:rsidR="000A1D40">
        <w:rPr>
          <w:rFonts w:ascii="Calibri" w:eastAsia="Malgun Gothic" w:hAnsi="Calibri" w:cs="Batang"/>
          <w:lang w:val="en-GB" w:eastAsia="ko-KR"/>
        </w:rPr>
        <w:t>,</w:t>
      </w:r>
      <w:r w:rsidR="00A35B31" w:rsidRPr="00A35B31">
        <w:rPr>
          <w:rFonts w:ascii="Calibri" w:eastAsia="Malgun Gothic" w:hAnsi="Calibri" w:cs="Batang"/>
          <w:lang w:val="en-GB" w:eastAsia="ko-KR"/>
        </w:rPr>
        <w:t xml:space="preserve"> </w:t>
      </w:r>
      <w:bookmarkStart w:id="8" w:name="OLE_LINK4"/>
      <w:r w:rsidR="00A35B31" w:rsidRPr="00A35B31">
        <w:rPr>
          <w:rFonts w:ascii="Calibri" w:eastAsia="Malgun Gothic" w:hAnsi="Calibri" w:cs="Batang"/>
          <w:lang w:val="en-GB" w:eastAsia="ko-KR"/>
        </w:rPr>
        <w:t>the same signals</w:t>
      </w:r>
      <w:r w:rsidR="00BC5B30">
        <w:rPr>
          <w:rFonts w:ascii="Calibri" w:eastAsia="Malgun Gothic" w:hAnsi="Calibri" w:cs="Batang"/>
          <w:lang w:val="en-GB" w:eastAsia="ko-KR"/>
        </w:rPr>
        <w:t xml:space="preserve">, </w:t>
      </w:r>
      <w:r w:rsidR="00A35B31" w:rsidRPr="00A35B31">
        <w:rPr>
          <w:rFonts w:ascii="Calibri" w:eastAsia="Malgun Gothic" w:hAnsi="Calibri" w:cs="Batang"/>
          <w:lang w:val="en-GB" w:eastAsia="ko-KR"/>
        </w:rPr>
        <w:t>channels</w:t>
      </w:r>
      <w:r w:rsidR="00277C72">
        <w:rPr>
          <w:rFonts w:ascii="Calibri" w:eastAsia="Malgun Gothic" w:hAnsi="Calibri" w:cs="Batang"/>
          <w:lang w:val="en-GB" w:eastAsia="ko-KR"/>
        </w:rPr>
        <w:t>,</w:t>
      </w:r>
      <w:r w:rsidR="00A35B31" w:rsidRPr="00A35B31">
        <w:rPr>
          <w:rFonts w:ascii="Calibri" w:eastAsia="Malgun Gothic" w:hAnsi="Calibri" w:cs="Batang"/>
          <w:lang w:val="en-GB" w:eastAsia="ko-KR"/>
        </w:rPr>
        <w:t xml:space="preserve"> </w:t>
      </w:r>
      <w:r w:rsidR="00BC5B30">
        <w:rPr>
          <w:rFonts w:ascii="Calibri" w:eastAsia="Malgun Gothic" w:hAnsi="Calibri" w:cs="Batang"/>
          <w:lang w:val="en-GB" w:eastAsia="ko-KR"/>
        </w:rPr>
        <w:t>and procedures</w:t>
      </w:r>
      <w:r w:rsidR="00A35B31" w:rsidRPr="00A35B31">
        <w:rPr>
          <w:rFonts w:ascii="Calibri" w:eastAsia="Malgun Gothic" w:hAnsi="Calibri" w:cs="Batang"/>
          <w:lang w:val="en-GB" w:eastAsia="ko-KR"/>
        </w:rPr>
        <w:t xml:space="preserve"> used by </w:t>
      </w:r>
      <w:r w:rsidR="000A1D40">
        <w:rPr>
          <w:rFonts w:ascii="Calibri" w:eastAsia="Malgun Gothic" w:hAnsi="Calibri" w:cs="Batang"/>
          <w:lang w:val="en-GB" w:eastAsia="ko-KR"/>
        </w:rPr>
        <w:t>regular</w:t>
      </w:r>
      <w:r w:rsidR="00A35B31" w:rsidRPr="00A35B31">
        <w:rPr>
          <w:rFonts w:ascii="Calibri" w:eastAsia="Malgun Gothic" w:hAnsi="Calibri" w:cs="Batang"/>
          <w:lang w:val="en-GB" w:eastAsia="ko-KR"/>
        </w:rPr>
        <w:t xml:space="preserve"> UEs were </w:t>
      </w:r>
      <w:r w:rsidR="000A1D40">
        <w:rPr>
          <w:rFonts w:ascii="Calibri" w:eastAsia="Malgun Gothic" w:hAnsi="Calibri" w:cs="Batang"/>
          <w:lang w:val="en-GB" w:eastAsia="ko-KR"/>
        </w:rPr>
        <w:t>extended</w:t>
      </w:r>
      <w:r w:rsidR="00A35B31" w:rsidRPr="00A35B31">
        <w:rPr>
          <w:rFonts w:ascii="Calibri" w:eastAsia="Malgun Gothic" w:hAnsi="Calibri" w:cs="Batang"/>
          <w:lang w:val="en-GB" w:eastAsia="ko-KR"/>
        </w:rPr>
        <w:t xml:space="preserve"> </w:t>
      </w:r>
      <w:r w:rsidR="00277C72">
        <w:rPr>
          <w:rFonts w:ascii="Calibri" w:eastAsia="Malgun Gothic" w:hAnsi="Calibri" w:cs="Batang"/>
          <w:lang w:val="en-GB" w:eastAsia="ko-KR"/>
        </w:rPr>
        <w:t xml:space="preserve">to </w:t>
      </w:r>
      <w:r w:rsidR="00A35B31" w:rsidRPr="00A35B31">
        <w:rPr>
          <w:rFonts w:ascii="Calibri" w:eastAsia="Malgun Gothic" w:hAnsi="Calibri" w:cs="Batang"/>
          <w:lang w:val="en-GB" w:eastAsia="ko-KR"/>
        </w:rPr>
        <w:t>the IAB</w:t>
      </w:r>
      <w:r w:rsidR="000A1D40">
        <w:rPr>
          <w:rFonts w:ascii="Calibri" w:eastAsia="Malgun Gothic" w:hAnsi="Calibri" w:cs="Batang"/>
          <w:lang w:val="en-GB" w:eastAsia="ko-KR"/>
        </w:rPr>
        <w:t>-MT</w:t>
      </w:r>
      <w:r w:rsidR="00A35B31" w:rsidRPr="00A35B31">
        <w:rPr>
          <w:rFonts w:ascii="Calibri" w:eastAsia="Malgun Gothic" w:hAnsi="Calibri" w:cs="Batang"/>
          <w:lang w:val="en-GB" w:eastAsia="ko-KR"/>
        </w:rPr>
        <w:t xml:space="preserve"> </w:t>
      </w:r>
      <w:r w:rsidR="00277C72">
        <w:rPr>
          <w:rFonts w:ascii="Calibri" w:eastAsia="Malgun Gothic" w:hAnsi="Calibri" w:cs="Batang"/>
          <w:lang w:val="en-GB" w:eastAsia="ko-KR"/>
        </w:rPr>
        <w:t>for in</w:t>
      </w:r>
      <w:r w:rsidR="00C147AA">
        <w:rPr>
          <w:rFonts w:ascii="Calibri" w:eastAsia="Malgun Gothic" w:hAnsi="Calibri" w:cs="Batang"/>
          <w:lang w:val="en-GB" w:eastAsia="ko-KR"/>
        </w:rPr>
        <w:t>i</w:t>
      </w:r>
      <w:r w:rsidR="00277C72">
        <w:rPr>
          <w:rFonts w:ascii="Calibri" w:eastAsia="Malgun Gothic" w:hAnsi="Calibri" w:cs="Batang"/>
          <w:lang w:val="en-GB" w:eastAsia="ko-KR"/>
        </w:rPr>
        <w:t>tial access</w:t>
      </w:r>
      <w:r w:rsidR="004B76EC">
        <w:rPr>
          <w:rFonts w:ascii="Calibri" w:eastAsia="Malgun Gothic" w:hAnsi="Calibri" w:cs="Batang"/>
          <w:lang w:val="en-GB" w:eastAsia="ko-KR"/>
        </w:rPr>
        <w:t xml:space="preserve"> and</w:t>
      </w:r>
      <w:r w:rsidR="00277C72">
        <w:rPr>
          <w:rFonts w:ascii="Calibri" w:eastAsia="Malgun Gothic" w:hAnsi="Calibri" w:cs="Batang"/>
          <w:lang w:val="en-GB" w:eastAsia="ko-KR"/>
        </w:rPr>
        <w:t xml:space="preserve"> </w:t>
      </w:r>
      <w:r w:rsidR="000A1D40">
        <w:rPr>
          <w:rFonts w:ascii="Calibri" w:eastAsia="Malgun Gothic" w:hAnsi="Calibri" w:cs="Batang"/>
          <w:lang w:val="en-GB" w:eastAsia="ko-KR"/>
        </w:rPr>
        <w:t xml:space="preserve">connection </w:t>
      </w:r>
      <w:r w:rsidR="00257640">
        <w:rPr>
          <w:rFonts w:ascii="Calibri" w:eastAsia="Malgun Gothic" w:hAnsi="Calibri" w:cs="Batang"/>
          <w:lang w:val="en-GB" w:eastAsia="ko-KR"/>
        </w:rPr>
        <w:t>(re)</w:t>
      </w:r>
      <w:r w:rsidR="000A1D40">
        <w:rPr>
          <w:rFonts w:ascii="Calibri" w:eastAsia="Malgun Gothic" w:hAnsi="Calibri" w:cs="Batang"/>
          <w:lang w:val="en-GB" w:eastAsia="ko-KR"/>
        </w:rPr>
        <w:t>establishment</w:t>
      </w:r>
      <w:r w:rsidR="004B76EC">
        <w:rPr>
          <w:rFonts w:ascii="Calibri" w:eastAsia="Malgun Gothic" w:hAnsi="Calibri" w:cs="Batang"/>
          <w:lang w:val="en-GB" w:eastAsia="ko-KR"/>
        </w:rPr>
        <w:t>, as well as for RL</w:t>
      </w:r>
      <w:r w:rsidR="00316740">
        <w:rPr>
          <w:rFonts w:ascii="Calibri" w:eastAsia="Malgun Gothic" w:hAnsi="Calibri" w:cs="Batang"/>
          <w:lang w:val="en-GB" w:eastAsia="ko-KR"/>
        </w:rPr>
        <w:t>M</w:t>
      </w:r>
      <w:r w:rsidR="004B76EC">
        <w:rPr>
          <w:rFonts w:ascii="Calibri" w:eastAsia="Malgun Gothic" w:hAnsi="Calibri" w:cs="Batang"/>
          <w:lang w:val="en-GB" w:eastAsia="ko-KR"/>
        </w:rPr>
        <w:t>/RRM purposes</w:t>
      </w:r>
      <w:bookmarkEnd w:id="8"/>
      <w:r w:rsidR="00A35B31" w:rsidRPr="00A35B31">
        <w:rPr>
          <w:rFonts w:ascii="Calibri" w:eastAsia="Malgun Gothic" w:hAnsi="Calibri" w:cs="Batang"/>
          <w:lang w:val="en-GB" w:eastAsia="ko-KR"/>
        </w:rPr>
        <w:t xml:space="preserve">. </w:t>
      </w:r>
      <w:r>
        <w:rPr>
          <w:rFonts w:ascii="Calibri" w:eastAsia="Malgun Gothic" w:hAnsi="Calibri" w:cs="Batang"/>
          <w:lang w:val="en-GB" w:eastAsia="ko-KR"/>
        </w:rPr>
        <w:t>While the IAB-MT’s capabilities are much greater than envisioned for network-controlled repeaters since it also has L2 relay and topology/routing management functionality, the configuration of the air interface features of the backhaul and access links of the IAB node (e.g.</w:t>
      </w:r>
      <w:r w:rsidR="0070754C">
        <w:rPr>
          <w:rFonts w:ascii="Calibri" w:eastAsia="Malgun Gothic" w:hAnsi="Calibri" w:cs="Batang"/>
          <w:lang w:val="en-GB" w:eastAsia="ko-KR"/>
        </w:rPr>
        <w:t>,</w:t>
      </w:r>
      <w:r>
        <w:rPr>
          <w:rFonts w:ascii="Calibri" w:eastAsia="Malgun Gothic" w:hAnsi="Calibri" w:cs="Batang"/>
          <w:lang w:val="en-GB" w:eastAsia="ko-KR"/>
        </w:rPr>
        <w:t xml:space="preserve"> timing, power control, time/frequency/spatial resources) are very aligned with the requirements for network-controlled repeaters. As a result, the IAB-MT control information signal</w:t>
      </w:r>
      <w:r w:rsidR="00B437E2">
        <w:rPr>
          <w:rFonts w:ascii="Calibri" w:eastAsia="Malgun Gothic" w:hAnsi="Calibri" w:cs="Batang"/>
          <w:lang w:val="en-GB" w:eastAsia="ko-KR"/>
        </w:rPr>
        <w:t>l</w:t>
      </w:r>
      <w:r>
        <w:rPr>
          <w:rFonts w:ascii="Calibri" w:eastAsia="Malgun Gothic" w:hAnsi="Calibri" w:cs="Batang"/>
          <w:lang w:val="en-GB" w:eastAsia="ko-KR"/>
        </w:rPr>
        <w:t>ing framework can be taken as a starting point for defining the signa</w:t>
      </w:r>
      <w:r w:rsidR="00B437E2">
        <w:rPr>
          <w:rFonts w:ascii="Calibri" w:eastAsia="Malgun Gothic" w:hAnsi="Calibri" w:cs="Batang"/>
          <w:lang w:val="en-GB" w:eastAsia="ko-KR"/>
        </w:rPr>
        <w:t>l</w:t>
      </w:r>
      <w:r>
        <w:rPr>
          <w:rFonts w:ascii="Calibri" w:eastAsia="Malgun Gothic" w:hAnsi="Calibri" w:cs="Batang"/>
          <w:lang w:val="en-GB" w:eastAsia="ko-KR"/>
        </w:rPr>
        <w:t xml:space="preserve">ling framework of network-controlled repeaters and should be reused as much as possible. </w:t>
      </w:r>
    </w:p>
    <w:p w14:paraId="26A184D7" w14:textId="048D5E2F" w:rsidR="00EE3961" w:rsidRDefault="00316740" w:rsidP="0057056A">
      <w:pPr>
        <w:rPr>
          <w:rFonts w:ascii="Calibri" w:eastAsia="Malgun Gothic" w:hAnsi="Calibri" w:cs="Batang"/>
          <w:lang w:val="en-GB" w:eastAsia="ko-KR"/>
        </w:rPr>
      </w:pPr>
      <w:bookmarkStart w:id="9" w:name="OLE_LINK13"/>
      <w:r>
        <w:rPr>
          <w:rFonts w:ascii="Calibri" w:eastAsia="Malgun Gothic" w:hAnsi="Calibri" w:cs="Batang"/>
          <w:lang w:val="en-GB" w:eastAsia="ko-KR"/>
        </w:rPr>
        <w:t xml:space="preserve">It is noted that the Rel-16 IAB and Rel-18 NCR use cases emphasize support for fixed, operator-controlled deployments. </w:t>
      </w:r>
      <w:r w:rsidR="001770A0">
        <w:rPr>
          <w:rFonts w:ascii="Calibri" w:eastAsia="Malgun Gothic" w:hAnsi="Calibri" w:cs="Batang"/>
          <w:lang w:val="en-GB" w:eastAsia="ko-KR"/>
        </w:rPr>
        <w:t>As a result, one major enhancement supported for IAB-MTs compared to regular access UEs was the extension of the SSB measurement timing configuration (SMTC) to support significantly larger periodici</w:t>
      </w:r>
      <w:r w:rsidR="003155BB">
        <w:rPr>
          <w:rFonts w:ascii="Calibri" w:eastAsia="Malgun Gothic" w:hAnsi="Calibri" w:cs="Batang"/>
          <w:lang w:val="en-GB" w:eastAsia="ko-KR"/>
        </w:rPr>
        <w:t>ti</w:t>
      </w:r>
      <w:r w:rsidR="001770A0">
        <w:rPr>
          <w:rFonts w:ascii="Calibri" w:eastAsia="Malgun Gothic" w:hAnsi="Calibri" w:cs="Batang"/>
          <w:lang w:val="en-GB" w:eastAsia="ko-KR"/>
        </w:rPr>
        <w:t xml:space="preserve">es for the measurements required for cell (re)selection and </w:t>
      </w:r>
      <w:r w:rsidR="003155BB">
        <w:rPr>
          <w:rFonts w:ascii="Calibri" w:eastAsia="Malgun Gothic" w:hAnsi="Calibri" w:cs="Batang"/>
          <w:lang w:val="en-GB" w:eastAsia="ko-KR"/>
        </w:rPr>
        <w:t>radio link monitoring</w:t>
      </w:r>
      <w:r w:rsidR="00E0507C">
        <w:rPr>
          <w:rFonts w:ascii="Calibri" w:eastAsia="Malgun Gothic" w:hAnsi="Calibri" w:cs="Batang"/>
          <w:lang w:val="en-GB" w:eastAsia="ko-KR"/>
        </w:rPr>
        <w:t>.</w:t>
      </w:r>
      <w:r w:rsidR="003155BB">
        <w:rPr>
          <w:rFonts w:ascii="Calibri" w:eastAsia="Malgun Gothic" w:hAnsi="Calibri" w:cs="Batang"/>
          <w:lang w:val="en-GB" w:eastAsia="ko-KR"/>
        </w:rPr>
        <w:t xml:space="preserve"> Access UEs have a maximum periodicity of 160ms, but in practice will utilize a much shorter periodicity (</w:t>
      </w:r>
      <w:proofErr w:type="gramStart"/>
      <w:r w:rsidR="003155BB">
        <w:rPr>
          <w:rFonts w:ascii="Calibri" w:eastAsia="Malgun Gothic" w:hAnsi="Calibri" w:cs="Batang"/>
          <w:lang w:val="en-GB" w:eastAsia="ko-KR"/>
        </w:rPr>
        <w:t>e.g.</w:t>
      </w:r>
      <w:proofErr w:type="gramEnd"/>
      <w:r w:rsidR="003155BB">
        <w:rPr>
          <w:rFonts w:ascii="Calibri" w:eastAsia="Malgun Gothic" w:hAnsi="Calibri" w:cs="Batang"/>
          <w:lang w:val="en-GB" w:eastAsia="ko-KR"/>
        </w:rPr>
        <w:t xml:space="preserve"> the default 20ms periodicity) due to mobility and dynamic channel conditions. However as shown in </w:t>
      </w:r>
      <w:r w:rsidR="002E1518">
        <w:rPr>
          <w:rFonts w:ascii="Calibri" w:eastAsia="Malgun Gothic" w:hAnsi="Calibri" w:cs="Batang"/>
          <w:lang w:val="en-GB" w:eastAsia="ko-KR"/>
        </w:rPr>
        <w:t xml:space="preserve">TS </w:t>
      </w:r>
      <w:r w:rsidR="003155BB">
        <w:rPr>
          <w:rFonts w:ascii="Calibri" w:eastAsia="Malgun Gothic" w:hAnsi="Calibri" w:cs="Batang"/>
          <w:lang w:val="en-GB" w:eastAsia="ko-KR"/>
        </w:rPr>
        <w:t>38.331</w:t>
      </w:r>
      <w:r w:rsidR="002E1518">
        <w:rPr>
          <w:rFonts w:ascii="Calibri" w:eastAsia="Malgun Gothic" w:hAnsi="Calibri" w:cs="Batang"/>
          <w:lang w:val="en-GB" w:eastAsia="ko-KR"/>
        </w:rPr>
        <w:t>,</w:t>
      </w:r>
      <w:r w:rsidR="003155BB">
        <w:rPr>
          <w:rFonts w:ascii="Calibri" w:eastAsia="Malgun Gothic" w:hAnsi="Calibri" w:cs="Batang"/>
          <w:lang w:val="en-GB" w:eastAsia="ko-KR"/>
        </w:rPr>
        <w:t xml:space="preserve"> IAB-MTs may </w:t>
      </w:r>
      <w:r w:rsidR="008370EA">
        <w:rPr>
          <w:rFonts w:ascii="Calibri" w:eastAsia="Malgun Gothic" w:hAnsi="Calibri" w:cs="Batang"/>
          <w:lang w:val="en-GB" w:eastAsia="ko-KR"/>
        </w:rPr>
        <w:t>utilize</w:t>
      </w:r>
      <w:r w:rsidR="003155BB">
        <w:rPr>
          <w:rFonts w:ascii="Calibri" w:eastAsia="Malgun Gothic" w:hAnsi="Calibri" w:cs="Batang"/>
          <w:lang w:val="en-GB" w:eastAsia="ko-KR"/>
        </w:rPr>
        <w:t xml:space="preserve"> the SSB-MTC3</w:t>
      </w:r>
      <w:r w:rsidR="00E24C65">
        <w:rPr>
          <w:rFonts w:ascii="Calibri" w:eastAsia="Malgun Gothic" w:hAnsi="Calibri" w:cs="Batang"/>
          <w:lang w:val="en-GB" w:eastAsia="ko-KR"/>
        </w:rPr>
        <w:t>-r16</w:t>
      </w:r>
      <w:r w:rsidR="003155BB">
        <w:rPr>
          <w:rFonts w:ascii="Calibri" w:eastAsia="Malgun Gothic" w:hAnsi="Calibri" w:cs="Batang"/>
          <w:lang w:val="en-GB" w:eastAsia="ko-KR"/>
        </w:rPr>
        <w:t xml:space="preserve"> configuration which has up to</w:t>
      </w:r>
      <w:r w:rsidR="008370EA">
        <w:rPr>
          <w:rFonts w:ascii="Calibri" w:eastAsia="Malgun Gothic" w:hAnsi="Calibri" w:cs="Batang"/>
          <w:lang w:val="en-GB" w:eastAsia="ko-KR"/>
        </w:rPr>
        <w:t xml:space="preserve"> 1280ms for the periodicity between SSB measurements of the donor </w:t>
      </w:r>
      <w:proofErr w:type="spellStart"/>
      <w:r w:rsidR="008370EA">
        <w:rPr>
          <w:rFonts w:ascii="Calibri" w:eastAsia="Malgun Gothic" w:hAnsi="Calibri" w:cs="Batang"/>
          <w:lang w:val="en-GB" w:eastAsia="ko-KR"/>
        </w:rPr>
        <w:t>gNB</w:t>
      </w:r>
      <w:proofErr w:type="spellEnd"/>
      <w:r w:rsidR="00EE3961">
        <w:rPr>
          <w:rFonts w:ascii="Calibri" w:eastAsia="Malgun Gothic" w:hAnsi="Calibri" w:cs="Batang"/>
          <w:lang w:val="en-GB" w:eastAsia="ko-KR"/>
        </w:rPr>
        <w:t>:</w:t>
      </w:r>
    </w:p>
    <w:bookmarkEnd w:id="9"/>
    <w:p w14:paraId="1BEB191F" w14:textId="77777777" w:rsidR="00476DD8" w:rsidRPr="00B55E3E" w:rsidRDefault="008370EA" w:rsidP="00476DD8">
      <w:pPr>
        <w:pStyle w:val="Heading4"/>
        <w:numPr>
          <w:ilvl w:val="0"/>
          <w:numId w:val="0"/>
        </w:numPr>
      </w:pPr>
      <w:r>
        <w:rPr>
          <w:rFonts w:ascii="Calibri" w:eastAsia="Malgun Gothic" w:hAnsi="Calibri" w:cs="Batang"/>
          <w:lang w:val="en-GB" w:eastAsia="ko-KR"/>
        </w:rPr>
        <w:t xml:space="preserve"> </w:t>
      </w:r>
      <w:bookmarkStart w:id="10" w:name="_Toc60777402"/>
      <w:bookmarkStart w:id="11" w:name="_Toc115429233"/>
      <w:r w:rsidR="00476DD8" w:rsidRPr="00B55E3E">
        <w:t>–</w:t>
      </w:r>
      <w:r w:rsidR="00476DD8" w:rsidRPr="00B55E3E">
        <w:tab/>
      </w:r>
      <w:r w:rsidR="00476DD8" w:rsidRPr="00B55E3E">
        <w:rPr>
          <w:i/>
        </w:rPr>
        <w:t>SSB-MTC</w:t>
      </w:r>
      <w:bookmarkEnd w:id="10"/>
      <w:bookmarkEnd w:id="11"/>
    </w:p>
    <w:p w14:paraId="252F8232" w14:textId="77777777" w:rsidR="00476DD8" w:rsidRPr="00B55E3E" w:rsidRDefault="00476DD8" w:rsidP="00476DD8">
      <w:bookmarkStart w:id="12" w:name="OLE_LINK14"/>
      <w:r w:rsidRPr="00B55E3E">
        <w:t xml:space="preserve">The IE </w:t>
      </w:r>
      <w:r w:rsidRPr="00B55E3E">
        <w:rPr>
          <w:i/>
        </w:rPr>
        <w:t>SSB-MTC</w:t>
      </w:r>
      <w:r w:rsidRPr="00B55E3E">
        <w:t xml:space="preserve"> is used to configure measurement timing configurations, i.e., timing occasions at which the UE measures SSBs.</w:t>
      </w:r>
    </w:p>
    <w:p w14:paraId="2AA27A07" w14:textId="77777777" w:rsidR="00476DD8" w:rsidRPr="00B55E3E" w:rsidRDefault="00476DD8" w:rsidP="00476DD8">
      <w:pPr>
        <w:pStyle w:val="TH"/>
      </w:pPr>
      <w:r w:rsidRPr="00B55E3E">
        <w:rPr>
          <w:i/>
        </w:rPr>
        <w:t>SSB-MTC</w:t>
      </w:r>
      <w:r w:rsidRPr="00B55E3E">
        <w:t xml:space="preserve"> information element</w:t>
      </w:r>
    </w:p>
    <w:p w14:paraId="36302B6C" w14:textId="77777777" w:rsidR="00476DD8" w:rsidRPr="00B55E3E" w:rsidRDefault="00476DD8" w:rsidP="00476DD8">
      <w:pPr>
        <w:pStyle w:val="PL"/>
        <w:rPr>
          <w:color w:val="808080"/>
        </w:rPr>
      </w:pPr>
      <w:r w:rsidRPr="00B55E3E">
        <w:rPr>
          <w:color w:val="808080"/>
        </w:rPr>
        <w:t>-- ASN1START</w:t>
      </w:r>
    </w:p>
    <w:p w14:paraId="70FE8FA5" w14:textId="77777777" w:rsidR="00476DD8" w:rsidRPr="00B55E3E" w:rsidRDefault="00476DD8" w:rsidP="00476DD8">
      <w:pPr>
        <w:pStyle w:val="PL"/>
        <w:rPr>
          <w:color w:val="808080"/>
        </w:rPr>
      </w:pPr>
      <w:r w:rsidRPr="00B55E3E">
        <w:rPr>
          <w:color w:val="808080"/>
        </w:rPr>
        <w:t>-- TAG-SSB-MTC-START</w:t>
      </w:r>
    </w:p>
    <w:p w14:paraId="70D99CBB" w14:textId="77777777" w:rsidR="00476DD8" w:rsidRPr="00B55E3E" w:rsidRDefault="00476DD8" w:rsidP="00476DD8">
      <w:pPr>
        <w:pStyle w:val="PL"/>
      </w:pPr>
    </w:p>
    <w:p w14:paraId="675EB26F" w14:textId="77777777" w:rsidR="00476DD8" w:rsidRPr="00B55E3E" w:rsidRDefault="00476DD8" w:rsidP="00476DD8">
      <w:pPr>
        <w:pStyle w:val="PL"/>
      </w:pPr>
      <w:r w:rsidRPr="00B55E3E">
        <w:t xml:space="preserve">SSB-MTC ::=                             </w:t>
      </w:r>
      <w:r w:rsidRPr="00B55E3E">
        <w:rPr>
          <w:color w:val="993366"/>
        </w:rPr>
        <w:t>SEQUENCE</w:t>
      </w:r>
      <w:r w:rsidRPr="00B55E3E">
        <w:t xml:space="preserve"> {</w:t>
      </w:r>
    </w:p>
    <w:p w14:paraId="36F039F2" w14:textId="77777777" w:rsidR="00476DD8" w:rsidRPr="00B55E3E" w:rsidRDefault="00476DD8" w:rsidP="00476DD8">
      <w:pPr>
        <w:pStyle w:val="PL"/>
      </w:pPr>
      <w:r w:rsidRPr="00B55E3E">
        <w:t xml:space="preserve">    periodicityAndOffset                    </w:t>
      </w:r>
      <w:r w:rsidRPr="00B55E3E">
        <w:rPr>
          <w:color w:val="993366"/>
        </w:rPr>
        <w:t>CHOICE</w:t>
      </w:r>
      <w:r w:rsidRPr="00B55E3E">
        <w:t xml:space="preserve"> {</w:t>
      </w:r>
    </w:p>
    <w:p w14:paraId="38EBC8CA" w14:textId="77777777" w:rsidR="00476DD8" w:rsidRPr="00B55E3E" w:rsidRDefault="00476DD8" w:rsidP="00476DD8">
      <w:pPr>
        <w:pStyle w:val="PL"/>
      </w:pPr>
      <w:r w:rsidRPr="00B55E3E">
        <w:t xml:space="preserve">        sf5                                 </w:t>
      </w:r>
      <w:r w:rsidRPr="00B55E3E">
        <w:rPr>
          <w:color w:val="993366"/>
        </w:rPr>
        <w:t>INTEGER</w:t>
      </w:r>
      <w:r w:rsidRPr="00B55E3E">
        <w:t xml:space="preserve"> (0..4),</w:t>
      </w:r>
    </w:p>
    <w:p w14:paraId="4882B8FC" w14:textId="77777777" w:rsidR="00476DD8" w:rsidRPr="00B55E3E" w:rsidRDefault="00476DD8" w:rsidP="00476DD8">
      <w:pPr>
        <w:pStyle w:val="PL"/>
      </w:pPr>
      <w:r w:rsidRPr="00B55E3E">
        <w:t xml:space="preserve">        sf10                                    </w:t>
      </w:r>
      <w:r w:rsidRPr="00B55E3E">
        <w:rPr>
          <w:color w:val="993366"/>
        </w:rPr>
        <w:t>INTEGER</w:t>
      </w:r>
      <w:r w:rsidRPr="00B55E3E">
        <w:t xml:space="preserve"> (0..9),</w:t>
      </w:r>
    </w:p>
    <w:p w14:paraId="59FF7FF3" w14:textId="77777777" w:rsidR="00476DD8" w:rsidRPr="00B55E3E" w:rsidRDefault="00476DD8" w:rsidP="00476DD8">
      <w:pPr>
        <w:pStyle w:val="PL"/>
      </w:pPr>
      <w:r w:rsidRPr="00B55E3E">
        <w:t xml:space="preserve">        sf20                                    </w:t>
      </w:r>
      <w:r w:rsidRPr="00B55E3E">
        <w:rPr>
          <w:color w:val="993366"/>
        </w:rPr>
        <w:t>INTEGER</w:t>
      </w:r>
      <w:r w:rsidRPr="00B55E3E">
        <w:t xml:space="preserve"> (0..19),</w:t>
      </w:r>
    </w:p>
    <w:p w14:paraId="39DC7667" w14:textId="77777777" w:rsidR="00476DD8" w:rsidRPr="00B55E3E" w:rsidRDefault="00476DD8" w:rsidP="00476DD8">
      <w:pPr>
        <w:pStyle w:val="PL"/>
      </w:pPr>
      <w:r w:rsidRPr="00B55E3E">
        <w:t xml:space="preserve">        sf40                                    </w:t>
      </w:r>
      <w:r w:rsidRPr="00B55E3E">
        <w:rPr>
          <w:color w:val="993366"/>
        </w:rPr>
        <w:t>INTEGER</w:t>
      </w:r>
      <w:r w:rsidRPr="00B55E3E">
        <w:t xml:space="preserve"> (0..39),</w:t>
      </w:r>
    </w:p>
    <w:p w14:paraId="59B72130" w14:textId="77777777" w:rsidR="00476DD8" w:rsidRPr="00B55E3E" w:rsidRDefault="00476DD8" w:rsidP="00476DD8">
      <w:pPr>
        <w:pStyle w:val="PL"/>
      </w:pPr>
      <w:r w:rsidRPr="00B55E3E">
        <w:t xml:space="preserve">        sf80                                    </w:t>
      </w:r>
      <w:r w:rsidRPr="00B55E3E">
        <w:rPr>
          <w:color w:val="993366"/>
        </w:rPr>
        <w:t>INTEGER</w:t>
      </w:r>
      <w:r w:rsidRPr="00B55E3E">
        <w:t xml:space="preserve"> (0..79),</w:t>
      </w:r>
    </w:p>
    <w:p w14:paraId="61810B1F" w14:textId="77777777" w:rsidR="00476DD8" w:rsidRPr="00B55E3E" w:rsidRDefault="00476DD8" w:rsidP="00476DD8">
      <w:pPr>
        <w:pStyle w:val="PL"/>
      </w:pPr>
      <w:r w:rsidRPr="00B55E3E">
        <w:t xml:space="preserve">        sf160                                   </w:t>
      </w:r>
      <w:r w:rsidRPr="00B55E3E">
        <w:rPr>
          <w:color w:val="993366"/>
        </w:rPr>
        <w:t>INTEGER</w:t>
      </w:r>
      <w:r w:rsidRPr="00B55E3E">
        <w:t xml:space="preserve"> (0..159)</w:t>
      </w:r>
    </w:p>
    <w:p w14:paraId="2E94988D" w14:textId="77777777" w:rsidR="00476DD8" w:rsidRPr="00B55E3E" w:rsidRDefault="00476DD8" w:rsidP="00476DD8">
      <w:pPr>
        <w:pStyle w:val="PL"/>
      </w:pPr>
      <w:r w:rsidRPr="00B55E3E">
        <w:t xml:space="preserve">    },</w:t>
      </w:r>
    </w:p>
    <w:p w14:paraId="15AD2F78" w14:textId="77777777" w:rsidR="00476DD8" w:rsidRPr="00B55E3E" w:rsidRDefault="00476DD8" w:rsidP="00476DD8">
      <w:pPr>
        <w:pStyle w:val="PL"/>
      </w:pPr>
      <w:r w:rsidRPr="00B55E3E">
        <w:t xml:space="preserve">    duration                                </w:t>
      </w:r>
      <w:r w:rsidRPr="00B55E3E">
        <w:rPr>
          <w:color w:val="993366"/>
        </w:rPr>
        <w:t>ENUMERATED</w:t>
      </w:r>
      <w:r w:rsidRPr="00B55E3E">
        <w:t xml:space="preserve"> { sf1, sf2, sf3, sf4, sf5 }</w:t>
      </w:r>
    </w:p>
    <w:p w14:paraId="3002C4B1" w14:textId="77777777" w:rsidR="00476DD8" w:rsidRPr="00B55E3E" w:rsidRDefault="00476DD8" w:rsidP="00476DD8">
      <w:pPr>
        <w:pStyle w:val="PL"/>
      </w:pPr>
      <w:r w:rsidRPr="00B55E3E">
        <w:t>}</w:t>
      </w:r>
    </w:p>
    <w:p w14:paraId="754099AE" w14:textId="77777777" w:rsidR="00476DD8" w:rsidRPr="00B55E3E" w:rsidRDefault="00476DD8" w:rsidP="00476DD8">
      <w:pPr>
        <w:pStyle w:val="PL"/>
      </w:pPr>
    </w:p>
    <w:p w14:paraId="4A54B12E" w14:textId="77777777" w:rsidR="00476DD8" w:rsidRPr="00B55E3E" w:rsidRDefault="00476DD8" w:rsidP="00476DD8">
      <w:pPr>
        <w:pStyle w:val="PL"/>
      </w:pPr>
      <w:r w:rsidRPr="00B55E3E">
        <w:t xml:space="preserve">SSB-MTC2 ::=                        </w:t>
      </w:r>
      <w:r w:rsidRPr="00B55E3E">
        <w:rPr>
          <w:color w:val="993366"/>
        </w:rPr>
        <w:t>SEQUENCE</w:t>
      </w:r>
      <w:r w:rsidRPr="00B55E3E">
        <w:t xml:space="preserve"> {</w:t>
      </w:r>
    </w:p>
    <w:p w14:paraId="2E1E0D0D" w14:textId="77777777" w:rsidR="00476DD8" w:rsidRPr="00B55E3E" w:rsidRDefault="00476DD8" w:rsidP="00476DD8">
      <w:pPr>
        <w:pStyle w:val="PL"/>
        <w:rPr>
          <w:color w:val="808080"/>
        </w:rPr>
      </w:pPr>
      <w:r w:rsidRPr="00B55E3E">
        <w:t xml:space="preserve">    pci-List                            </w:t>
      </w:r>
      <w:r w:rsidRPr="00B55E3E">
        <w:rPr>
          <w:color w:val="993366"/>
        </w:rPr>
        <w:t>SEQUENCE</w:t>
      </w:r>
      <w:r w:rsidRPr="00B55E3E">
        <w:t xml:space="preserve"> (</w:t>
      </w:r>
      <w:r w:rsidRPr="00B55E3E">
        <w:rPr>
          <w:color w:val="993366"/>
        </w:rPr>
        <w:t>SIZE</w:t>
      </w:r>
      <w:r w:rsidRPr="00B55E3E">
        <w:t xml:space="preserve"> (1..maxNrofPCIsPerSMTC))</w:t>
      </w:r>
      <w:r w:rsidRPr="00B55E3E">
        <w:rPr>
          <w:color w:val="993366"/>
        </w:rPr>
        <w:t xml:space="preserve"> OF</w:t>
      </w:r>
      <w:r w:rsidRPr="00B55E3E">
        <w:t xml:space="preserve"> PhysCellId                   </w:t>
      </w:r>
      <w:r w:rsidRPr="00B55E3E">
        <w:rPr>
          <w:color w:val="993366"/>
        </w:rPr>
        <w:t>OPTIONAL</w:t>
      </w:r>
      <w:r w:rsidRPr="00B55E3E">
        <w:t xml:space="preserve">,   </w:t>
      </w:r>
      <w:r w:rsidRPr="00B55E3E">
        <w:rPr>
          <w:color w:val="808080"/>
        </w:rPr>
        <w:t>-- Need M</w:t>
      </w:r>
    </w:p>
    <w:p w14:paraId="51E76F4F" w14:textId="77777777" w:rsidR="00476DD8" w:rsidRPr="00B55E3E" w:rsidRDefault="00476DD8" w:rsidP="00476DD8">
      <w:pPr>
        <w:pStyle w:val="PL"/>
      </w:pPr>
      <w:r w:rsidRPr="00B55E3E">
        <w:t xml:space="preserve">    periodicity                         </w:t>
      </w:r>
      <w:r w:rsidRPr="00B55E3E">
        <w:rPr>
          <w:color w:val="993366"/>
        </w:rPr>
        <w:t>ENUMERATED</w:t>
      </w:r>
      <w:r w:rsidRPr="00B55E3E">
        <w:t xml:space="preserve"> {sf5, sf10, sf20, sf40, sf80, spare3, spare2, spare1}</w:t>
      </w:r>
    </w:p>
    <w:p w14:paraId="36A5FD65" w14:textId="77777777" w:rsidR="00476DD8" w:rsidRPr="00B55E3E" w:rsidRDefault="00476DD8" w:rsidP="00476DD8">
      <w:pPr>
        <w:pStyle w:val="PL"/>
      </w:pPr>
      <w:r w:rsidRPr="00B55E3E">
        <w:t>}</w:t>
      </w:r>
    </w:p>
    <w:p w14:paraId="18F6E169" w14:textId="77777777" w:rsidR="00476DD8" w:rsidRPr="00B55E3E" w:rsidRDefault="00476DD8" w:rsidP="00476DD8">
      <w:pPr>
        <w:pStyle w:val="PL"/>
      </w:pPr>
    </w:p>
    <w:p w14:paraId="52324B31" w14:textId="77777777" w:rsidR="00476DD8" w:rsidRPr="00B55E3E" w:rsidRDefault="00476DD8" w:rsidP="00476DD8">
      <w:pPr>
        <w:pStyle w:val="PL"/>
      </w:pPr>
      <w:r w:rsidRPr="00B55E3E">
        <w:t xml:space="preserve">SSB-MTC2-LP-r16 ::=                 </w:t>
      </w:r>
      <w:r w:rsidRPr="00B55E3E">
        <w:rPr>
          <w:color w:val="993366"/>
        </w:rPr>
        <w:t>SEQUENCE</w:t>
      </w:r>
      <w:r w:rsidRPr="00B55E3E">
        <w:t xml:space="preserve"> {</w:t>
      </w:r>
    </w:p>
    <w:p w14:paraId="6E7B6CAB" w14:textId="77777777" w:rsidR="00476DD8" w:rsidRPr="00B55E3E" w:rsidRDefault="00476DD8" w:rsidP="00476DD8">
      <w:pPr>
        <w:pStyle w:val="PL"/>
        <w:rPr>
          <w:color w:val="808080"/>
        </w:rPr>
      </w:pPr>
      <w:r w:rsidRPr="00B55E3E">
        <w:t xml:space="preserve">    pci-List                            </w:t>
      </w:r>
      <w:r w:rsidRPr="00B55E3E">
        <w:rPr>
          <w:color w:val="993366"/>
        </w:rPr>
        <w:t>SEQUENCE</w:t>
      </w:r>
      <w:r w:rsidRPr="00B55E3E">
        <w:t xml:space="preserve"> (</w:t>
      </w:r>
      <w:r w:rsidRPr="00B55E3E">
        <w:rPr>
          <w:color w:val="993366"/>
        </w:rPr>
        <w:t>SIZE</w:t>
      </w:r>
      <w:r w:rsidRPr="00B55E3E">
        <w:t xml:space="preserve"> (1..maxNrofPCIsPerSMTC))</w:t>
      </w:r>
      <w:r w:rsidRPr="00B55E3E">
        <w:rPr>
          <w:color w:val="993366"/>
        </w:rPr>
        <w:t xml:space="preserve"> OF</w:t>
      </w:r>
      <w:r w:rsidRPr="00B55E3E">
        <w:t xml:space="preserve"> PhysCellId                   </w:t>
      </w:r>
      <w:r w:rsidRPr="00B55E3E">
        <w:rPr>
          <w:color w:val="993366"/>
        </w:rPr>
        <w:t>OPTIONAL</w:t>
      </w:r>
      <w:r w:rsidRPr="00B55E3E">
        <w:t xml:space="preserve">,   </w:t>
      </w:r>
      <w:r w:rsidRPr="00B55E3E">
        <w:rPr>
          <w:color w:val="808080"/>
        </w:rPr>
        <w:t>-- Need R</w:t>
      </w:r>
    </w:p>
    <w:p w14:paraId="1004BC1C" w14:textId="77777777" w:rsidR="00476DD8" w:rsidRPr="00B55E3E" w:rsidRDefault="00476DD8" w:rsidP="00476DD8">
      <w:pPr>
        <w:pStyle w:val="PL"/>
      </w:pPr>
      <w:r w:rsidRPr="00B55E3E">
        <w:t xml:space="preserve">    periodicity                         </w:t>
      </w:r>
      <w:r w:rsidRPr="00B55E3E">
        <w:rPr>
          <w:color w:val="993366"/>
        </w:rPr>
        <w:t>ENUMERATED</w:t>
      </w:r>
      <w:r w:rsidRPr="00B55E3E">
        <w:t xml:space="preserve"> {sf10, sf20, sf40, sf80, sf160, spare3, spare2, spare1}</w:t>
      </w:r>
    </w:p>
    <w:p w14:paraId="20B12583" w14:textId="77777777" w:rsidR="00476DD8" w:rsidRPr="00B55E3E" w:rsidRDefault="00476DD8" w:rsidP="00476DD8">
      <w:pPr>
        <w:pStyle w:val="PL"/>
      </w:pPr>
      <w:r w:rsidRPr="00B55E3E">
        <w:t>}</w:t>
      </w:r>
    </w:p>
    <w:p w14:paraId="46F8D3ED" w14:textId="77777777" w:rsidR="00476DD8" w:rsidRPr="00B55E3E" w:rsidRDefault="00476DD8" w:rsidP="00476DD8">
      <w:pPr>
        <w:pStyle w:val="PL"/>
      </w:pPr>
    </w:p>
    <w:p w14:paraId="52E713EC" w14:textId="77777777" w:rsidR="00476DD8" w:rsidRPr="00B55E3E" w:rsidRDefault="00476DD8" w:rsidP="00476DD8">
      <w:pPr>
        <w:pStyle w:val="PL"/>
      </w:pPr>
      <w:r w:rsidRPr="00B55E3E">
        <w:t xml:space="preserve">SSB-MTC3-r16 ::=                    </w:t>
      </w:r>
      <w:r w:rsidRPr="00B55E3E">
        <w:rPr>
          <w:color w:val="993366"/>
        </w:rPr>
        <w:t>SEQUENCE</w:t>
      </w:r>
      <w:r w:rsidRPr="00B55E3E">
        <w:t xml:space="preserve"> {</w:t>
      </w:r>
    </w:p>
    <w:p w14:paraId="05F422FF" w14:textId="77777777" w:rsidR="00476DD8" w:rsidRPr="00B55E3E" w:rsidRDefault="00476DD8" w:rsidP="00476DD8">
      <w:pPr>
        <w:pStyle w:val="PL"/>
      </w:pPr>
      <w:r w:rsidRPr="00B55E3E">
        <w:t xml:space="preserve">    periodicityAndOffset-r16            </w:t>
      </w:r>
      <w:r w:rsidRPr="00B55E3E">
        <w:rPr>
          <w:color w:val="993366"/>
        </w:rPr>
        <w:t>CHOICE</w:t>
      </w:r>
      <w:r w:rsidRPr="00B55E3E">
        <w:t xml:space="preserve"> {</w:t>
      </w:r>
    </w:p>
    <w:p w14:paraId="01EF5773" w14:textId="77777777" w:rsidR="00476DD8" w:rsidRPr="00B55E3E" w:rsidRDefault="00476DD8" w:rsidP="00476DD8">
      <w:pPr>
        <w:pStyle w:val="PL"/>
      </w:pPr>
      <w:r w:rsidRPr="00B55E3E">
        <w:t xml:space="preserve">        sf5-r16                                     </w:t>
      </w:r>
      <w:r w:rsidRPr="00B55E3E">
        <w:rPr>
          <w:color w:val="993366"/>
        </w:rPr>
        <w:t>INTEGER</w:t>
      </w:r>
      <w:r w:rsidRPr="00B55E3E">
        <w:t xml:space="preserve"> (0..4),</w:t>
      </w:r>
    </w:p>
    <w:p w14:paraId="55FA7CD7" w14:textId="77777777" w:rsidR="00476DD8" w:rsidRPr="00B55E3E" w:rsidRDefault="00476DD8" w:rsidP="00476DD8">
      <w:pPr>
        <w:pStyle w:val="PL"/>
      </w:pPr>
      <w:r w:rsidRPr="00B55E3E">
        <w:t xml:space="preserve">        sf10-r16                                    </w:t>
      </w:r>
      <w:r w:rsidRPr="00B55E3E">
        <w:rPr>
          <w:color w:val="993366"/>
        </w:rPr>
        <w:t>INTEGER</w:t>
      </w:r>
      <w:r w:rsidRPr="00B55E3E">
        <w:t xml:space="preserve"> (0..9),</w:t>
      </w:r>
    </w:p>
    <w:p w14:paraId="05942871" w14:textId="77777777" w:rsidR="00476DD8" w:rsidRPr="00B55E3E" w:rsidRDefault="00476DD8" w:rsidP="00476DD8">
      <w:pPr>
        <w:pStyle w:val="PL"/>
      </w:pPr>
      <w:r w:rsidRPr="00B55E3E">
        <w:t xml:space="preserve">        sf20-r16                                    </w:t>
      </w:r>
      <w:r w:rsidRPr="00B55E3E">
        <w:rPr>
          <w:color w:val="993366"/>
        </w:rPr>
        <w:t>INTEGER</w:t>
      </w:r>
      <w:r w:rsidRPr="00B55E3E">
        <w:t xml:space="preserve"> (0..19),</w:t>
      </w:r>
    </w:p>
    <w:p w14:paraId="1FE0237C" w14:textId="77777777" w:rsidR="00476DD8" w:rsidRPr="00B55E3E" w:rsidRDefault="00476DD8" w:rsidP="00476DD8">
      <w:pPr>
        <w:pStyle w:val="PL"/>
      </w:pPr>
      <w:r w:rsidRPr="00B55E3E">
        <w:t xml:space="preserve">        sf40-r16                                    </w:t>
      </w:r>
      <w:r w:rsidRPr="00B55E3E">
        <w:rPr>
          <w:color w:val="993366"/>
        </w:rPr>
        <w:t>INTEGER</w:t>
      </w:r>
      <w:r w:rsidRPr="00B55E3E">
        <w:t xml:space="preserve"> (0..39),</w:t>
      </w:r>
    </w:p>
    <w:p w14:paraId="74BE1ADE" w14:textId="77777777" w:rsidR="00476DD8" w:rsidRPr="00B55E3E" w:rsidRDefault="00476DD8" w:rsidP="00476DD8">
      <w:pPr>
        <w:pStyle w:val="PL"/>
      </w:pPr>
      <w:r w:rsidRPr="00B55E3E">
        <w:t xml:space="preserve">        sf80-r16                                    </w:t>
      </w:r>
      <w:r w:rsidRPr="00B55E3E">
        <w:rPr>
          <w:color w:val="993366"/>
        </w:rPr>
        <w:t>INTEGER</w:t>
      </w:r>
      <w:r w:rsidRPr="00B55E3E">
        <w:t xml:space="preserve"> (0..79),</w:t>
      </w:r>
    </w:p>
    <w:p w14:paraId="3C19BA26" w14:textId="77777777" w:rsidR="00476DD8" w:rsidRPr="00B55E3E" w:rsidRDefault="00476DD8" w:rsidP="00476DD8">
      <w:pPr>
        <w:pStyle w:val="PL"/>
      </w:pPr>
      <w:r w:rsidRPr="00B55E3E">
        <w:t xml:space="preserve">        sf160-r16                                   </w:t>
      </w:r>
      <w:r w:rsidRPr="00B55E3E">
        <w:rPr>
          <w:color w:val="993366"/>
        </w:rPr>
        <w:t>INTEGER</w:t>
      </w:r>
      <w:r w:rsidRPr="00B55E3E">
        <w:t xml:space="preserve"> (0..159),</w:t>
      </w:r>
    </w:p>
    <w:p w14:paraId="42071540" w14:textId="77777777" w:rsidR="00476DD8" w:rsidRPr="00B55E3E" w:rsidRDefault="00476DD8" w:rsidP="00476DD8">
      <w:pPr>
        <w:pStyle w:val="PL"/>
      </w:pPr>
      <w:r w:rsidRPr="00B55E3E">
        <w:t xml:space="preserve">        sf320-r16                                   </w:t>
      </w:r>
      <w:r w:rsidRPr="00B55E3E">
        <w:rPr>
          <w:color w:val="993366"/>
        </w:rPr>
        <w:t>INTEGER</w:t>
      </w:r>
      <w:r w:rsidRPr="00B55E3E">
        <w:t xml:space="preserve"> (0..319),</w:t>
      </w:r>
    </w:p>
    <w:p w14:paraId="24C7231A" w14:textId="77777777" w:rsidR="00476DD8" w:rsidRPr="00B55E3E" w:rsidRDefault="00476DD8" w:rsidP="00476DD8">
      <w:pPr>
        <w:pStyle w:val="PL"/>
      </w:pPr>
      <w:r w:rsidRPr="00B55E3E">
        <w:t xml:space="preserve">        sf640-r16                                   </w:t>
      </w:r>
      <w:r w:rsidRPr="00B55E3E">
        <w:rPr>
          <w:color w:val="993366"/>
        </w:rPr>
        <w:t>INTEGER</w:t>
      </w:r>
      <w:r w:rsidRPr="00B55E3E">
        <w:t xml:space="preserve"> (0..639),</w:t>
      </w:r>
    </w:p>
    <w:p w14:paraId="069A50AD" w14:textId="77777777" w:rsidR="00476DD8" w:rsidRPr="00B55E3E" w:rsidRDefault="00476DD8" w:rsidP="00476DD8">
      <w:pPr>
        <w:pStyle w:val="PL"/>
      </w:pPr>
      <w:r w:rsidRPr="00B55E3E">
        <w:t xml:space="preserve">        sf1280-r16                                  </w:t>
      </w:r>
      <w:r w:rsidRPr="00B55E3E">
        <w:rPr>
          <w:color w:val="993366"/>
        </w:rPr>
        <w:t>INTEGER</w:t>
      </w:r>
      <w:r w:rsidRPr="00B55E3E">
        <w:t xml:space="preserve"> (0..1279)</w:t>
      </w:r>
    </w:p>
    <w:p w14:paraId="6915A11C" w14:textId="77777777" w:rsidR="00476DD8" w:rsidRPr="00B55E3E" w:rsidRDefault="00476DD8" w:rsidP="00476DD8">
      <w:pPr>
        <w:pStyle w:val="PL"/>
      </w:pPr>
      <w:r w:rsidRPr="00B55E3E">
        <w:t xml:space="preserve">    },</w:t>
      </w:r>
    </w:p>
    <w:p w14:paraId="7DD2AC13" w14:textId="77777777" w:rsidR="00476DD8" w:rsidRPr="00B55E3E" w:rsidRDefault="00476DD8" w:rsidP="00476DD8">
      <w:pPr>
        <w:pStyle w:val="PL"/>
      </w:pPr>
      <w:r w:rsidRPr="00B55E3E">
        <w:t xml:space="preserve">    duration-r16                        </w:t>
      </w:r>
      <w:r w:rsidRPr="00B55E3E">
        <w:rPr>
          <w:color w:val="993366"/>
        </w:rPr>
        <w:t>ENUMERATED</w:t>
      </w:r>
      <w:r w:rsidRPr="00B55E3E">
        <w:t xml:space="preserve"> {sf1, sf2, sf3, sf4, sf5},</w:t>
      </w:r>
    </w:p>
    <w:p w14:paraId="16204D3D" w14:textId="77777777" w:rsidR="00476DD8" w:rsidRPr="00B55E3E" w:rsidRDefault="00476DD8" w:rsidP="00476DD8">
      <w:pPr>
        <w:pStyle w:val="PL"/>
        <w:rPr>
          <w:color w:val="808080"/>
        </w:rPr>
      </w:pPr>
      <w:r w:rsidRPr="00B55E3E">
        <w:t xml:space="preserve">    pci-List-r16                        </w:t>
      </w:r>
      <w:r w:rsidRPr="00B55E3E">
        <w:rPr>
          <w:color w:val="993366"/>
        </w:rPr>
        <w:t>SEQUENCE</w:t>
      </w:r>
      <w:r w:rsidRPr="00B55E3E">
        <w:t xml:space="preserve"> (</w:t>
      </w:r>
      <w:r w:rsidRPr="00B55E3E">
        <w:rPr>
          <w:color w:val="993366"/>
        </w:rPr>
        <w:t>SIZE</w:t>
      </w:r>
      <w:r w:rsidRPr="00B55E3E">
        <w:t xml:space="preserve"> (1..maxNrofPCIsPerSMTC))</w:t>
      </w:r>
      <w:r w:rsidRPr="00B55E3E">
        <w:rPr>
          <w:color w:val="993366"/>
        </w:rPr>
        <w:t xml:space="preserve"> OF</w:t>
      </w:r>
      <w:r w:rsidRPr="00B55E3E">
        <w:t xml:space="preserve"> PhysCellId                   </w:t>
      </w:r>
      <w:r w:rsidRPr="00B55E3E">
        <w:rPr>
          <w:color w:val="993366"/>
        </w:rPr>
        <w:t>OPTIONAL</w:t>
      </w:r>
      <w:r w:rsidRPr="00B55E3E">
        <w:t xml:space="preserve">,  </w:t>
      </w:r>
      <w:r w:rsidRPr="00B55E3E">
        <w:rPr>
          <w:color w:val="808080"/>
        </w:rPr>
        <w:t>-- Need M</w:t>
      </w:r>
    </w:p>
    <w:p w14:paraId="703FEC35" w14:textId="77777777" w:rsidR="00476DD8" w:rsidRPr="00B55E3E" w:rsidRDefault="00476DD8" w:rsidP="00476DD8">
      <w:pPr>
        <w:pStyle w:val="PL"/>
        <w:rPr>
          <w:color w:val="808080"/>
        </w:rPr>
      </w:pPr>
      <w:r w:rsidRPr="00B55E3E">
        <w:t xml:space="preserve">    ssb-ToMeasure-r16                   SetupRelease { SSB-ToMeasure }                                          </w:t>
      </w:r>
      <w:r w:rsidRPr="00B55E3E">
        <w:rPr>
          <w:color w:val="993366"/>
        </w:rPr>
        <w:t>OPTIONAL</w:t>
      </w:r>
      <w:r w:rsidRPr="00B55E3E">
        <w:t xml:space="preserve">   </w:t>
      </w:r>
      <w:r w:rsidRPr="00B55E3E">
        <w:rPr>
          <w:color w:val="808080"/>
        </w:rPr>
        <w:t>-- Need M</w:t>
      </w:r>
    </w:p>
    <w:p w14:paraId="65BD4AFA" w14:textId="1FF8365F" w:rsidR="00EE3961" w:rsidRPr="00476DD8" w:rsidRDefault="00476DD8" w:rsidP="00476DD8">
      <w:pPr>
        <w:pStyle w:val="PL"/>
      </w:pPr>
      <w:r w:rsidRPr="00B55E3E">
        <w:t>}</w:t>
      </w:r>
      <w:bookmarkEnd w:id="12"/>
    </w:p>
    <w:p w14:paraId="4D26D358" w14:textId="41EDA726" w:rsidR="00B437E2" w:rsidRPr="00EE3961" w:rsidRDefault="008370EA" w:rsidP="0057056A">
      <w:pPr>
        <w:rPr>
          <w:rFonts w:ascii="Calibri" w:eastAsia="Malgun Gothic" w:hAnsi="Calibri" w:cs="Batang"/>
          <w:lang w:val="en-GB" w:eastAsia="ko-KR"/>
        </w:rPr>
      </w:pPr>
      <w:r>
        <w:rPr>
          <w:rFonts w:ascii="Calibri" w:eastAsia="Malgun Gothic" w:hAnsi="Calibri" w:cs="Batang"/>
          <w:lang w:val="en-GB" w:eastAsia="ko-KR"/>
        </w:rPr>
        <w:lastRenderedPageBreak/>
        <w:t xml:space="preserve">This extended configuration for IAB-MTs supports both lower overhead for </w:t>
      </w:r>
      <w:r w:rsidR="00AF27CF">
        <w:rPr>
          <w:rFonts w:ascii="Calibri" w:eastAsia="Malgun Gothic" w:hAnsi="Calibri" w:cs="Batang"/>
          <w:lang w:val="en-GB" w:eastAsia="ko-KR"/>
        </w:rPr>
        <w:t>the network when access traffic is not present, but also enables power savings at both the donor and IAB node. Given that other aspects of the NCR operation have been optimized compared to access UEs (</w:t>
      </w:r>
      <w:proofErr w:type="gramStart"/>
      <w:r w:rsidR="00AF27CF">
        <w:rPr>
          <w:rFonts w:ascii="Calibri" w:eastAsia="Malgun Gothic" w:hAnsi="Calibri" w:cs="Batang"/>
          <w:lang w:val="en-GB" w:eastAsia="ko-KR"/>
        </w:rPr>
        <w:t>e.g.</w:t>
      </w:r>
      <w:proofErr w:type="gramEnd"/>
      <w:r w:rsidR="00AF27CF">
        <w:rPr>
          <w:rFonts w:ascii="Calibri" w:eastAsia="Malgun Gothic" w:hAnsi="Calibri" w:cs="Batang"/>
          <w:lang w:val="en-GB" w:eastAsia="ko-KR"/>
        </w:rPr>
        <w:t xml:space="preserve"> ON/OFF indications</w:t>
      </w:r>
      <w:r w:rsidR="00C54EAE">
        <w:rPr>
          <w:rFonts w:ascii="Calibri" w:eastAsia="Malgun Gothic" w:hAnsi="Calibri" w:cs="Batang"/>
          <w:lang w:val="en-GB" w:eastAsia="ko-KR"/>
        </w:rPr>
        <w:t xml:space="preserve"> for the NCR-</w:t>
      </w:r>
      <w:proofErr w:type="spellStart"/>
      <w:r w:rsidR="00C54EAE">
        <w:rPr>
          <w:rFonts w:ascii="Calibri" w:eastAsia="Malgun Gothic" w:hAnsi="Calibri" w:cs="Batang"/>
          <w:lang w:val="en-GB" w:eastAsia="ko-KR"/>
        </w:rPr>
        <w:t>Fwd</w:t>
      </w:r>
      <w:proofErr w:type="spellEnd"/>
      <w:r w:rsidR="00C54EAE">
        <w:rPr>
          <w:rFonts w:ascii="Calibri" w:eastAsia="Malgun Gothic" w:hAnsi="Calibri" w:cs="Batang"/>
          <w:lang w:val="en-GB" w:eastAsia="ko-KR"/>
        </w:rPr>
        <w:t xml:space="preserve"> function), it is reasonable the NCR-MT should support the same SMTC configuration as utilized by IAB-MTs</w:t>
      </w:r>
      <w:r w:rsidR="001C138C">
        <w:rPr>
          <w:rFonts w:ascii="Calibri" w:eastAsia="Malgun Gothic" w:hAnsi="Calibri" w:cs="Batang"/>
          <w:lang w:val="en-GB" w:eastAsia="ko-KR"/>
        </w:rPr>
        <w:t xml:space="preserve"> </w:t>
      </w:r>
      <w:bookmarkStart w:id="13" w:name="OLE_LINK28"/>
      <w:r w:rsidR="001C138C">
        <w:rPr>
          <w:rFonts w:ascii="Calibri" w:eastAsia="Malgun Gothic" w:hAnsi="Calibri" w:cs="Batang"/>
          <w:lang w:val="en-GB" w:eastAsia="ko-KR"/>
        </w:rPr>
        <w:t xml:space="preserve">when making </w:t>
      </w:r>
      <w:r w:rsidR="00390D31" w:rsidRPr="00390D31">
        <w:rPr>
          <w:rFonts w:ascii="Calibri" w:eastAsia="Malgun Gothic" w:hAnsi="Calibri" w:cs="Batang"/>
          <w:lang w:val="en-GB" w:eastAsia="ko-KR"/>
        </w:rPr>
        <w:t>cell reselection and RRM measurements in RRC_IDLE and RRC_INACTIVE</w:t>
      </w:r>
      <w:bookmarkEnd w:id="13"/>
      <w:r w:rsidR="00C54EAE">
        <w:rPr>
          <w:rFonts w:ascii="Calibri" w:eastAsia="Malgun Gothic" w:hAnsi="Calibri" w:cs="Batang"/>
          <w:lang w:val="en-GB" w:eastAsia="ko-KR"/>
        </w:rPr>
        <w:t>.</w:t>
      </w:r>
    </w:p>
    <w:p w14:paraId="74B26D85" w14:textId="07382B8E" w:rsidR="0057056A" w:rsidRPr="00145540" w:rsidRDefault="0057056A" w:rsidP="0057056A">
      <w:pPr>
        <w:pStyle w:val="maintext"/>
        <w:ind w:firstLineChars="0" w:firstLine="0"/>
        <w:rPr>
          <w:rFonts w:ascii="Calibri" w:hAnsi="Calibri"/>
          <w:b/>
          <w:bCs/>
        </w:rPr>
      </w:pPr>
      <w:bookmarkStart w:id="14" w:name="OLE_LINK3"/>
      <w:bookmarkStart w:id="15" w:name="OLE_LINK18"/>
      <w:r>
        <w:rPr>
          <w:rFonts w:ascii="Calibri" w:hAnsi="Calibri"/>
          <w:b/>
          <w:bCs/>
        </w:rPr>
        <w:t xml:space="preserve">Proposal </w:t>
      </w:r>
      <w:r w:rsidR="00E0507C">
        <w:rPr>
          <w:rFonts w:ascii="Calibri" w:hAnsi="Calibri"/>
          <w:b/>
          <w:bCs/>
        </w:rPr>
        <w:t>1</w:t>
      </w:r>
      <w:r>
        <w:rPr>
          <w:rFonts w:ascii="Calibri" w:hAnsi="Calibri"/>
          <w:b/>
          <w:bCs/>
        </w:rPr>
        <w:t>: T</w:t>
      </w:r>
      <w:r w:rsidRPr="0057056A">
        <w:rPr>
          <w:rFonts w:ascii="Calibri" w:hAnsi="Calibri"/>
          <w:b/>
          <w:bCs/>
        </w:rPr>
        <w:t xml:space="preserve">he NCR-MT </w:t>
      </w:r>
      <w:r w:rsidR="00E0507C">
        <w:rPr>
          <w:rFonts w:ascii="Calibri" w:hAnsi="Calibri"/>
          <w:b/>
          <w:bCs/>
        </w:rPr>
        <w:t xml:space="preserve">should support </w:t>
      </w:r>
      <w:r w:rsidR="00C54EAE">
        <w:rPr>
          <w:rFonts w:ascii="Calibri" w:hAnsi="Calibri"/>
          <w:b/>
          <w:bCs/>
        </w:rPr>
        <w:t>configuration of</w:t>
      </w:r>
      <w:r w:rsidR="00EE5DE8">
        <w:rPr>
          <w:rFonts w:ascii="Calibri" w:hAnsi="Calibri"/>
          <w:b/>
          <w:bCs/>
        </w:rPr>
        <w:t xml:space="preserve"> the same SMTC periodicities as IAB-MTs (</w:t>
      </w:r>
      <w:proofErr w:type="gramStart"/>
      <w:r w:rsidR="00EE5DE8">
        <w:rPr>
          <w:rFonts w:ascii="Calibri" w:hAnsi="Calibri"/>
          <w:b/>
          <w:bCs/>
        </w:rPr>
        <w:t>i.e.</w:t>
      </w:r>
      <w:proofErr w:type="gramEnd"/>
      <w:r w:rsidR="00C54EAE">
        <w:rPr>
          <w:rFonts w:ascii="Calibri" w:hAnsi="Calibri"/>
          <w:b/>
          <w:bCs/>
        </w:rPr>
        <w:t xml:space="preserve"> </w:t>
      </w:r>
      <w:bookmarkStart w:id="16" w:name="OLE_LINK26"/>
      <w:r w:rsidR="00FE4946" w:rsidRPr="002F5AC8">
        <w:rPr>
          <w:rFonts w:ascii="Calibri" w:hAnsi="Calibri"/>
          <w:b/>
          <w:bCs/>
        </w:rPr>
        <w:t>periodicityAndOffset-r16</w:t>
      </w:r>
      <w:bookmarkEnd w:id="16"/>
      <w:r w:rsidR="00FE4946" w:rsidRPr="002F5AC8">
        <w:rPr>
          <w:rFonts w:ascii="Calibri" w:hAnsi="Calibri"/>
          <w:b/>
          <w:bCs/>
        </w:rPr>
        <w:t xml:space="preserve"> </w:t>
      </w:r>
      <w:r w:rsidR="00FE4946" w:rsidRPr="002F5AC8">
        <w:rPr>
          <w:rFonts w:ascii="Calibri" w:hAnsi="Calibri"/>
          <w:b/>
          <w:bCs/>
        </w:rPr>
        <w:t xml:space="preserve">within </w:t>
      </w:r>
      <w:r w:rsidR="00C54EAE">
        <w:rPr>
          <w:rFonts w:ascii="Calibri" w:hAnsi="Calibri"/>
          <w:b/>
          <w:bCs/>
        </w:rPr>
        <w:t>SSB-</w:t>
      </w:r>
      <w:r w:rsidR="004F2B57">
        <w:rPr>
          <w:rFonts w:ascii="Calibri" w:hAnsi="Calibri"/>
          <w:b/>
          <w:bCs/>
        </w:rPr>
        <w:t>MTC3-r16</w:t>
      </w:r>
      <w:r w:rsidR="00854C66">
        <w:rPr>
          <w:rFonts w:ascii="Calibri" w:hAnsi="Calibri"/>
          <w:b/>
          <w:bCs/>
        </w:rPr>
        <w:t>)</w:t>
      </w:r>
      <w:r w:rsidR="00FE4946">
        <w:rPr>
          <w:rFonts w:ascii="Calibri" w:hAnsi="Calibri"/>
          <w:b/>
          <w:bCs/>
        </w:rPr>
        <w:t xml:space="preserve"> </w:t>
      </w:r>
      <w:r w:rsidR="002F5AC8" w:rsidRPr="002F5AC8">
        <w:rPr>
          <w:rFonts w:ascii="Calibri" w:hAnsi="Calibri"/>
          <w:b/>
          <w:bCs/>
        </w:rPr>
        <w:t>when making cell reselection and RRM measurements in RRC_IDLE and RRC_INACTIVE</w:t>
      </w:r>
      <w:r w:rsidR="00E0507C">
        <w:rPr>
          <w:rFonts w:ascii="Calibri" w:hAnsi="Calibri"/>
          <w:b/>
          <w:bCs/>
        </w:rPr>
        <w:t>.</w:t>
      </w:r>
      <w:bookmarkEnd w:id="14"/>
    </w:p>
    <w:bookmarkEnd w:id="15"/>
    <w:p w14:paraId="5C0339FC" w14:textId="77777777" w:rsidR="00B674C5" w:rsidRDefault="00B674C5" w:rsidP="001116B0">
      <w:pPr>
        <w:rPr>
          <w:rFonts w:ascii="Calibri" w:eastAsia="Malgun Gothic" w:hAnsi="Calibri" w:cs="Batang"/>
          <w:lang w:val="en-GB" w:eastAsia="ko-KR"/>
        </w:rPr>
      </w:pPr>
    </w:p>
    <w:p w14:paraId="2600E218" w14:textId="7D42087B" w:rsidR="002F24E6" w:rsidRDefault="002F24E6" w:rsidP="002F24E6">
      <w:pPr>
        <w:rPr>
          <w:rFonts w:ascii="Calibri" w:eastAsia="Malgun Gothic" w:hAnsi="Calibri" w:cs="Batang"/>
          <w:lang w:val="en-GB" w:eastAsia="ko-KR"/>
        </w:rPr>
      </w:pPr>
      <w:r>
        <w:rPr>
          <w:rFonts w:ascii="Calibri" w:eastAsia="Malgun Gothic" w:hAnsi="Calibri" w:cs="Batang"/>
          <w:lang w:val="en-GB" w:eastAsia="ko-KR"/>
        </w:rPr>
        <w:t xml:space="preserve">One </w:t>
      </w:r>
      <w:r w:rsidR="004F3742">
        <w:rPr>
          <w:rFonts w:ascii="Calibri" w:eastAsia="Malgun Gothic" w:hAnsi="Calibri" w:cs="Batang"/>
          <w:lang w:val="en-GB" w:eastAsia="ko-KR"/>
        </w:rPr>
        <w:t xml:space="preserve">additional </w:t>
      </w:r>
      <w:r>
        <w:rPr>
          <w:rFonts w:ascii="Calibri" w:eastAsia="Malgun Gothic" w:hAnsi="Calibri" w:cs="Batang"/>
          <w:lang w:val="en-GB" w:eastAsia="ko-KR"/>
        </w:rPr>
        <w:t>area of consideration is whether the C-link of the NCR-MT always operates on the same frequency carrier/band as the NCR-</w:t>
      </w:r>
      <w:proofErr w:type="spellStart"/>
      <w:r>
        <w:rPr>
          <w:rFonts w:ascii="Calibri" w:eastAsia="Malgun Gothic" w:hAnsi="Calibri" w:cs="Batang"/>
          <w:lang w:val="en-GB" w:eastAsia="ko-KR"/>
        </w:rPr>
        <w:t>Fwd</w:t>
      </w:r>
      <w:proofErr w:type="spellEnd"/>
      <w:r>
        <w:rPr>
          <w:rFonts w:ascii="Calibri" w:eastAsia="Malgun Gothic" w:hAnsi="Calibri" w:cs="Batang"/>
          <w:lang w:val="en-GB" w:eastAsia="ko-KR"/>
        </w:rPr>
        <w:t xml:space="preserve"> backhaul and access links. Given that FR2 operation is prioritized </w:t>
      </w:r>
      <w:r w:rsidR="00046FE1">
        <w:rPr>
          <w:rFonts w:ascii="Calibri" w:eastAsia="Malgun Gothic" w:hAnsi="Calibri" w:cs="Batang"/>
          <w:lang w:val="en-GB" w:eastAsia="ko-KR"/>
        </w:rPr>
        <w:t>in the WI</w:t>
      </w:r>
      <w:r>
        <w:rPr>
          <w:rFonts w:ascii="Calibri" w:eastAsia="Malgun Gothic" w:hAnsi="Calibri" w:cs="Batang"/>
          <w:lang w:val="en-GB" w:eastAsia="ko-KR"/>
        </w:rPr>
        <w:t xml:space="preserve">, it should be carefully considered that exclusion of multi-frequency operation for the NCR-MT implies that the C-link must support standalone (SA) operation for initial access and connection establishment on FR2. This impacts both the NCR and the </w:t>
      </w:r>
      <w:proofErr w:type="spellStart"/>
      <w:r>
        <w:rPr>
          <w:rFonts w:ascii="Calibri" w:eastAsia="Malgun Gothic" w:hAnsi="Calibri" w:cs="Batang"/>
          <w:lang w:val="en-GB" w:eastAsia="ko-KR"/>
        </w:rPr>
        <w:t>gNB</w:t>
      </w:r>
      <w:proofErr w:type="spellEnd"/>
      <w:r>
        <w:rPr>
          <w:rFonts w:ascii="Calibri" w:eastAsia="Malgun Gothic" w:hAnsi="Calibri" w:cs="Batang"/>
          <w:lang w:val="en-GB" w:eastAsia="ko-KR"/>
        </w:rPr>
        <w:t xml:space="preserve"> to ensure that appropriate broadcast and higher layer control messages can be transmitted and received, even if the access link from the </w:t>
      </w:r>
      <w:proofErr w:type="spellStart"/>
      <w:r>
        <w:rPr>
          <w:rFonts w:ascii="Calibri" w:eastAsia="Malgun Gothic" w:hAnsi="Calibri" w:cs="Batang"/>
          <w:lang w:val="en-GB" w:eastAsia="ko-KR"/>
        </w:rPr>
        <w:t>gNB</w:t>
      </w:r>
      <w:proofErr w:type="spellEnd"/>
      <w:r>
        <w:rPr>
          <w:rFonts w:ascii="Calibri" w:eastAsia="Malgun Gothic" w:hAnsi="Calibri" w:cs="Batang"/>
          <w:lang w:val="en-GB" w:eastAsia="ko-KR"/>
        </w:rPr>
        <w:t xml:space="preserve"> and NCR-</w:t>
      </w:r>
      <w:proofErr w:type="spellStart"/>
      <w:r>
        <w:rPr>
          <w:rFonts w:ascii="Calibri" w:eastAsia="Malgun Gothic" w:hAnsi="Calibri" w:cs="Batang"/>
          <w:lang w:val="en-GB" w:eastAsia="ko-KR"/>
        </w:rPr>
        <w:t>Fwd</w:t>
      </w:r>
      <w:proofErr w:type="spellEnd"/>
      <w:r>
        <w:rPr>
          <w:rFonts w:ascii="Calibri" w:eastAsia="Malgun Gothic" w:hAnsi="Calibri" w:cs="Batang"/>
          <w:lang w:val="en-GB" w:eastAsia="ko-KR"/>
        </w:rPr>
        <w:t xml:space="preserve"> only supports users on a FR2 carrier as an </w:t>
      </w:r>
      <w:proofErr w:type="spellStart"/>
      <w:r>
        <w:rPr>
          <w:rFonts w:ascii="Calibri" w:eastAsia="Malgun Gothic" w:hAnsi="Calibri" w:cs="Batang"/>
          <w:lang w:val="en-GB" w:eastAsia="ko-KR"/>
        </w:rPr>
        <w:t>SCell</w:t>
      </w:r>
      <w:proofErr w:type="spellEnd"/>
      <w:r>
        <w:rPr>
          <w:rFonts w:ascii="Calibri" w:eastAsia="Malgun Gothic" w:hAnsi="Calibri" w:cs="Batang"/>
          <w:lang w:val="en-GB" w:eastAsia="ko-KR"/>
        </w:rPr>
        <w:t xml:space="preserve"> or SCG as shown in Figure </w:t>
      </w:r>
      <w:r w:rsidR="00046FE1">
        <w:rPr>
          <w:rFonts w:ascii="Calibri" w:eastAsia="Malgun Gothic" w:hAnsi="Calibri" w:cs="Batang"/>
          <w:lang w:val="en-GB" w:eastAsia="ko-KR"/>
        </w:rPr>
        <w:t>1</w:t>
      </w:r>
      <w:r>
        <w:rPr>
          <w:rFonts w:ascii="Calibri" w:eastAsia="Malgun Gothic" w:hAnsi="Calibri" w:cs="Batang"/>
          <w:lang w:val="en-GB" w:eastAsia="ko-KR"/>
        </w:rPr>
        <w:t xml:space="preserve"> below.</w:t>
      </w:r>
    </w:p>
    <w:p w14:paraId="0AEE740F" w14:textId="77777777" w:rsidR="002F24E6" w:rsidRDefault="002F24E6" w:rsidP="002F24E6">
      <w:pPr>
        <w:rPr>
          <w:rFonts w:ascii="Calibri" w:eastAsia="Malgun Gothic" w:hAnsi="Calibri" w:cs="Batang"/>
          <w:lang w:val="en-GB" w:eastAsia="ko-KR"/>
        </w:rPr>
      </w:pPr>
    </w:p>
    <w:p w14:paraId="78E725E8" w14:textId="77777777" w:rsidR="002F24E6" w:rsidRPr="00A81AFF" w:rsidRDefault="002F24E6" w:rsidP="002F24E6">
      <w:pPr>
        <w:jc w:val="center"/>
        <w:rPr>
          <w:rFonts w:ascii="Calibri" w:eastAsia="Malgun Gothic" w:hAnsi="Calibri" w:cs="Batang"/>
          <w:lang w:val="en-GB" w:eastAsia="ko-KR"/>
        </w:rPr>
      </w:pPr>
      <w:r w:rsidRPr="003A0928">
        <w:rPr>
          <w:rFonts w:ascii="Calibri" w:eastAsia="Malgun Gothic" w:hAnsi="Calibri" w:cs="Batang"/>
          <w:noProof/>
          <w:lang w:eastAsia="ko-KR"/>
        </w:rPr>
        <w:drawing>
          <wp:inline distT="0" distB="0" distL="0" distR="0" wp14:anchorId="58B5201B" wp14:editId="06AB8CAB">
            <wp:extent cx="5399486" cy="33457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28806" cy="3363920"/>
                    </a:xfrm>
                    <a:prstGeom prst="rect">
                      <a:avLst/>
                    </a:prstGeom>
                  </pic:spPr>
                </pic:pic>
              </a:graphicData>
            </a:graphic>
          </wp:inline>
        </w:drawing>
      </w:r>
    </w:p>
    <w:p w14:paraId="56A639E7" w14:textId="4F2CD103" w:rsidR="002F24E6" w:rsidRPr="00A81AFF" w:rsidRDefault="002F24E6" w:rsidP="002F24E6">
      <w:pPr>
        <w:jc w:val="center"/>
        <w:rPr>
          <w:rFonts w:asciiTheme="minorHAnsi" w:hAnsiTheme="minorHAnsi" w:cstheme="minorHAnsi"/>
          <w:b/>
        </w:rPr>
      </w:pPr>
      <w:r w:rsidRPr="00A81AFF">
        <w:rPr>
          <w:rFonts w:asciiTheme="minorHAnsi" w:hAnsiTheme="minorHAnsi" w:cstheme="minorHAnsi"/>
          <w:b/>
        </w:rPr>
        <w:t xml:space="preserve">Figure </w:t>
      </w:r>
      <w:r w:rsidR="00046FE1">
        <w:rPr>
          <w:rFonts w:asciiTheme="minorHAnsi" w:hAnsiTheme="minorHAnsi" w:cstheme="minorHAnsi"/>
          <w:b/>
        </w:rPr>
        <w:t>1</w:t>
      </w:r>
      <w:r w:rsidRPr="00A81AFF">
        <w:rPr>
          <w:rFonts w:asciiTheme="minorHAnsi" w:hAnsiTheme="minorHAnsi" w:cstheme="minorHAnsi"/>
          <w:b/>
        </w:rPr>
        <w:t xml:space="preserve">: </w:t>
      </w:r>
      <w:r>
        <w:rPr>
          <w:rFonts w:asciiTheme="minorHAnsi" w:hAnsiTheme="minorHAnsi" w:cstheme="minorHAnsi"/>
          <w:b/>
        </w:rPr>
        <w:t>Multi-frequency n</w:t>
      </w:r>
      <w:r w:rsidRPr="00A81AFF">
        <w:rPr>
          <w:rFonts w:asciiTheme="minorHAnsi" w:hAnsiTheme="minorHAnsi" w:cstheme="minorHAnsi"/>
          <w:b/>
        </w:rPr>
        <w:t xml:space="preserve">etwork-controlled repeater </w:t>
      </w:r>
      <w:r>
        <w:rPr>
          <w:rFonts w:asciiTheme="minorHAnsi" w:hAnsiTheme="minorHAnsi" w:cstheme="minorHAnsi"/>
          <w:b/>
        </w:rPr>
        <w:t>operation</w:t>
      </w:r>
      <w:r w:rsidRPr="00A81AFF">
        <w:rPr>
          <w:rFonts w:asciiTheme="minorHAnsi" w:hAnsiTheme="minorHAnsi" w:cstheme="minorHAnsi"/>
          <w:b/>
        </w:rPr>
        <w:t xml:space="preserve"> </w:t>
      </w:r>
      <w:r>
        <w:rPr>
          <w:rFonts w:asciiTheme="minorHAnsi" w:hAnsiTheme="minorHAnsi" w:cstheme="minorHAnsi"/>
          <w:b/>
        </w:rPr>
        <w:t xml:space="preserve">with </w:t>
      </w:r>
      <w:r w:rsidRPr="00A81AFF">
        <w:rPr>
          <w:rFonts w:asciiTheme="minorHAnsi" w:hAnsiTheme="minorHAnsi" w:cstheme="minorHAnsi"/>
          <w:b/>
        </w:rPr>
        <w:t xml:space="preserve">access and </w:t>
      </w:r>
      <w:r>
        <w:rPr>
          <w:rFonts w:asciiTheme="minorHAnsi" w:hAnsiTheme="minorHAnsi" w:cstheme="minorHAnsi"/>
          <w:b/>
        </w:rPr>
        <w:t xml:space="preserve">backhaul links on FR2 and C-link on </w:t>
      </w:r>
      <w:proofErr w:type="gramStart"/>
      <w:r>
        <w:rPr>
          <w:rFonts w:asciiTheme="minorHAnsi" w:hAnsiTheme="minorHAnsi" w:cstheme="minorHAnsi"/>
          <w:b/>
        </w:rPr>
        <w:t>FR1</w:t>
      </w:r>
      <w:proofErr w:type="gramEnd"/>
    </w:p>
    <w:p w14:paraId="4208403D" w14:textId="1964E676" w:rsidR="002F24E6" w:rsidRPr="00C732A6" w:rsidRDefault="002F24E6" w:rsidP="002F24E6">
      <w:pPr>
        <w:pStyle w:val="maintext"/>
        <w:ind w:firstLineChars="0" w:firstLine="0"/>
        <w:rPr>
          <w:rFonts w:ascii="Calibri" w:hAnsi="Calibri"/>
        </w:rPr>
      </w:pPr>
      <w:r>
        <w:rPr>
          <w:rFonts w:ascii="Calibri" w:hAnsi="Calibri"/>
          <w:b/>
          <w:bCs/>
        </w:rPr>
        <w:br/>
      </w:r>
      <w:r>
        <w:rPr>
          <w:rFonts w:ascii="Calibri" w:hAnsi="Calibri"/>
        </w:rPr>
        <w:t xml:space="preserve">In view of these considerations, </w:t>
      </w:r>
      <w:r w:rsidR="00455103">
        <w:rPr>
          <w:rFonts w:ascii="Calibri" w:hAnsi="Calibri"/>
        </w:rPr>
        <w:t>an NCR-MT could optionally indicate support for</w:t>
      </w:r>
      <w:r>
        <w:rPr>
          <w:rFonts w:ascii="Calibri" w:hAnsi="Calibri"/>
        </w:rPr>
        <w:t xml:space="preserve"> initial access and </w:t>
      </w:r>
      <w:r w:rsidR="00D34F11">
        <w:rPr>
          <w:rFonts w:ascii="Calibri" w:hAnsi="Calibri"/>
        </w:rPr>
        <w:t>cell reselection</w:t>
      </w:r>
      <w:r>
        <w:rPr>
          <w:rFonts w:ascii="Calibri" w:hAnsi="Calibri"/>
        </w:rPr>
        <w:t xml:space="preserve"> of the NCR-MT on a band different from the band used by the NCR-</w:t>
      </w:r>
      <w:proofErr w:type="spellStart"/>
      <w:r>
        <w:rPr>
          <w:rFonts w:ascii="Calibri" w:hAnsi="Calibri"/>
        </w:rPr>
        <w:t>Fwd</w:t>
      </w:r>
      <w:proofErr w:type="spellEnd"/>
      <w:r>
        <w:rPr>
          <w:rFonts w:ascii="Calibri" w:hAnsi="Calibri"/>
        </w:rPr>
        <w:t xml:space="preserve"> for the access and backhaul links</w:t>
      </w:r>
      <w:r w:rsidR="00455103">
        <w:rPr>
          <w:rFonts w:ascii="Calibri" w:hAnsi="Calibri"/>
        </w:rPr>
        <w:t>, including via MR-DC or EN-DC</w:t>
      </w:r>
      <w:r w:rsidR="00CB43F0">
        <w:rPr>
          <w:rFonts w:ascii="Calibri" w:hAnsi="Calibri"/>
        </w:rPr>
        <w:t xml:space="preserve"> capability indications</w:t>
      </w:r>
      <w:r>
        <w:rPr>
          <w:rFonts w:ascii="Calibri" w:hAnsi="Calibri"/>
        </w:rPr>
        <w:t>.</w:t>
      </w:r>
    </w:p>
    <w:p w14:paraId="51953E86" w14:textId="77777777" w:rsidR="002F24E6" w:rsidRDefault="002F24E6" w:rsidP="002F24E6">
      <w:pPr>
        <w:pStyle w:val="maintext"/>
        <w:ind w:firstLineChars="0" w:firstLine="0"/>
        <w:rPr>
          <w:rFonts w:ascii="Calibri" w:hAnsi="Calibri"/>
          <w:b/>
          <w:bCs/>
        </w:rPr>
      </w:pPr>
    </w:p>
    <w:p w14:paraId="658C76C4" w14:textId="7953B50D" w:rsidR="002F24E6" w:rsidRPr="00D96F05" w:rsidRDefault="002F24E6" w:rsidP="002F24E6">
      <w:pPr>
        <w:pStyle w:val="maintext"/>
        <w:ind w:firstLineChars="0" w:firstLine="0"/>
        <w:rPr>
          <w:rFonts w:ascii="Calibri" w:hAnsi="Calibri"/>
          <w:b/>
          <w:bCs/>
        </w:rPr>
      </w:pPr>
      <w:bookmarkStart w:id="17" w:name="OLE_LINK2"/>
      <w:bookmarkStart w:id="18" w:name="OLE_LINK5"/>
      <w:r w:rsidRPr="00D96F05">
        <w:rPr>
          <w:rFonts w:ascii="Calibri" w:hAnsi="Calibri"/>
          <w:b/>
          <w:bCs/>
        </w:rPr>
        <w:t xml:space="preserve">Proposal 2: </w:t>
      </w:r>
      <w:r w:rsidR="00CB43F0">
        <w:rPr>
          <w:rFonts w:ascii="Calibri" w:hAnsi="Calibri"/>
          <w:b/>
          <w:bCs/>
        </w:rPr>
        <w:t>An NCR-MT</w:t>
      </w:r>
      <w:r w:rsidRPr="00D96F05">
        <w:rPr>
          <w:rFonts w:ascii="Calibri" w:hAnsi="Calibri"/>
          <w:b/>
          <w:bCs/>
        </w:rPr>
        <w:t xml:space="preserve"> </w:t>
      </w:r>
      <w:r w:rsidR="00CE3968">
        <w:rPr>
          <w:rFonts w:ascii="Calibri" w:hAnsi="Calibri"/>
          <w:b/>
          <w:bCs/>
        </w:rPr>
        <w:t>can optionally indicate support for initial access and cell reselection</w:t>
      </w:r>
      <w:r w:rsidRPr="00D96F05">
        <w:rPr>
          <w:rFonts w:ascii="Calibri" w:hAnsi="Calibri"/>
          <w:b/>
          <w:bCs/>
        </w:rPr>
        <w:t xml:space="preserve"> on a band different from the band used by the NCR-</w:t>
      </w:r>
      <w:proofErr w:type="spellStart"/>
      <w:r w:rsidRPr="00D96F05">
        <w:rPr>
          <w:rFonts w:ascii="Calibri" w:hAnsi="Calibri"/>
          <w:b/>
          <w:bCs/>
        </w:rPr>
        <w:t>Fwd</w:t>
      </w:r>
      <w:proofErr w:type="spellEnd"/>
      <w:r w:rsidRPr="00D96F05">
        <w:rPr>
          <w:rFonts w:ascii="Calibri" w:hAnsi="Calibri"/>
          <w:b/>
          <w:bCs/>
        </w:rPr>
        <w:t xml:space="preserve"> for the access and backhaul links</w:t>
      </w:r>
      <w:r w:rsidR="00CE3968">
        <w:rPr>
          <w:rFonts w:ascii="Calibri" w:hAnsi="Calibri"/>
          <w:b/>
          <w:bCs/>
        </w:rPr>
        <w:t>, including via MR-DC and EN-DC capability indications</w:t>
      </w:r>
      <w:r w:rsidRPr="00D96F05">
        <w:rPr>
          <w:rFonts w:ascii="Calibri" w:hAnsi="Calibri"/>
          <w:b/>
          <w:bCs/>
        </w:rPr>
        <w:t>.</w:t>
      </w:r>
    </w:p>
    <w:bookmarkEnd w:id="17"/>
    <w:bookmarkEnd w:id="18"/>
    <w:p w14:paraId="0915D7B5" w14:textId="77777777" w:rsidR="002F24E6" w:rsidRDefault="002F24E6" w:rsidP="001116B0">
      <w:pPr>
        <w:rPr>
          <w:rFonts w:ascii="Calibri" w:eastAsia="Malgun Gothic" w:hAnsi="Calibri" w:cs="Batang"/>
          <w:lang w:val="en-GB" w:eastAsia="ko-KR"/>
        </w:rPr>
      </w:pPr>
    </w:p>
    <w:p w14:paraId="4A48FAC3" w14:textId="5AA9797C" w:rsidR="007338D6" w:rsidRDefault="003A566A" w:rsidP="00326FF6">
      <w:pPr>
        <w:pStyle w:val="Heading1"/>
      </w:pPr>
      <w:r w:rsidRPr="00172743">
        <w:lastRenderedPageBreak/>
        <w:t>Conclusion</w:t>
      </w:r>
    </w:p>
    <w:p w14:paraId="55A707B1" w14:textId="3144A3E7" w:rsidR="0057056A" w:rsidRPr="00045AED" w:rsidRDefault="0045180D" w:rsidP="0057056A">
      <w:pPr>
        <w:pStyle w:val="Doc-text2"/>
        <w:ind w:left="0" w:firstLine="0"/>
        <w:rPr>
          <w:rFonts w:ascii="Calibri" w:eastAsia="Malgun Gothic" w:hAnsi="Calibri" w:cs="Batang"/>
          <w:lang w:val="en-GB" w:eastAsia="ko-KR"/>
        </w:rPr>
      </w:pPr>
      <w:r>
        <w:rPr>
          <w:rFonts w:ascii="Calibri" w:hAnsi="Calibri"/>
        </w:rPr>
        <w:t xml:space="preserve">In this </w:t>
      </w:r>
      <w:r w:rsidR="000F6423">
        <w:rPr>
          <w:rFonts w:ascii="Calibri" w:hAnsi="Calibri"/>
        </w:rPr>
        <w:t>contribution</w:t>
      </w:r>
      <w:r w:rsidR="0057056A">
        <w:rPr>
          <w:rFonts w:ascii="Calibri" w:hAnsi="Calibri"/>
        </w:rPr>
        <w:t xml:space="preserve"> we </w:t>
      </w:r>
      <w:r w:rsidR="0057056A">
        <w:rPr>
          <w:rFonts w:ascii="Calibri" w:eastAsia="Malgun Gothic" w:hAnsi="Calibri" w:cs="Batang"/>
          <w:lang w:val="en-GB" w:eastAsia="ko-KR"/>
        </w:rPr>
        <w:t>discussed solutions for</w:t>
      </w:r>
      <w:r w:rsidR="00854C66">
        <w:rPr>
          <w:rFonts w:ascii="Calibri" w:eastAsia="Malgun Gothic" w:hAnsi="Calibri" w:cs="Batang"/>
          <w:lang w:val="en-GB" w:eastAsia="ko-KR"/>
        </w:rPr>
        <w:t xml:space="preserve"> the</w:t>
      </w:r>
      <w:r w:rsidR="0057056A">
        <w:rPr>
          <w:rFonts w:ascii="Calibri" w:eastAsia="Malgun Gothic" w:hAnsi="Calibri" w:cs="Batang"/>
          <w:lang w:val="en-GB" w:eastAsia="ko-KR"/>
        </w:rPr>
        <w:t xml:space="preserve"> </w:t>
      </w:r>
      <w:r w:rsidR="00371F1D">
        <w:rPr>
          <w:rFonts w:ascii="Calibri" w:eastAsia="Malgun Gothic" w:hAnsi="Calibri" w:cs="Batang"/>
          <w:lang w:val="en-GB" w:eastAsia="ko-KR"/>
        </w:rPr>
        <w:t>cell (re)selection</w:t>
      </w:r>
      <w:r w:rsidR="00854C66">
        <w:rPr>
          <w:rFonts w:ascii="Calibri" w:eastAsia="Malgun Gothic" w:hAnsi="Calibri" w:cs="Batang"/>
          <w:lang w:val="en-GB" w:eastAsia="ko-KR"/>
        </w:rPr>
        <w:t xml:space="preserve"> of an</w:t>
      </w:r>
      <w:r w:rsidR="0057056A" w:rsidRPr="0057056A">
        <w:rPr>
          <w:rFonts w:ascii="Calibri" w:eastAsia="Malgun Gothic" w:hAnsi="Calibri" w:cs="Batang"/>
          <w:lang w:val="en-GB" w:eastAsia="ko-KR"/>
        </w:rPr>
        <w:t xml:space="preserve"> NCR-MT.</w:t>
      </w:r>
      <w:r w:rsidR="0057056A">
        <w:rPr>
          <w:rFonts w:ascii="Calibri" w:eastAsia="Malgun Gothic" w:hAnsi="Calibri" w:cs="Batang"/>
          <w:lang w:val="en-GB" w:eastAsia="ko-KR"/>
        </w:rPr>
        <w:t xml:space="preserve"> The following proposal was made</w:t>
      </w:r>
      <w:r w:rsidR="00B437E2">
        <w:rPr>
          <w:rFonts w:ascii="Calibri" w:eastAsia="Malgun Gothic" w:hAnsi="Calibri" w:cs="Batang"/>
          <w:lang w:val="en-GB" w:eastAsia="ko-KR"/>
        </w:rPr>
        <w:t>:</w:t>
      </w:r>
    </w:p>
    <w:p w14:paraId="608DAB06" w14:textId="4EE31072" w:rsidR="000F6423" w:rsidRDefault="000F6423" w:rsidP="00172743">
      <w:pPr>
        <w:spacing w:before="0" w:after="0"/>
        <w:rPr>
          <w:rFonts w:ascii="Calibri" w:hAnsi="Calibri"/>
        </w:rPr>
      </w:pPr>
    </w:p>
    <w:p w14:paraId="5A5DA69A" w14:textId="77777777" w:rsidR="00D34F11" w:rsidRPr="00145540" w:rsidRDefault="00D34F11" w:rsidP="00D34F11">
      <w:pPr>
        <w:pStyle w:val="maintext"/>
        <w:ind w:firstLineChars="0" w:firstLine="0"/>
        <w:rPr>
          <w:rFonts w:ascii="Calibri" w:hAnsi="Calibri"/>
          <w:b/>
          <w:bCs/>
        </w:rPr>
      </w:pPr>
      <w:r>
        <w:rPr>
          <w:rFonts w:ascii="Calibri" w:hAnsi="Calibri"/>
          <w:b/>
          <w:bCs/>
        </w:rPr>
        <w:t>Proposal 1: T</w:t>
      </w:r>
      <w:r w:rsidRPr="0057056A">
        <w:rPr>
          <w:rFonts w:ascii="Calibri" w:hAnsi="Calibri"/>
          <w:b/>
          <w:bCs/>
        </w:rPr>
        <w:t xml:space="preserve">he NCR-MT </w:t>
      </w:r>
      <w:r>
        <w:rPr>
          <w:rFonts w:ascii="Calibri" w:hAnsi="Calibri"/>
          <w:b/>
          <w:bCs/>
        </w:rPr>
        <w:t>should support configuration of the same SMTC periodicities as IAB-MTs (</w:t>
      </w:r>
      <w:proofErr w:type="gramStart"/>
      <w:r>
        <w:rPr>
          <w:rFonts w:ascii="Calibri" w:hAnsi="Calibri"/>
          <w:b/>
          <w:bCs/>
        </w:rPr>
        <w:t>i.e.</w:t>
      </w:r>
      <w:proofErr w:type="gramEnd"/>
      <w:r>
        <w:rPr>
          <w:rFonts w:ascii="Calibri" w:hAnsi="Calibri"/>
          <w:b/>
          <w:bCs/>
        </w:rPr>
        <w:t xml:space="preserve"> </w:t>
      </w:r>
      <w:r w:rsidRPr="002F5AC8">
        <w:rPr>
          <w:rFonts w:ascii="Calibri" w:hAnsi="Calibri"/>
          <w:b/>
          <w:bCs/>
        </w:rPr>
        <w:t xml:space="preserve">periodicityAndOffset-r16 within </w:t>
      </w:r>
      <w:r>
        <w:rPr>
          <w:rFonts w:ascii="Calibri" w:hAnsi="Calibri"/>
          <w:b/>
          <w:bCs/>
        </w:rPr>
        <w:t xml:space="preserve">SSB-MTC3-r16) </w:t>
      </w:r>
      <w:r w:rsidRPr="002F5AC8">
        <w:rPr>
          <w:rFonts w:ascii="Calibri" w:hAnsi="Calibri"/>
          <w:b/>
          <w:bCs/>
        </w:rPr>
        <w:t>when making cell reselection and RRM measurements in RRC_IDLE and RRC_INACTIVE</w:t>
      </w:r>
      <w:r>
        <w:rPr>
          <w:rFonts w:ascii="Calibri" w:hAnsi="Calibri"/>
          <w:b/>
          <w:bCs/>
        </w:rPr>
        <w:t>.</w:t>
      </w:r>
    </w:p>
    <w:p w14:paraId="5EAE8976" w14:textId="77777777" w:rsidR="00691C9C" w:rsidRPr="00D96F05" w:rsidRDefault="00691C9C" w:rsidP="00691C9C">
      <w:pPr>
        <w:pStyle w:val="maintext"/>
        <w:ind w:firstLineChars="0" w:firstLine="0"/>
        <w:rPr>
          <w:rFonts w:ascii="Calibri" w:hAnsi="Calibri"/>
          <w:b/>
          <w:bCs/>
        </w:rPr>
      </w:pPr>
      <w:r w:rsidRPr="00D96F05">
        <w:rPr>
          <w:rFonts w:ascii="Calibri" w:hAnsi="Calibri"/>
          <w:b/>
          <w:bCs/>
        </w:rPr>
        <w:t xml:space="preserve">Proposal 2: </w:t>
      </w:r>
      <w:r>
        <w:rPr>
          <w:rFonts w:ascii="Calibri" w:hAnsi="Calibri"/>
          <w:b/>
          <w:bCs/>
        </w:rPr>
        <w:t>An NCR-MT</w:t>
      </w:r>
      <w:r w:rsidRPr="00D96F05">
        <w:rPr>
          <w:rFonts w:ascii="Calibri" w:hAnsi="Calibri"/>
          <w:b/>
          <w:bCs/>
        </w:rPr>
        <w:t xml:space="preserve"> </w:t>
      </w:r>
      <w:r>
        <w:rPr>
          <w:rFonts w:ascii="Calibri" w:hAnsi="Calibri"/>
          <w:b/>
          <w:bCs/>
        </w:rPr>
        <w:t>can optionally indicate support for initial access and cell reselection</w:t>
      </w:r>
      <w:r w:rsidRPr="00D96F05">
        <w:rPr>
          <w:rFonts w:ascii="Calibri" w:hAnsi="Calibri"/>
          <w:b/>
          <w:bCs/>
        </w:rPr>
        <w:t xml:space="preserve"> on a band different from the band used by the NCR-</w:t>
      </w:r>
      <w:proofErr w:type="spellStart"/>
      <w:r w:rsidRPr="00D96F05">
        <w:rPr>
          <w:rFonts w:ascii="Calibri" w:hAnsi="Calibri"/>
          <w:b/>
          <w:bCs/>
        </w:rPr>
        <w:t>Fwd</w:t>
      </w:r>
      <w:proofErr w:type="spellEnd"/>
      <w:r w:rsidRPr="00D96F05">
        <w:rPr>
          <w:rFonts w:ascii="Calibri" w:hAnsi="Calibri"/>
          <w:b/>
          <w:bCs/>
        </w:rPr>
        <w:t xml:space="preserve"> for the access and backhaul links</w:t>
      </w:r>
      <w:r>
        <w:rPr>
          <w:rFonts w:ascii="Calibri" w:hAnsi="Calibri"/>
          <w:b/>
          <w:bCs/>
        </w:rPr>
        <w:t>, including via MR-DC and EN-DC capability indications</w:t>
      </w:r>
      <w:r w:rsidRPr="00D96F05">
        <w:rPr>
          <w:rFonts w:ascii="Calibri" w:hAnsi="Calibri"/>
          <w:b/>
          <w:bCs/>
        </w:rPr>
        <w:t>.</w:t>
      </w:r>
    </w:p>
    <w:p w14:paraId="42F6A97E" w14:textId="6C5E1FF3" w:rsidR="00D5391C" w:rsidRDefault="00D5391C" w:rsidP="00172743">
      <w:pPr>
        <w:spacing w:before="0" w:after="0"/>
        <w:rPr>
          <w:rFonts w:ascii="Calibri" w:hAnsi="Calibri"/>
          <w:b/>
          <w:bCs/>
        </w:rPr>
      </w:pPr>
    </w:p>
    <w:p w14:paraId="3D5B4A4F" w14:textId="77777777" w:rsidR="00FC2998" w:rsidRDefault="00FC2998" w:rsidP="00172743">
      <w:pPr>
        <w:spacing w:before="0" w:after="0"/>
        <w:rPr>
          <w:rFonts w:ascii="Calibri" w:hAnsi="Calibri"/>
        </w:rPr>
      </w:pPr>
    </w:p>
    <w:p w14:paraId="0BD12FC0" w14:textId="77994C5D" w:rsidR="00FE6C15" w:rsidRPr="0076067D" w:rsidRDefault="00FE6C15" w:rsidP="0076067D">
      <w:pPr>
        <w:pStyle w:val="Heading1"/>
      </w:pPr>
      <w:r>
        <w:t>Reference</w:t>
      </w:r>
      <w:r w:rsidR="00FC2998">
        <w:t>s</w:t>
      </w:r>
    </w:p>
    <w:p w14:paraId="38DD05DA" w14:textId="77777777" w:rsidR="00B437E2" w:rsidRDefault="00B437E2" w:rsidP="00B437E2">
      <w:pPr>
        <w:pStyle w:val="2222"/>
        <w:spacing w:after="120" w:line="288" w:lineRule="auto"/>
        <w:ind w:firstLineChars="0" w:firstLine="0"/>
        <w:jc w:val="left"/>
        <w:rPr>
          <w:rFonts w:cs="Times New Roman"/>
          <w:lang w:eastAsia="ko-KR"/>
        </w:rPr>
      </w:pPr>
      <w:bookmarkStart w:id="19" w:name="OLE_LINK51"/>
      <w:bookmarkStart w:id="20" w:name="OLE_LINK97"/>
      <w:r>
        <w:rPr>
          <w:rFonts w:cs="Times New Roman"/>
          <w:lang w:eastAsia="ko-KR"/>
        </w:rPr>
        <w:t xml:space="preserve">[1] RP-222673 </w:t>
      </w:r>
      <w:r w:rsidRPr="0078157E">
        <w:rPr>
          <w:rFonts w:cs="Times New Roman"/>
          <w:lang w:eastAsia="ko-KR"/>
        </w:rPr>
        <w:t>New WID on NR network-controlled repeaters</w:t>
      </w:r>
    </w:p>
    <w:bookmarkEnd w:id="19"/>
    <w:bookmarkEnd w:id="20"/>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A1ACE" w14:textId="77777777" w:rsidR="00473DD8" w:rsidRDefault="00473DD8" w:rsidP="00424124">
      <w:pPr>
        <w:spacing w:before="0" w:after="0"/>
      </w:pPr>
      <w:r>
        <w:separator/>
      </w:r>
    </w:p>
  </w:endnote>
  <w:endnote w:type="continuationSeparator" w:id="0">
    <w:p w14:paraId="5E6FFF7C" w14:textId="77777777" w:rsidR="00473DD8" w:rsidRDefault="00473DD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2DA9D" w14:textId="77777777" w:rsidR="00473DD8" w:rsidRDefault="00473DD8" w:rsidP="00424124">
      <w:pPr>
        <w:spacing w:before="0" w:after="0"/>
      </w:pPr>
      <w:r>
        <w:separator/>
      </w:r>
    </w:p>
  </w:footnote>
  <w:footnote w:type="continuationSeparator" w:id="0">
    <w:p w14:paraId="4B330250" w14:textId="77777777" w:rsidR="00473DD8" w:rsidRDefault="00473DD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9966287">
    <w:abstractNumId w:val="14"/>
  </w:num>
  <w:num w:numId="2" w16cid:durableId="373965654">
    <w:abstractNumId w:val="5"/>
  </w:num>
  <w:num w:numId="3" w16cid:durableId="1327633833">
    <w:abstractNumId w:val="19"/>
  </w:num>
  <w:num w:numId="4" w16cid:durableId="1921672436">
    <w:abstractNumId w:val="0"/>
  </w:num>
  <w:num w:numId="5" w16cid:durableId="1615097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3"/>
  </w:num>
  <w:num w:numId="7" w16cid:durableId="2123576136">
    <w:abstractNumId w:val="11"/>
  </w:num>
  <w:num w:numId="8" w16cid:durableId="2074306897">
    <w:abstractNumId w:val="9"/>
  </w:num>
  <w:num w:numId="9" w16cid:durableId="1300765730">
    <w:abstractNumId w:val="21"/>
  </w:num>
  <w:num w:numId="10" w16cid:durableId="1150637467">
    <w:abstractNumId w:val="3"/>
  </w:num>
  <w:num w:numId="11" w16cid:durableId="767892389">
    <w:abstractNumId w:val="12"/>
  </w:num>
  <w:num w:numId="12" w16cid:durableId="1666279620">
    <w:abstractNumId w:val="4"/>
  </w:num>
  <w:num w:numId="13" w16cid:durableId="1173177971">
    <w:abstractNumId w:val="22"/>
  </w:num>
  <w:num w:numId="14" w16cid:durableId="823811775">
    <w:abstractNumId w:val="15"/>
  </w:num>
  <w:num w:numId="15" w16cid:durableId="908926294">
    <w:abstractNumId w:val="17"/>
  </w:num>
  <w:num w:numId="16" w16cid:durableId="220360974">
    <w:abstractNumId w:val="8"/>
  </w:num>
  <w:num w:numId="17" w16cid:durableId="17127630">
    <w:abstractNumId w:val="16"/>
  </w:num>
  <w:num w:numId="18" w16cid:durableId="163085835">
    <w:abstractNumId w:val="23"/>
  </w:num>
  <w:num w:numId="19" w16cid:durableId="475685115">
    <w:abstractNumId w:val="7"/>
  </w:num>
  <w:num w:numId="20" w16cid:durableId="1870485266">
    <w:abstractNumId w:val="10"/>
  </w:num>
  <w:num w:numId="21" w16cid:durableId="1066032205">
    <w:abstractNumId w:val="18"/>
  </w:num>
  <w:num w:numId="22" w16cid:durableId="1062369861">
    <w:abstractNumId w:val="20"/>
  </w:num>
  <w:num w:numId="23" w16cid:durableId="1396467391">
    <w:abstractNumId w:val="24"/>
  </w:num>
  <w:num w:numId="24" w16cid:durableId="565188601">
    <w:abstractNumId w:val="2"/>
  </w:num>
  <w:num w:numId="25" w16cid:durableId="879174278">
    <w:abstractNumId w:val="6"/>
  </w:num>
  <w:num w:numId="26" w16cid:durableId="105612964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FE9"/>
    <w:rsid w:val="00001127"/>
    <w:rsid w:val="00001BBA"/>
    <w:rsid w:val="00004522"/>
    <w:rsid w:val="000052FF"/>
    <w:rsid w:val="0001485D"/>
    <w:rsid w:val="000149EC"/>
    <w:rsid w:val="000208A6"/>
    <w:rsid w:val="00020F1A"/>
    <w:rsid w:val="00032D47"/>
    <w:rsid w:val="00034E1E"/>
    <w:rsid w:val="00035EAF"/>
    <w:rsid w:val="00043F30"/>
    <w:rsid w:val="00045AED"/>
    <w:rsid w:val="000463E4"/>
    <w:rsid w:val="0004664E"/>
    <w:rsid w:val="00046FE1"/>
    <w:rsid w:val="0004732B"/>
    <w:rsid w:val="00051B4B"/>
    <w:rsid w:val="00051EBB"/>
    <w:rsid w:val="000550BC"/>
    <w:rsid w:val="00057E9B"/>
    <w:rsid w:val="000643FA"/>
    <w:rsid w:val="0006696B"/>
    <w:rsid w:val="00071942"/>
    <w:rsid w:val="000724AF"/>
    <w:rsid w:val="000730C9"/>
    <w:rsid w:val="0007575F"/>
    <w:rsid w:val="00075B2C"/>
    <w:rsid w:val="00075FD1"/>
    <w:rsid w:val="00077712"/>
    <w:rsid w:val="00085800"/>
    <w:rsid w:val="000865E3"/>
    <w:rsid w:val="0008716F"/>
    <w:rsid w:val="00087E5C"/>
    <w:rsid w:val="00090197"/>
    <w:rsid w:val="000917C5"/>
    <w:rsid w:val="00095E02"/>
    <w:rsid w:val="00097DC6"/>
    <w:rsid w:val="000A093A"/>
    <w:rsid w:val="000A1D40"/>
    <w:rsid w:val="000A36A9"/>
    <w:rsid w:val="000B0720"/>
    <w:rsid w:val="000B58AF"/>
    <w:rsid w:val="000B6D99"/>
    <w:rsid w:val="000C1344"/>
    <w:rsid w:val="000C21D0"/>
    <w:rsid w:val="000C42E2"/>
    <w:rsid w:val="000C57B9"/>
    <w:rsid w:val="000D38DC"/>
    <w:rsid w:val="000E29D8"/>
    <w:rsid w:val="000F050B"/>
    <w:rsid w:val="000F6423"/>
    <w:rsid w:val="0010303E"/>
    <w:rsid w:val="001116B0"/>
    <w:rsid w:val="0011327D"/>
    <w:rsid w:val="00115E2D"/>
    <w:rsid w:val="00116DA6"/>
    <w:rsid w:val="00126BEC"/>
    <w:rsid w:val="001306D1"/>
    <w:rsid w:val="00133F21"/>
    <w:rsid w:val="00137E15"/>
    <w:rsid w:val="001417A8"/>
    <w:rsid w:val="00141C15"/>
    <w:rsid w:val="00145540"/>
    <w:rsid w:val="00153793"/>
    <w:rsid w:val="001547B6"/>
    <w:rsid w:val="00155C3C"/>
    <w:rsid w:val="00163E5F"/>
    <w:rsid w:val="0016445D"/>
    <w:rsid w:val="00164BF6"/>
    <w:rsid w:val="00166479"/>
    <w:rsid w:val="001677A3"/>
    <w:rsid w:val="00172743"/>
    <w:rsid w:val="00175301"/>
    <w:rsid w:val="00176A86"/>
    <w:rsid w:val="001770A0"/>
    <w:rsid w:val="001A12F1"/>
    <w:rsid w:val="001A5A68"/>
    <w:rsid w:val="001A6212"/>
    <w:rsid w:val="001A75E0"/>
    <w:rsid w:val="001B0AF2"/>
    <w:rsid w:val="001B731B"/>
    <w:rsid w:val="001C138C"/>
    <w:rsid w:val="001C22A7"/>
    <w:rsid w:val="001C2DBE"/>
    <w:rsid w:val="001C4ACE"/>
    <w:rsid w:val="001C4B0D"/>
    <w:rsid w:val="001C699C"/>
    <w:rsid w:val="001D1016"/>
    <w:rsid w:val="001E0CE1"/>
    <w:rsid w:val="001E24F2"/>
    <w:rsid w:val="001E58CC"/>
    <w:rsid w:val="001F2A01"/>
    <w:rsid w:val="001F4837"/>
    <w:rsid w:val="001F59ED"/>
    <w:rsid w:val="002111DF"/>
    <w:rsid w:val="00211D37"/>
    <w:rsid w:val="00212204"/>
    <w:rsid w:val="00213046"/>
    <w:rsid w:val="00216763"/>
    <w:rsid w:val="00222269"/>
    <w:rsid w:val="0022281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9147A"/>
    <w:rsid w:val="00297225"/>
    <w:rsid w:val="002A005E"/>
    <w:rsid w:val="002A0270"/>
    <w:rsid w:val="002A189A"/>
    <w:rsid w:val="002A50E9"/>
    <w:rsid w:val="002A66E2"/>
    <w:rsid w:val="002B09B8"/>
    <w:rsid w:val="002B7AEB"/>
    <w:rsid w:val="002C0488"/>
    <w:rsid w:val="002C4097"/>
    <w:rsid w:val="002C594E"/>
    <w:rsid w:val="002D3D42"/>
    <w:rsid w:val="002D479B"/>
    <w:rsid w:val="002D4DDC"/>
    <w:rsid w:val="002D6EC9"/>
    <w:rsid w:val="002D787B"/>
    <w:rsid w:val="002E04E4"/>
    <w:rsid w:val="002E1518"/>
    <w:rsid w:val="002E188B"/>
    <w:rsid w:val="002E5135"/>
    <w:rsid w:val="002F24E6"/>
    <w:rsid w:val="002F5AC8"/>
    <w:rsid w:val="002F692C"/>
    <w:rsid w:val="003155BB"/>
    <w:rsid w:val="00315DC4"/>
    <w:rsid w:val="00316740"/>
    <w:rsid w:val="00317020"/>
    <w:rsid w:val="00317054"/>
    <w:rsid w:val="00320B4D"/>
    <w:rsid w:val="00321FC4"/>
    <w:rsid w:val="00326FF6"/>
    <w:rsid w:val="00327A22"/>
    <w:rsid w:val="00332BB8"/>
    <w:rsid w:val="0033513A"/>
    <w:rsid w:val="00342130"/>
    <w:rsid w:val="00343561"/>
    <w:rsid w:val="00346605"/>
    <w:rsid w:val="0035318F"/>
    <w:rsid w:val="00354C01"/>
    <w:rsid w:val="00355FF9"/>
    <w:rsid w:val="00361C2F"/>
    <w:rsid w:val="0036306A"/>
    <w:rsid w:val="00371F1D"/>
    <w:rsid w:val="003727DB"/>
    <w:rsid w:val="00383E05"/>
    <w:rsid w:val="00386642"/>
    <w:rsid w:val="0039078B"/>
    <w:rsid w:val="00390912"/>
    <w:rsid w:val="00390D31"/>
    <w:rsid w:val="00392176"/>
    <w:rsid w:val="003921D6"/>
    <w:rsid w:val="003A0928"/>
    <w:rsid w:val="003A298A"/>
    <w:rsid w:val="003A553B"/>
    <w:rsid w:val="003A566A"/>
    <w:rsid w:val="003A6AD8"/>
    <w:rsid w:val="003B1EC9"/>
    <w:rsid w:val="003B2DFA"/>
    <w:rsid w:val="003B32A7"/>
    <w:rsid w:val="003B4548"/>
    <w:rsid w:val="003C2392"/>
    <w:rsid w:val="003C2E75"/>
    <w:rsid w:val="003C2F89"/>
    <w:rsid w:val="003D3004"/>
    <w:rsid w:val="003D523C"/>
    <w:rsid w:val="003E1304"/>
    <w:rsid w:val="003E35D4"/>
    <w:rsid w:val="003E3DEA"/>
    <w:rsid w:val="003E4685"/>
    <w:rsid w:val="003E7121"/>
    <w:rsid w:val="003F0731"/>
    <w:rsid w:val="003F33B4"/>
    <w:rsid w:val="003F36B0"/>
    <w:rsid w:val="003F5CAC"/>
    <w:rsid w:val="0040372C"/>
    <w:rsid w:val="004047F5"/>
    <w:rsid w:val="00405F6D"/>
    <w:rsid w:val="00424124"/>
    <w:rsid w:val="00434212"/>
    <w:rsid w:val="0043652D"/>
    <w:rsid w:val="00440F6E"/>
    <w:rsid w:val="00443645"/>
    <w:rsid w:val="00443CD6"/>
    <w:rsid w:val="0045180D"/>
    <w:rsid w:val="00455103"/>
    <w:rsid w:val="004552C9"/>
    <w:rsid w:val="004607AC"/>
    <w:rsid w:val="0046127E"/>
    <w:rsid w:val="004627EF"/>
    <w:rsid w:val="00466E46"/>
    <w:rsid w:val="004678E1"/>
    <w:rsid w:val="004729B6"/>
    <w:rsid w:val="00473281"/>
    <w:rsid w:val="00473B68"/>
    <w:rsid w:val="00473DD8"/>
    <w:rsid w:val="00476DD8"/>
    <w:rsid w:val="004776CE"/>
    <w:rsid w:val="0047793F"/>
    <w:rsid w:val="00480799"/>
    <w:rsid w:val="00480BBD"/>
    <w:rsid w:val="00481601"/>
    <w:rsid w:val="0048301B"/>
    <w:rsid w:val="004866E3"/>
    <w:rsid w:val="00491761"/>
    <w:rsid w:val="00492168"/>
    <w:rsid w:val="0049450F"/>
    <w:rsid w:val="004A5ABE"/>
    <w:rsid w:val="004A6424"/>
    <w:rsid w:val="004A69D0"/>
    <w:rsid w:val="004A6A82"/>
    <w:rsid w:val="004B185B"/>
    <w:rsid w:val="004B22E2"/>
    <w:rsid w:val="004B2D38"/>
    <w:rsid w:val="004B6AA8"/>
    <w:rsid w:val="004B6E00"/>
    <w:rsid w:val="004B76EC"/>
    <w:rsid w:val="004C130E"/>
    <w:rsid w:val="004C186B"/>
    <w:rsid w:val="004C38DD"/>
    <w:rsid w:val="004C3F2E"/>
    <w:rsid w:val="004C4856"/>
    <w:rsid w:val="004C6DC3"/>
    <w:rsid w:val="004C7784"/>
    <w:rsid w:val="004D1CAD"/>
    <w:rsid w:val="004D453B"/>
    <w:rsid w:val="004D780D"/>
    <w:rsid w:val="004D7CF8"/>
    <w:rsid w:val="004E26A1"/>
    <w:rsid w:val="004E4188"/>
    <w:rsid w:val="004E6BC0"/>
    <w:rsid w:val="004E6D3B"/>
    <w:rsid w:val="004F2B57"/>
    <w:rsid w:val="004F3417"/>
    <w:rsid w:val="004F3742"/>
    <w:rsid w:val="004F39D2"/>
    <w:rsid w:val="004F46BC"/>
    <w:rsid w:val="004F47DC"/>
    <w:rsid w:val="004F5864"/>
    <w:rsid w:val="005007E9"/>
    <w:rsid w:val="00504C05"/>
    <w:rsid w:val="00504E5F"/>
    <w:rsid w:val="00504E73"/>
    <w:rsid w:val="005055A6"/>
    <w:rsid w:val="00506EF4"/>
    <w:rsid w:val="00507060"/>
    <w:rsid w:val="0051179B"/>
    <w:rsid w:val="0051424F"/>
    <w:rsid w:val="005174AE"/>
    <w:rsid w:val="00523623"/>
    <w:rsid w:val="005300F0"/>
    <w:rsid w:val="005339F7"/>
    <w:rsid w:val="00534DE7"/>
    <w:rsid w:val="005363F5"/>
    <w:rsid w:val="00544843"/>
    <w:rsid w:val="0054560C"/>
    <w:rsid w:val="00545FD3"/>
    <w:rsid w:val="0055464C"/>
    <w:rsid w:val="00561FB7"/>
    <w:rsid w:val="0056238B"/>
    <w:rsid w:val="00563129"/>
    <w:rsid w:val="00565BDB"/>
    <w:rsid w:val="005666A4"/>
    <w:rsid w:val="0057056A"/>
    <w:rsid w:val="0057145F"/>
    <w:rsid w:val="005758E7"/>
    <w:rsid w:val="0057734C"/>
    <w:rsid w:val="005778C8"/>
    <w:rsid w:val="0058120D"/>
    <w:rsid w:val="00586C5F"/>
    <w:rsid w:val="00591529"/>
    <w:rsid w:val="005A0E71"/>
    <w:rsid w:val="005A1A97"/>
    <w:rsid w:val="005A1F9F"/>
    <w:rsid w:val="005B0C2C"/>
    <w:rsid w:val="005B31EF"/>
    <w:rsid w:val="005B47BD"/>
    <w:rsid w:val="005B6FA6"/>
    <w:rsid w:val="005C0F4C"/>
    <w:rsid w:val="005D2C51"/>
    <w:rsid w:val="005E598C"/>
    <w:rsid w:val="005F1619"/>
    <w:rsid w:val="005F21BF"/>
    <w:rsid w:val="005F613D"/>
    <w:rsid w:val="005F7630"/>
    <w:rsid w:val="005F7F36"/>
    <w:rsid w:val="006010E0"/>
    <w:rsid w:val="00603015"/>
    <w:rsid w:val="0060603E"/>
    <w:rsid w:val="00616A59"/>
    <w:rsid w:val="00620C27"/>
    <w:rsid w:val="00623B38"/>
    <w:rsid w:val="0063087B"/>
    <w:rsid w:val="00632789"/>
    <w:rsid w:val="00634707"/>
    <w:rsid w:val="00635D05"/>
    <w:rsid w:val="006439F2"/>
    <w:rsid w:val="00644034"/>
    <w:rsid w:val="006477B7"/>
    <w:rsid w:val="00652AC8"/>
    <w:rsid w:val="00655FEB"/>
    <w:rsid w:val="0066157D"/>
    <w:rsid w:val="006635FE"/>
    <w:rsid w:val="0067125A"/>
    <w:rsid w:val="00671E30"/>
    <w:rsid w:val="006756FB"/>
    <w:rsid w:val="0067724D"/>
    <w:rsid w:val="00677BD0"/>
    <w:rsid w:val="006843E1"/>
    <w:rsid w:val="00685B82"/>
    <w:rsid w:val="00685E11"/>
    <w:rsid w:val="00691C9C"/>
    <w:rsid w:val="0069705B"/>
    <w:rsid w:val="006A0EDC"/>
    <w:rsid w:val="006A18DB"/>
    <w:rsid w:val="006A2D2E"/>
    <w:rsid w:val="006A583A"/>
    <w:rsid w:val="006A7498"/>
    <w:rsid w:val="006B16C1"/>
    <w:rsid w:val="006B1BE9"/>
    <w:rsid w:val="006C1C85"/>
    <w:rsid w:val="006C452E"/>
    <w:rsid w:val="006C48AC"/>
    <w:rsid w:val="006D6ABC"/>
    <w:rsid w:val="006E1700"/>
    <w:rsid w:val="006E1CF4"/>
    <w:rsid w:val="006E790B"/>
    <w:rsid w:val="006F055C"/>
    <w:rsid w:val="006F5485"/>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B79"/>
    <w:rsid w:val="00747A6F"/>
    <w:rsid w:val="00751076"/>
    <w:rsid w:val="007531BC"/>
    <w:rsid w:val="00755E5E"/>
    <w:rsid w:val="0075622F"/>
    <w:rsid w:val="0075696D"/>
    <w:rsid w:val="0076067D"/>
    <w:rsid w:val="007677CC"/>
    <w:rsid w:val="007704B9"/>
    <w:rsid w:val="00776EF2"/>
    <w:rsid w:val="007810BA"/>
    <w:rsid w:val="007814F3"/>
    <w:rsid w:val="00782CDC"/>
    <w:rsid w:val="007839F9"/>
    <w:rsid w:val="00784132"/>
    <w:rsid w:val="00786229"/>
    <w:rsid w:val="00791D57"/>
    <w:rsid w:val="00795A55"/>
    <w:rsid w:val="007A1149"/>
    <w:rsid w:val="007A2765"/>
    <w:rsid w:val="007B13E5"/>
    <w:rsid w:val="007B2F6B"/>
    <w:rsid w:val="007B473A"/>
    <w:rsid w:val="007B4C06"/>
    <w:rsid w:val="007B7394"/>
    <w:rsid w:val="007C21B0"/>
    <w:rsid w:val="007D0BB2"/>
    <w:rsid w:val="007D2C48"/>
    <w:rsid w:val="007D672A"/>
    <w:rsid w:val="007E546F"/>
    <w:rsid w:val="007F0AF3"/>
    <w:rsid w:val="007F1928"/>
    <w:rsid w:val="007F3600"/>
    <w:rsid w:val="007F392E"/>
    <w:rsid w:val="00807435"/>
    <w:rsid w:val="00811A1B"/>
    <w:rsid w:val="00813DEF"/>
    <w:rsid w:val="00814815"/>
    <w:rsid w:val="00814F68"/>
    <w:rsid w:val="00822C1C"/>
    <w:rsid w:val="00824C74"/>
    <w:rsid w:val="00824DED"/>
    <w:rsid w:val="00826E5A"/>
    <w:rsid w:val="00830875"/>
    <w:rsid w:val="0083513D"/>
    <w:rsid w:val="008370EA"/>
    <w:rsid w:val="0083713D"/>
    <w:rsid w:val="008437B2"/>
    <w:rsid w:val="00843F1C"/>
    <w:rsid w:val="00850DCE"/>
    <w:rsid w:val="00853591"/>
    <w:rsid w:val="00854C66"/>
    <w:rsid w:val="00854FBB"/>
    <w:rsid w:val="0086373E"/>
    <w:rsid w:val="008661BA"/>
    <w:rsid w:val="008671A6"/>
    <w:rsid w:val="00871CA8"/>
    <w:rsid w:val="00872E80"/>
    <w:rsid w:val="00874586"/>
    <w:rsid w:val="00885004"/>
    <w:rsid w:val="00886B7B"/>
    <w:rsid w:val="00887AB4"/>
    <w:rsid w:val="00894290"/>
    <w:rsid w:val="008972DB"/>
    <w:rsid w:val="008A03FB"/>
    <w:rsid w:val="008A25A1"/>
    <w:rsid w:val="008A5D14"/>
    <w:rsid w:val="008B0679"/>
    <w:rsid w:val="008B39B6"/>
    <w:rsid w:val="008B4455"/>
    <w:rsid w:val="008C1AFD"/>
    <w:rsid w:val="008C4B67"/>
    <w:rsid w:val="008D1AEF"/>
    <w:rsid w:val="008D3572"/>
    <w:rsid w:val="008D5DB8"/>
    <w:rsid w:val="008E48C2"/>
    <w:rsid w:val="008E526C"/>
    <w:rsid w:val="008F1CFE"/>
    <w:rsid w:val="008F2160"/>
    <w:rsid w:val="00905E86"/>
    <w:rsid w:val="009124E4"/>
    <w:rsid w:val="00917D0F"/>
    <w:rsid w:val="00921CC4"/>
    <w:rsid w:val="00924EA9"/>
    <w:rsid w:val="00925FA2"/>
    <w:rsid w:val="009268AE"/>
    <w:rsid w:val="00926A9C"/>
    <w:rsid w:val="00927803"/>
    <w:rsid w:val="0093139A"/>
    <w:rsid w:val="009453B3"/>
    <w:rsid w:val="0094586E"/>
    <w:rsid w:val="00951766"/>
    <w:rsid w:val="00957CD1"/>
    <w:rsid w:val="00960F96"/>
    <w:rsid w:val="00961DB2"/>
    <w:rsid w:val="00962456"/>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4418"/>
    <w:rsid w:val="009E5838"/>
    <w:rsid w:val="00A0235E"/>
    <w:rsid w:val="00A024AB"/>
    <w:rsid w:val="00A04526"/>
    <w:rsid w:val="00A07EAB"/>
    <w:rsid w:val="00A11704"/>
    <w:rsid w:val="00A11840"/>
    <w:rsid w:val="00A127C5"/>
    <w:rsid w:val="00A13AA6"/>
    <w:rsid w:val="00A22671"/>
    <w:rsid w:val="00A22C61"/>
    <w:rsid w:val="00A262E4"/>
    <w:rsid w:val="00A26EC3"/>
    <w:rsid w:val="00A300E0"/>
    <w:rsid w:val="00A359C7"/>
    <w:rsid w:val="00A35B31"/>
    <w:rsid w:val="00A35DBF"/>
    <w:rsid w:val="00A41CF3"/>
    <w:rsid w:val="00A4200A"/>
    <w:rsid w:val="00A4674D"/>
    <w:rsid w:val="00A547CE"/>
    <w:rsid w:val="00A55FF3"/>
    <w:rsid w:val="00A603CE"/>
    <w:rsid w:val="00A64CF7"/>
    <w:rsid w:val="00A65FD7"/>
    <w:rsid w:val="00A7535D"/>
    <w:rsid w:val="00A7677A"/>
    <w:rsid w:val="00A80FA1"/>
    <w:rsid w:val="00A81AFF"/>
    <w:rsid w:val="00A81FEF"/>
    <w:rsid w:val="00A821EA"/>
    <w:rsid w:val="00A8721E"/>
    <w:rsid w:val="00A92495"/>
    <w:rsid w:val="00AA5160"/>
    <w:rsid w:val="00AA5899"/>
    <w:rsid w:val="00AA6DEA"/>
    <w:rsid w:val="00AB38F0"/>
    <w:rsid w:val="00AB75A3"/>
    <w:rsid w:val="00AB7FC6"/>
    <w:rsid w:val="00AC05AE"/>
    <w:rsid w:val="00AD115D"/>
    <w:rsid w:val="00AD16AE"/>
    <w:rsid w:val="00AD6C53"/>
    <w:rsid w:val="00AE72F4"/>
    <w:rsid w:val="00AF0A4B"/>
    <w:rsid w:val="00AF27CF"/>
    <w:rsid w:val="00AF31FB"/>
    <w:rsid w:val="00AF4BBC"/>
    <w:rsid w:val="00AF637C"/>
    <w:rsid w:val="00AF65DE"/>
    <w:rsid w:val="00B03B66"/>
    <w:rsid w:val="00B04278"/>
    <w:rsid w:val="00B07458"/>
    <w:rsid w:val="00B11C29"/>
    <w:rsid w:val="00B12672"/>
    <w:rsid w:val="00B14ADC"/>
    <w:rsid w:val="00B15E6A"/>
    <w:rsid w:val="00B17FD9"/>
    <w:rsid w:val="00B22636"/>
    <w:rsid w:val="00B2434D"/>
    <w:rsid w:val="00B24D29"/>
    <w:rsid w:val="00B313AA"/>
    <w:rsid w:val="00B34716"/>
    <w:rsid w:val="00B3707E"/>
    <w:rsid w:val="00B437E2"/>
    <w:rsid w:val="00B468FE"/>
    <w:rsid w:val="00B50950"/>
    <w:rsid w:val="00B61A13"/>
    <w:rsid w:val="00B62196"/>
    <w:rsid w:val="00B6232D"/>
    <w:rsid w:val="00B648CA"/>
    <w:rsid w:val="00B66CC1"/>
    <w:rsid w:val="00B66FA5"/>
    <w:rsid w:val="00B674C5"/>
    <w:rsid w:val="00B747E3"/>
    <w:rsid w:val="00B74894"/>
    <w:rsid w:val="00B749FB"/>
    <w:rsid w:val="00B75800"/>
    <w:rsid w:val="00B75FF7"/>
    <w:rsid w:val="00B82B83"/>
    <w:rsid w:val="00B8611D"/>
    <w:rsid w:val="00B86A23"/>
    <w:rsid w:val="00B909F7"/>
    <w:rsid w:val="00B96A24"/>
    <w:rsid w:val="00BA677D"/>
    <w:rsid w:val="00BA6FDB"/>
    <w:rsid w:val="00BB02ED"/>
    <w:rsid w:val="00BB3CBF"/>
    <w:rsid w:val="00BB5132"/>
    <w:rsid w:val="00BB606C"/>
    <w:rsid w:val="00BB65B4"/>
    <w:rsid w:val="00BC2778"/>
    <w:rsid w:val="00BC31F9"/>
    <w:rsid w:val="00BC5B30"/>
    <w:rsid w:val="00BC6F83"/>
    <w:rsid w:val="00BC704C"/>
    <w:rsid w:val="00BD34B4"/>
    <w:rsid w:val="00BD4EE7"/>
    <w:rsid w:val="00BD70CD"/>
    <w:rsid w:val="00BE373F"/>
    <w:rsid w:val="00BF0E9C"/>
    <w:rsid w:val="00BF1232"/>
    <w:rsid w:val="00BF2C5D"/>
    <w:rsid w:val="00BF31E3"/>
    <w:rsid w:val="00BF5F1C"/>
    <w:rsid w:val="00C0471E"/>
    <w:rsid w:val="00C07731"/>
    <w:rsid w:val="00C147AA"/>
    <w:rsid w:val="00C17339"/>
    <w:rsid w:val="00C17E83"/>
    <w:rsid w:val="00C218A9"/>
    <w:rsid w:val="00C23997"/>
    <w:rsid w:val="00C2430C"/>
    <w:rsid w:val="00C40BE6"/>
    <w:rsid w:val="00C47EE0"/>
    <w:rsid w:val="00C517CE"/>
    <w:rsid w:val="00C53317"/>
    <w:rsid w:val="00C54EAE"/>
    <w:rsid w:val="00C55337"/>
    <w:rsid w:val="00C55AFA"/>
    <w:rsid w:val="00C565E3"/>
    <w:rsid w:val="00C60F90"/>
    <w:rsid w:val="00C61EB9"/>
    <w:rsid w:val="00C63006"/>
    <w:rsid w:val="00C64B6B"/>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43F0"/>
    <w:rsid w:val="00CB6D97"/>
    <w:rsid w:val="00CC09CE"/>
    <w:rsid w:val="00CC13A4"/>
    <w:rsid w:val="00CC18CA"/>
    <w:rsid w:val="00CC2B1A"/>
    <w:rsid w:val="00CC6426"/>
    <w:rsid w:val="00CD32A6"/>
    <w:rsid w:val="00CD451E"/>
    <w:rsid w:val="00CD7021"/>
    <w:rsid w:val="00CE0C9D"/>
    <w:rsid w:val="00CE3968"/>
    <w:rsid w:val="00CF29C8"/>
    <w:rsid w:val="00CF7730"/>
    <w:rsid w:val="00D11258"/>
    <w:rsid w:val="00D12496"/>
    <w:rsid w:val="00D134C5"/>
    <w:rsid w:val="00D20E5E"/>
    <w:rsid w:val="00D23CDC"/>
    <w:rsid w:val="00D26593"/>
    <w:rsid w:val="00D268EB"/>
    <w:rsid w:val="00D26CFF"/>
    <w:rsid w:val="00D274C6"/>
    <w:rsid w:val="00D34F11"/>
    <w:rsid w:val="00D446F1"/>
    <w:rsid w:val="00D4500C"/>
    <w:rsid w:val="00D456D8"/>
    <w:rsid w:val="00D45A0E"/>
    <w:rsid w:val="00D4758C"/>
    <w:rsid w:val="00D50169"/>
    <w:rsid w:val="00D506AA"/>
    <w:rsid w:val="00D522CC"/>
    <w:rsid w:val="00D5391C"/>
    <w:rsid w:val="00D55FAB"/>
    <w:rsid w:val="00D56786"/>
    <w:rsid w:val="00D61EAB"/>
    <w:rsid w:val="00D645A9"/>
    <w:rsid w:val="00D701D3"/>
    <w:rsid w:val="00D7445F"/>
    <w:rsid w:val="00D9137B"/>
    <w:rsid w:val="00D91E8D"/>
    <w:rsid w:val="00D92B1D"/>
    <w:rsid w:val="00D96F05"/>
    <w:rsid w:val="00DA75DC"/>
    <w:rsid w:val="00DB0323"/>
    <w:rsid w:val="00DB1FA7"/>
    <w:rsid w:val="00DB3BFC"/>
    <w:rsid w:val="00DB5910"/>
    <w:rsid w:val="00DC0E31"/>
    <w:rsid w:val="00DC34C3"/>
    <w:rsid w:val="00DC3C53"/>
    <w:rsid w:val="00DC5328"/>
    <w:rsid w:val="00DC70D0"/>
    <w:rsid w:val="00DC7DD6"/>
    <w:rsid w:val="00DD3971"/>
    <w:rsid w:val="00DD47DD"/>
    <w:rsid w:val="00DD527A"/>
    <w:rsid w:val="00DE277A"/>
    <w:rsid w:val="00DE2A3F"/>
    <w:rsid w:val="00DE3A3E"/>
    <w:rsid w:val="00DF5F45"/>
    <w:rsid w:val="00E03E65"/>
    <w:rsid w:val="00E0507C"/>
    <w:rsid w:val="00E13146"/>
    <w:rsid w:val="00E149BA"/>
    <w:rsid w:val="00E174FC"/>
    <w:rsid w:val="00E20070"/>
    <w:rsid w:val="00E20994"/>
    <w:rsid w:val="00E22124"/>
    <w:rsid w:val="00E24C65"/>
    <w:rsid w:val="00E261AD"/>
    <w:rsid w:val="00E324C0"/>
    <w:rsid w:val="00E40344"/>
    <w:rsid w:val="00E56C7E"/>
    <w:rsid w:val="00E576BD"/>
    <w:rsid w:val="00E57BE9"/>
    <w:rsid w:val="00E604D6"/>
    <w:rsid w:val="00E625D9"/>
    <w:rsid w:val="00E64151"/>
    <w:rsid w:val="00E67086"/>
    <w:rsid w:val="00E67A6E"/>
    <w:rsid w:val="00E857E4"/>
    <w:rsid w:val="00E85B05"/>
    <w:rsid w:val="00E9139D"/>
    <w:rsid w:val="00E92487"/>
    <w:rsid w:val="00E94123"/>
    <w:rsid w:val="00EA219F"/>
    <w:rsid w:val="00EA26E5"/>
    <w:rsid w:val="00EA3B02"/>
    <w:rsid w:val="00EA5A59"/>
    <w:rsid w:val="00EA6213"/>
    <w:rsid w:val="00EB0C39"/>
    <w:rsid w:val="00EB3301"/>
    <w:rsid w:val="00EB7F64"/>
    <w:rsid w:val="00EC66AA"/>
    <w:rsid w:val="00EE013E"/>
    <w:rsid w:val="00EE2068"/>
    <w:rsid w:val="00EE314D"/>
    <w:rsid w:val="00EE3961"/>
    <w:rsid w:val="00EE4A18"/>
    <w:rsid w:val="00EE5DE8"/>
    <w:rsid w:val="00EF1F69"/>
    <w:rsid w:val="00EF2787"/>
    <w:rsid w:val="00EF61D1"/>
    <w:rsid w:val="00F00551"/>
    <w:rsid w:val="00F01D00"/>
    <w:rsid w:val="00F05333"/>
    <w:rsid w:val="00F15410"/>
    <w:rsid w:val="00F154D0"/>
    <w:rsid w:val="00F173D1"/>
    <w:rsid w:val="00F24880"/>
    <w:rsid w:val="00F261D6"/>
    <w:rsid w:val="00F26D45"/>
    <w:rsid w:val="00F30C84"/>
    <w:rsid w:val="00F35704"/>
    <w:rsid w:val="00F35911"/>
    <w:rsid w:val="00F35DD7"/>
    <w:rsid w:val="00F37513"/>
    <w:rsid w:val="00F42D43"/>
    <w:rsid w:val="00F44535"/>
    <w:rsid w:val="00F465CD"/>
    <w:rsid w:val="00F54103"/>
    <w:rsid w:val="00F57965"/>
    <w:rsid w:val="00F60351"/>
    <w:rsid w:val="00F60640"/>
    <w:rsid w:val="00F6398D"/>
    <w:rsid w:val="00F66A95"/>
    <w:rsid w:val="00F70A83"/>
    <w:rsid w:val="00F70F29"/>
    <w:rsid w:val="00F71810"/>
    <w:rsid w:val="00F72ABE"/>
    <w:rsid w:val="00F72B1B"/>
    <w:rsid w:val="00F75873"/>
    <w:rsid w:val="00F7596C"/>
    <w:rsid w:val="00F765DB"/>
    <w:rsid w:val="00F77BAA"/>
    <w:rsid w:val="00F77E12"/>
    <w:rsid w:val="00F80CBC"/>
    <w:rsid w:val="00F814DE"/>
    <w:rsid w:val="00F90045"/>
    <w:rsid w:val="00F925FE"/>
    <w:rsid w:val="00FA0472"/>
    <w:rsid w:val="00FA28D1"/>
    <w:rsid w:val="00FA41E9"/>
    <w:rsid w:val="00FA4D2C"/>
    <w:rsid w:val="00FA6558"/>
    <w:rsid w:val="00FB2665"/>
    <w:rsid w:val="00FB27A4"/>
    <w:rsid w:val="00FB485F"/>
    <w:rsid w:val="00FC2998"/>
    <w:rsid w:val="00FC46AF"/>
    <w:rsid w:val="00FC79A8"/>
    <w:rsid w:val="00FD489B"/>
    <w:rsid w:val="00FD530D"/>
    <w:rsid w:val="00FD791D"/>
    <w:rsid w:val="00FE0217"/>
    <w:rsid w:val="00FE4946"/>
    <w:rsid w:val="00FE6C15"/>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410"/>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 w:type="paragraph" w:customStyle="1" w:styleId="PL">
    <w:name w:val="PL"/>
    <w:link w:val="PLChar"/>
    <w:qFormat/>
    <w:rsid w:val="00476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76DD8"/>
    <w:rPr>
      <w:rFonts w:ascii="Courier New" w:eastAsia="Times New Roman" w:hAnsi="Courier New"/>
      <w:noProof/>
      <w:sz w:val="16"/>
      <w:shd w:val="clear" w:color="auto" w:fill="E6E6E6"/>
      <w:lang w:val="en-GB" w:eastAsia="en-GB"/>
    </w:rPr>
  </w:style>
  <w:style w:type="paragraph" w:customStyle="1" w:styleId="TH">
    <w:name w:val="TH"/>
    <w:basedOn w:val="Normal"/>
    <w:link w:val="THChar"/>
    <w:qFormat/>
    <w:rsid w:val="00476DD8"/>
    <w:pPr>
      <w:keepNext/>
      <w:keepLines/>
      <w:overflowPunct w:val="0"/>
      <w:autoSpaceDE w:val="0"/>
      <w:autoSpaceDN w:val="0"/>
      <w:adjustRightInd w:val="0"/>
      <w:spacing w:after="180"/>
      <w:jc w:val="center"/>
      <w:textAlignment w:val="baseline"/>
    </w:pPr>
    <w:rPr>
      <w:b/>
      <w:lang w:val="en-GB" w:eastAsia="ja-JP"/>
    </w:rPr>
  </w:style>
  <w:style w:type="character" w:customStyle="1" w:styleId="THChar">
    <w:name w:val="TH Char"/>
    <w:link w:val="TH"/>
    <w:qFormat/>
    <w:rsid w:val="00476DD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7457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8748</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2023-04-07T03:32:00Z</dcterms:created>
  <dcterms:modified xsi:type="dcterms:W3CDTF">2023-04-07T03:32:00Z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