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53B20" w14:textId="678C5CEB" w:rsidR="005C7C1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F84DF1" w:rsidRPr="00F84DF1">
        <w:rPr>
          <w:rFonts w:eastAsia="SimSun" w:cs="Arial"/>
          <w:b/>
          <w:kern w:val="0"/>
          <w:sz w:val="28"/>
          <w:szCs w:val="28"/>
          <w:lang w:val="en-US" w:eastAsia="en-US"/>
        </w:rPr>
        <w:t>R2-2302850</w:t>
      </w:r>
    </w:p>
    <w:p w14:paraId="1E6A01E2" w14:textId="77777777" w:rsidR="005C7C19"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e-meeting, April 17-26,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63D70AF9" w14:textId="77777777" w:rsidR="005C7C1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BCCE46C" w14:textId="77777777" w:rsidR="005C7C1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 Awareness </w:t>
      </w:r>
    </w:p>
    <w:p w14:paraId="0E63E7A4"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7.5.2</w:t>
      </w:r>
    </w:p>
    <w:p w14:paraId="29BA4157"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9697A60"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0E889191"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This contribution discusses how the PDU Set related information is used in RAN both in UL and DL.   </w:t>
      </w:r>
    </w:p>
    <w:p w14:paraId="28450F3D"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XR awareness in DL</w:t>
      </w:r>
    </w:p>
    <w:p w14:paraId="7C666D66" w14:textId="77777777" w:rsidR="005C7C19" w:rsidRDefault="00000000">
      <w:r>
        <w:t>XR awareness in RAN for DL includes the semi-static XR related information such as PSIHI, PSER and PSDB. This information is provided by CN to RAN over N2 interface and is semi-static in nature (</w:t>
      </w:r>
      <w:proofErr w:type="gramStart"/>
      <w:r>
        <w:t>i.e.</w:t>
      </w:r>
      <w:proofErr w:type="gramEnd"/>
      <w:r>
        <w:t xml:space="preserve"> does not change for each XR packet/PDU Set). RAN can use this information to configure the radio bearers and in the mapping of QoS flows to RBs. Apart from the signalling over network interfaces, no additional specification is required for this in RAN. </w:t>
      </w:r>
    </w:p>
    <w:p w14:paraId="007FE4E2" w14:textId="77777777" w:rsidR="005C7C19" w:rsidRDefault="00000000">
      <w:pPr>
        <w:rPr>
          <w:b/>
          <w:bCs/>
        </w:rPr>
      </w:pPr>
      <w:r>
        <w:rPr>
          <w:b/>
          <w:bCs/>
        </w:rPr>
        <w:t>Proposal 1: Semi-static XR session related information including PSIHI, PSER and PSDB can be provided by CN to RAN and can be used in RAN in determining RB configuration and QoS flow to RB mapping. No additional specification work is needed in RAN2 to specify the usage of these semi-static XR session related information</w:t>
      </w:r>
    </w:p>
    <w:p w14:paraId="457C6B46"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In addition, it has also been agreed that the following DL PDU set information is dynamically provided by the CN to RAN over the user plane (GTP-U </w:t>
      </w:r>
      <w:proofErr w:type="gramStart"/>
      <w:r>
        <w:rPr>
          <w:rFonts w:cs="Arial"/>
          <w:color w:val="000000"/>
          <w:sz w:val="21"/>
          <w:lang w:val="en-US" w:eastAsia="zh-CN"/>
        </w:rPr>
        <w:t>header)[</w:t>
      </w:r>
      <w:proofErr w:type="gramEnd"/>
      <w:r>
        <w:rPr>
          <w:rFonts w:cs="Arial"/>
          <w:color w:val="000000"/>
          <w:sz w:val="21"/>
          <w:lang w:val="en-US" w:eastAsia="zh-CN"/>
        </w:rPr>
        <w:t>2]:</w:t>
      </w:r>
    </w:p>
    <w:tbl>
      <w:tblPr>
        <w:tblStyle w:val="TableGrid"/>
        <w:tblW w:w="0" w:type="auto"/>
        <w:tblLook w:val="04A0" w:firstRow="1" w:lastRow="0" w:firstColumn="1" w:lastColumn="0" w:noHBand="0" w:noVBand="1"/>
      </w:tblPr>
      <w:tblGrid>
        <w:gridCol w:w="9771"/>
      </w:tblGrid>
      <w:tr w:rsidR="005C7C19" w14:paraId="7C428162" w14:textId="77777777">
        <w:tc>
          <w:tcPr>
            <w:tcW w:w="9997" w:type="dxa"/>
          </w:tcPr>
          <w:p w14:paraId="512C269C" w14:textId="77777777" w:rsidR="005C7C19" w:rsidRDefault="00000000">
            <w:pPr>
              <w:pStyle w:val="B2"/>
            </w:pPr>
            <w:r>
              <w:t>-</w:t>
            </w:r>
            <w:r>
              <w:tab/>
              <w:t>PDU Set Sequence Number;</w:t>
            </w:r>
          </w:p>
          <w:p w14:paraId="25D20D3C" w14:textId="77777777" w:rsidR="005C7C19" w:rsidRDefault="00000000">
            <w:pPr>
              <w:pStyle w:val="B2"/>
              <w:rPr>
                <w:rFonts w:eastAsia="DengXian"/>
                <w:lang w:eastAsia="zh-CN"/>
              </w:rPr>
            </w:pPr>
            <w:r>
              <w:rPr>
                <w:rFonts w:eastAsia="DengXian"/>
                <w:lang w:eastAsia="zh-CN"/>
              </w:rPr>
              <w:t>-</w:t>
            </w:r>
            <w:r>
              <w:rPr>
                <w:rFonts w:eastAsia="DengXian"/>
                <w:lang w:eastAsia="zh-CN"/>
              </w:rPr>
              <w:tab/>
              <w:t>PDU Set Size in bytes;</w:t>
            </w:r>
          </w:p>
          <w:p w14:paraId="0652731E" w14:textId="77777777" w:rsidR="005C7C19" w:rsidRDefault="00000000">
            <w:pPr>
              <w:pStyle w:val="B2"/>
              <w:rPr>
                <w:rFonts w:eastAsia="DengXian"/>
                <w:lang w:eastAsia="zh-CN"/>
              </w:rPr>
            </w:pPr>
            <w:r>
              <w:rPr>
                <w:rFonts w:eastAsia="DengXian"/>
                <w:lang w:eastAsia="zh-CN"/>
              </w:rPr>
              <w:t>-</w:t>
            </w:r>
            <w:r>
              <w:rPr>
                <w:rFonts w:eastAsia="DengXian"/>
                <w:lang w:eastAsia="zh-CN"/>
              </w:rPr>
              <w:tab/>
              <w:t>PDU SN within a PDU Set;</w:t>
            </w:r>
          </w:p>
          <w:p w14:paraId="241701D8" w14:textId="77777777" w:rsidR="005C7C19" w:rsidRDefault="00000000">
            <w:pPr>
              <w:pStyle w:val="B2"/>
              <w:rPr>
                <w:rFonts w:eastAsia="DengXian"/>
                <w:lang w:eastAsia="zh-CN"/>
              </w:rPr>
            </w:pPr>
            <w:r>
              <w:t>-</w:t>
            </w:r>
            <w:r>
              <w:tab/>
            </w:r>
            <w:r>
              <w:rPr>
                <w:rFonts w:eastAsia="DengXian"/>
                <w:lang w:eastAsia="zh-CN"/>
              </w:rPr>
              <w:t>End PDU of the PDU Set;</w:t>
            </w:r>
          </w:p>
          <w:p w14:paraId="21AE7AEF" w14:textId="77777777" w:rsidR="005C7C19" w:rsidRDefault="00000000">
            <w:pPr>
              <w:pStyle w:val="B2"/>
              <w:rPr>
                <w:rFonts w:eastAsia="DengXian"/>
                <w:lang w:eastAsia="zh-CN"/>
              </w:rPr>
            </w:pPr>
            <w:r>
              <w:rPr>
                <w:rFonts w:eastAsia="DengXian"/>
                <w:lang w:eastAsia="zh-CN"/>
              </w:rPr>
              <w:t>-</w:t>
            </w:r>
            <w:r>
              <w:rPr>
                <w:rFonts w:eastAsia="DengXian"/>
                <w:lang w:eastAsia="zh-CN"/>
              </w:rPr>
              <w:tab/>
              <w:t>PDU Set Importance: this parameter is used to identify the importance of a PDU Set within a QoS flow. RAN may use it for PDU Set level packet discarding in presence of congestion;</w:t>
            </w:r>
          </w:p>
          <w:p w14:paraId="3DAEF6E5" w14:textId="77777777" w:rsidR="005C7C19" w:rsidRDefault="00000000">
            <w:pPr>
              <w:pStyle w:val="B2"/>
              <w:rPr>
                <w:rFonts w:eastAsia="DengXian"/>
                <w:lang w:val="en-US" w:eastAsia="zh-CN"/>
              </w:rPr>
            </w:pPr>
            <w:r>
              <w:rPr>
                <w:rFonts w:eastAsia="DengXian"/>
                <w:lang w:eastAsia="zh-CN"/>
              </w:rPr>
              <w:t>-</w:t>
            </w:r>
            <w:r>
              <w:rPr>
                <w:rFonts w:eastAsia="DengXian"/>
                <w:lang w:eastAsia="zh-CN"/>
              </w:rPr>
              <w:tab/>
            </w:r>
            <w:r>
              <w:t>End of Data Burst indication in the header of the last PDU of the Data Burst (optional).</w:t>
            </w:r>
          </w:p>
        </w:tc>
      </w:tr>
    </w:tbl>
    <w:p w14:paraId="1E6A96C6"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The PDU Set Sequence Number, PDU Set Size in bytes, PDU SN within a PDU Set and End PDU of the PDU Set can be used by RAN to decide which PDUs belong to a same PDU set, and </w:t>
      </w:r>
      <w:r>
        <w:rPr>
          <w:rFonts w:cs="Arial" w:hint="eastAsia"/>
          <w:color w:val="000000"/>
          <w:sz w:val="21"/>
          <w:lang w:val="en-US" w:eastAsia="zh-CN"/>
        </w:rPr>
        <w:t>discard</w:t>
      </w:r>
      <w:r>
        <w:rPr>
          <w:rFonts w:cs="Arial"/>
          <w:color w:val="000000"/>
          <w:sz w:val="21"/>
          <w:lang w:val="en-US" w:eastAsia="zh-CN"/>
        </w:rPr>
        <w:t xml:space="preserve"> the PDU set based on PSER and PSDB. End of Data Burst indication in user plane (GTP-U header) can be used by </w:t>
      </w:r>
      <w:proofErr w:type="spellStart"/>
      <w:r>
        <w:rPr>
          <w:rFonts w:cs="Arial"/>
          <w:color w:val="000000"/>
          <w:sz w:val="21"/>
          <w:lang w:val="en-US" w:eastAsia="zh-CN"/>
        </w:rPr>
        <w:t>gNB</w:t>
      </w:r>
      <w:proofErr w:type="spellEnd"/>
      <w:r>
        <w:rPr>
          <w:rFonts w:cs="Arial"/>
          <w:color w:val="000000"/>
          <w:sz w:val="21"/>
          <w:lang w:val="en-US" w:eastAsia="zh-CN"/>
        </w:rPr>
        <w:t xml:space="preserve"> to decide which PDU sets belong to the same data burst, which can be used in association with PDU Set Importance in user plane (GTP-U header) for PDU set </w:t>
      </w:r>
      <w:r>
        <w:rPr>
          <w:rFonts w:cs="Arial" w:hint="eastAsia"/>
          <w:color w:val="000000"/>
          <w:sz w:val="21"/>
          <w:lang w:val="en-US" w:eastAsia="zh-CN"/>
        </w:rPr>
        <w:t>discard</w:t>
      </w:r>
      <w:r>
        <w:rPr>
          <w:rFonts w:cs="Arial"/>
          <w:color w:val="000000"/>
          <w:sz w:val="21"/>
          <w:lang w:val="en-US" w:eastAsia="zh-CN"/>
        </w:rPr>
        <w:t xml:space="preserve">ing during </w:t>
      </w:r>
      <w:proofErr w:type="spellStart"/>
      <w:r>
        <w:rPr>
          <w:rFonts w:cs="Arial"/>
          <w:color w:val="000000"/>
          <w:sz w:val="21"/>
          <w:lang w:val="en-US" w:eastAsia="zh-CN"/>
        </w:rPr>
        <w:t>Uu</w:t>
      </w:r>
      <w:proofErr w:type="spellEnd"/>
      <w:r>
        <w:rPr>
          <w:rFonts w:cs="Arial"/>
          <w:color w:val="000000"/>
          <w:sz w:val="21"/>
          <w:lang w:val="en-US" w:eastAsia="zh-CN"/>
        </w:rPr>
        <w:t xml:space="preserve"> congestion. Thus, PDU set information included in user plane (GTP-U header) should be known by the PDCP entity. </w:t>
      </w:r>
    </w:p>
    <w:p w14:paraId="7A26DB4E"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lastRenderedPageBreak/>
        <w:t xml:space="preserve">However, the DL PDCP discard operation is not specified and hence there is no need to specify any network </w:t>
      </w:r>
      <w:proofErr w:type="spellStart"/>
      <w:r>
        <w:rPr>
          <w:rFonts w:cs="Arial"/>
          <w:color w:val="000000"/>
          <w:sz w:val="21"/>
          <w:lang w:val="en-US" w:eastAsia="zh-CN"/>
        </w:rPr>
        <w:t>behaviour</w:t>
      </w:r>
      <w:proofErr w:type="spellEnd"/>
      <w:r>
        <w:rPr>
          <w:rFonts w:cs="Arial"/>
          <w:color w:val="000000"/>
          <w:sz w:val="21"/>
          <w:lang w:val="en-US" w:eastAsia="zh-CN"/>
        </w:rPr>
        <w:t xml:space="preserve"> for DL PDCP discard operation based on the dynamic information in the GTP-U header. </w:t>
      </w:r>
    </w:p>
    <w:p w14:paraId="3FB83413" w14:textId="77777777" w:rsidR="005C7C19"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Observation 1: PDU set information in user plane should be known by the PDCP entity to identify which PDUs belong to the same PDU set and to decide to </w:t>
      </w:r>
      <w:r>
        <w:rPr>
          <w:rFonts w:cs="Arial" w:hint="eastAsia"/>
          <w:b/>
          <w:bCs/>
          <w:color w:val="000000"/>
          <w:sz w:val="21"/>
          <w:lang w:val="en-US" w:eastAsia="zh-CN"/>
        </w:rPr>
        <w:t xml:space="preserve">discard </w:t>
      </w:r>
      <w:r>
        <w:rPr>
          <w:rFonts w:cs="Arial"/>
          <w:b/>
          <w:bCs/>
          <w:color w:val="000000"/>
          <w:sz w:val="21"/>
          <w:lang w:val="en-US" w:eastAsia="zh-CN"/>
        </w:rPr>
        <w:t>which PDU set when necessary.</w:t>
      </w:r>
    </w:p>
    <w:p w14:paraId="18B296BE" w14:textId="40E117B7" w:rsidR="005C7C19" w:rsidRDefault="00000000">
      <w:pPr>
        <w:rPr>
          <w:b/>
          <w:bCs/>
        </w:rPr>
      </w:pPr>
      <w:r>
        <w:rPr>
          <w:b/>
          <w:bCs/>
        </w:rPr>
        <w:t xml:space="preserve">Proposal 2: The PDU Set information in GTP header can be taken into account in </w:t>
      </w:r>
      <w:r w:rsidR="006E1798">
        <w:rPr>
          <w:b/>
          <w:bCs/>
        </w:rPr>
        <w:t xml:space="preserve">the </w:t>
      </w:r>
      <w:r>
        <w:rPr>
          <w:b/>
          <w:bCs/>
        </w:rPr>
        <w:t>PDCP packet discard mechanism in DL</w:t>
      </w:r>
    </w:p>
    <w:p w14:paraId="164DC8B3" w14:textId="77777777" w:rsidR="005C7C19" w:rsidRDefault="00000000">
      <w:r>
        <w:rPr>
          <w:b/>
          <w:bCs/>
        </w:rPr>
        <w:t>Proposal 3: No additional specification impact is foreseen for DL handling of the PDU sets in RAN2</w:t>
      </w:r>
    </w:p>
    <w:p w14:paraId="41192E0E"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XR awareness in UL</w:t>
      </w:r>
    </w:p>
    <w:p w14:paraId="7E089D4F" w14:textId="54BA5BC5" w:rsidR="005C7C19" w:rsidRDefault="00000000">
      <w:r>
        <w:rPr>
          <w:rFonts w:cs="Arial"/>
          <w:color w:val="000000"/>
        </w:rPr>
        <w:t xml:space="preserve">Similar to DL, being aware of the semi-static XR UL session related characteristics would be useful for RAN. </w:t>
      </w:r>
      <w:r>
        <w:t xml:space="preserve">These characteristics of the overall XR session typically change rather infrequently and hence such information is not needed too often. Hence, RRC level assistance information could be used by the UE to provide such long-term assistance information for XR. </w:t>
      </w:r>
      <w:r w:rsidR="00B8388A">
        <w:t xml:space="preserve">However, some related assistance information is also available at RAN from CN as part of the TSCAI. Hence, any assistance information from UE to network should only include the information that is not available in TSCAI. </w:t>
      </w:r>
    </w:p>
    <w:p w14:paraId="2B87D1D1" w14:textId="77777777" w:rsidR="005C7C19" w:rsidRDefault="00000000">
      <w:r>
        <w:t xml:space="preserve">The long-term assistance information in UL could include information such as: </w:t>
      </w:r>
    </w:p>
    <w:p w14:paraId="14890AFB" w14:textId="7DC4169F" w:rsidR="005C7C19" w:rsidRDefault="00000000">
      <w:pPr>
        <w:pStyle w:val="ListParagraph"/>
        <w:numPr>
          <w:ilvl w:val="0"/>
          <w:numId w:val="6"/>
        </w:numPr>
        <w:ind w:firstLineChars="0"/>
      </w:pPr>
      <w:r>
        <w:rPr>
          <w:b/>
          <w:bCs/>
          <w:u w:val="single"/>
        </w:rPr>
        <w:t>Periodicity</w:t>
      </w:r>
      <w:r>
        <w:t xml:space="preserve">: This could be data such as frames generated per second for audio/video data. This information is useful in determining the periodicity of resources such as CG period. </w:t>
      </w:r>
      <w:r w:rsidR="00B8388A">
        <w:t xml:space="preserve">However, this information is already included in TSCAI. So, it is not necessary to include this in the UL assistance from UE to network. </w:t>
      </w:r>
    </w:p>
    <w:p w14:paraId="241D96D2" w14:textId="77777777" w:rsidR="005C7C19" w:rsidRDefault="00000000">
      <w:pPr>
        <w:pStyle w:val="ListParagraph"/>
        <w:numPr>
          <w:ilvl w:val="0"/>
          <w:numId w:val="6"/>
        </w:numPr>
        <w:ind w:firstLineChars="0"/>
      </w:pPr>
      <w:r>
        <w:rPr>
          <w:b/>
          <w:bCs/>
          <w:u w:val="single"/>
        </w:rPr>
        <w:t>Burst size</w:t>
      </w:r>
      <w:r>
        <w:t>: Expected size of the individual burst. This information is useful to configure the size of CG resource in each period. Finer granularity for burst size can be considered for components of the XR stream (</w:t>
      </w:r>
      <w:proofErr w:type="gramStart"/>
      <w:r>
        <w:t>e.g.</w:t>
      </w:r>
      <w:proofErr w:type="gramEnd"/>
      <w:r>
        <w:t xml:space="preserve"> I frames, P/B frames and audio frames)</w:t>
      </w:r>
    </w:p>
    <w:p w14:paraId="1E2FBBAD" w14:textId="77777777" w:rsidR="005C7C19" w:rsidRDefault="00000000">
      <w:pPr>
        <w:pStyle w:val="ListParagraph"/>
        <w:numPr>
          <w:ilvl w:val="0"/>
          <w:numId w:val="6"/>
        </w:numPr>
        <w:ind w:firstLineChars="0"/>
      </w:pPr>
      <w:r>
        <w:rPr>
          <w:b/>
          <w:bCs/>
          <w:u w:val="single"/>
        </w:rPr>
        <w:t>Burst size variance</w:t>
      </w:r>
      <w:r>
        <w:t xml:space="preserve">: expected variance of the data bursts generated. It is important to configure the resources such that resources are neither under configured nor over configured. Combination of CG/DG could be used to avoid wastage of radio resources depending on the expected variance in the burst size. </w:t>
      </w:r>
    </w:p>
    <w:p w14:paraId="283F96F8" w14:textId="0660EFBB" w:rsidR="005C7C19" w:rsidRDefault="00000000">
      <w:pPr>
        <w:pStyle w:val="ListParagraph"/>
        <w:numPr>
          <w:ilvl w:val="0"/>
          <w:numId w:val="6"/>
        </w:numPr>
        <w:ind w:firstLineChars="0"/>
      </w:pPr>
      <w:r>
        <w:rPr>
          <w:b/>
          <w:bCs/>
          <w:u w:val="single"/>
        </w:rPr>
        <w:t>Burst timing</w:t>
      </w:r>
      <w:r w:rsidR="00B8388A">
        <w:rPr>
          <w:b/>
          <w:bCs/>
          <w:u w:val="single"/>
        </w:rPr>
        <w:t xml:space="preserve"> and jitter</w:t>
      </w:r>
      <w:r>
        <w:t>: This could include the offset (</w:t>
      </w:r>
      <w:proofErr w:type="gramStart"/>
      <w:r>
        <w:t>e.g.</w:t>
      </w:r>
      <w:proofErr w:type="gramEnd"/>
      <w:r>
        <w:t xml:space="preserve"> offset to SFN/radio frame boundary) when the periodic data is generated for each period. Providing this offset is important to tailor the radio resources (</w:t>
      </w:r>
      <w:proofErr w:type="gramStart"/>
      <w:r>
        <w:t>e.g.</w:t>
      </w:r>
      <w:proofErr w:type="gramEnd"/>
      <w:r>
        <w:t xml:space="preserve"> the CG period offset) such that the CG occasion occurs at the right instance. If the CG resource is not configured at the right instance, there would be a residual latency (and this could be as large as the CG period itself in the worst case) and this is not desirable.  </w:t>
      </w:r>
      <w:r w:rsidR="00B8388A">
        <w:t xml:space="preserve">In addition to the timing, the UE can also provide information related to jitter (e.g. mean variation around the burst timing in UL). This information could enable the network to tailor the time domain CG resources to the XR traffic. </w:t>
      </w:r>
    </w:p>
    <w:p w14:paraId="0ED8861A" w14:textId="77777777" w:rsidR="005C7C19" w:rsidRDefault="00000000">
      <w:r>
        <w:lastRenderedPageBreak/>
        <w:t xml:space="preserve">Based on the above, the following proposals are made: </w:t>
      </w:r>
    </w:p>
    <w:p w14:paraId="239D414E" w14:textId="77777777" w:rsidR="005C7C19" w:rsidRDefault="00000000">
      <w:pPr>
        <w:rPr>
          <w:b/>
          <w:bCs/>
        </w:rPr>
      </w:pPr>
      <w:r>
        <w:rPr>
          <w:b/>
          <w:bCs/>
        </w:rPr>
        <w:t>Proposal 4: RRC level assistance information could be used for providing long-term assistance information from UE to RAN for XR</w:t>
      </w:r>
    </w:p>
    <w:p w14:paraId="62DF071B" w14:textId="77777777" w:rsidR="005C7C19" w:rsidRDefault="00000000">
      <w:pPr>
        <w:rPr>
          <w:b/>
          <w:bCs/>
        </w:rPr>
      </w:pPr>
      <w:r>
        <w:rPr>
          <w:b/>
          <w:bCs/>
        </w:rPr>
        <w:t>Proposal 5: UE Assistance Information (UAI) framework is reused for the long-term assistance information for XR</w:t>
      </w:r>
    </w:p>
    <w:p w14:paraId="21207260" w14:textId="4E639DB4" w:rsidR="005C7C19" w:rsidRDefault="00000000">
      <w:pPr>
        <w:rPr>
          <w:b/>
          <w:bCs/>
        </w:rPr>
      </w:pPr>
      <w:r>
        <w:rPr>
          <w:b/>
          <w:bCs/>
        </w:rPr>
        <w:t xml:space="preserve">Proposal 6: The long-term assistance information for XR could include information </w:t>
      </w:r>
      <w:r w:rsidR="00B8388A">
        <w:rPr>
          <w:b/>
          <w:bCs/>
        </w:rPr>
        <w:t xml:space="preserve">related to UL traffic which is not part of TSCAI, </w:t>
      </w:r>
      <w:r>
        <w:rPr>
          <w:b/>
          <w:bCs/>
        </w:rPr>
        <w:t xml:space="preserve">such as the Burst size, </w:t>
      </w:r>
      <w:proofErr w:type="gramStart"/>
      <w:r>
        <w:rPr>
          <w:b/>
          <w:bCs/>
        </w:rPr>
        <w:t>Burst</w:t>
      </w:r>
      <w:proofErr w:type="gramEnd"/>
      <w:r>
        <w:rPr>
          <w:b/>
          <w:bCs/>
        </w:rPr>
        <w:t xml:space="preserve"> size variance, Burst timing </w:t>
      </w:r>
      <w:r w:rsidR="00B8388A">
        <w:rPr>
          <w:b/>
          <w:bCs/>
        </w:rPr>
        <w:t xml:space="preserve">and jitter </w:t>
      </w:r>
      <w:r>
        <w:rPr>
          <w:b/>
          <w:bCs/>
        </w:rPr>
        <w:t>associated with XR traffic</w:t>
      </w:r>
    </w:p>
    <w:p w14:paraId="74D07F00"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addition to the semi-static assistance information in UL, dynamic UP related information such as PDU Set SN, PDU Set Size, End PDU of PDU Set/Data burst etc are also required in UL. However, deriving this information is not within RAN2 scope. In case of NR, until Rel-17, upper layers simply provide the QoS flow information to SDAP layer which is used in the SDAP layer in mapping the packet to a given RB. The QoS flow information is in turn derived based on the 5-Tupple IP identities and this is all configured using NAS signalling. Thus, any upper layer information including the determination of dynamic PDU Set related information for each XR packet should be configured using NAS signalling and is out of scope of RAN2 work. Based on the above, the following proposals are made. </w:t>
      </w:r>
    </w:p>
    <w:p w14:paraId="7DA510B1" w14:textId="5BA1E286" w:rsidR="005C7C19"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7: </w:t>
      </w:r>
      <w:r w:rsidR="00F84DF1">
        <w:rPr>
          <w:rFonts w:cs="Arial"/>
          <w:b/>
          <w:bCs/>
          <w:color w:val="000000"/>
          <w:sz w:val="21"/>
        </w:rPr>
        <w:t xml:space="preserve">For UL, </w:t>
      </w:r>
      <w:r>
        <w:rPr>
          <w:rFonts w:cs="Arial"/>
          <w:b/>
          <w:bCs/>
          <w:color w:val="000000"/>
          <w:sz w:val="21"/>
        </w:rPr>
        <w:t>RAN2 assumes that the UE can determine the PDU Set related information (</w:t>
      </w:r>
      <w:proofErr w:type="gramStart"/>
      <w:r>
        <w:rPr>
          <w:rFonts w:cs="Arial"/>
          <w:b/>
          <w:bCs/>
          <w:color w:val="000000"/>
          <w:sz w:val="21"/>
        </w:rPr>
        <w:t>e.g.</w:t>
      </w:r>
      <w:proofErr w:type="gramEnd"/>
      <w:r>
        <w:rPr>
          <w:rFonts w:cs="Arial"/>
          <w:b/>
          <w:bCs/>
          <w:color w:val="000000"/>
          <w:sz w:val="21"/>
        </w:rPr>
        <w:t xml:space="preserve"> </w:t>
      </w:r>
      <w:r w:rsidR="00F84DF1">
        <w:rPr>
          <w:rFonts w:cs="Arial"/>
          <w:b/>
          <w:bCs/>
          <w:color w:val="000000"/>
          <w:sz w:val="21"/>
        </w:rPr>
        <w:t>information analogous to what is available in the GTP-U header in DL</w:t>
      </w:r>
      <w:r>
        <w:rPr>
          <w:rFonts w:cs="Arial"/>
          <w:b/>
          <w:bCs/>
          <w:color w:val="000000"/>
          <w:sz w:val="21"/>
        </w:rPr>
        <w:t xml:space="preserve">), but no additional specification work is needed in RAN2 to capture UE behaviour for how to determine these </w:t>
      </w:r>
      <w:r w:rsidR="00B8388A">
        <w:rPr>
          <w:rFonts w:cs="Arial"/>
          <w:b/>
          <w:bCs/>
          <w:color w:val="000000"/>
          <w:sz w:val="21"/>
        </w:rPr>
        <w:t>(i.e. this is up to CT1)</w:t>
      </w:r>
      <w:r>
        <w:rPr>
          <w:rFonts w:cs="Arial"/>
          <w:b/>
          <w:bCs/>
          <w:color w:val="000000"/>
          <w:sz w:val="21"/>
        </w:rPr>
        <w:t xml:space="preserve"> </w:t>
      </w:r>
    </w:p>
    <w:p w14:paraId="407E5382"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95669C8" w14:textId="77777777" w:rsidR="005C7C19" w:rsidRDefault="00000000">
      <w:pPr>
        <w:pStyle w:val="NormalWeb"/>
        <w:spacing w:before="75" w:beforeAutospacing="0" w:after="75" w:afterAutospacing="0" w:line="315" w:lineRule="atLeast"/>
        <w:rPr>
          <w:rFonts w:cs="Arial"/>
          <w:color w:val="000000"/>
          <w:sz w:val="21"/>
          <w:u w:val="single"/>
        </w:rPr>
      </w:pPr>
      <w:bookmarkStart w:id="6" w:name="_Toc18413612"/>
      <w:bookmarkStart w:id="7" w:name="_Toc18404543"/>
      <w:bookmarkStart w:id="8" w:name="_Toc18403976"/>
      <w:r>
        <w:rPr>
          <w:rFonts w:cs="Arial"/>
          <w:color w:val="000000"/>
          <w:sz w:val="21"/>
          <w:u w:val="single"/>
        </w:rPr>
        <w:t>- DL XR Awareness</w:t>
      </w:r>
    </w:p>
    <w:p w14:paraId="13250968"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Observation 1: PDU set information in user plane should be known by the PDCP entity to identify which PDUs belong to the same PDU set and to decide to </w:t>
      </w:r>
      <w:r>
        <w:rPr>
          <w:rFonts w:cs="Arial" w:hint="eastAsia"/>
          <w:color w:val="000000"/>
          <w:sz w:val="21"/>
          <w:lang w:val="en-US" w:eastAsia="zh-CN"/>
        </w:rPr>
        <w:t xml:space="preserve">discard </w:t>
      </w:r>
      <w:r>
        <w:rPr>
          <w:rFonts w:cs="Arial"/>
          <w:color w:val="000000"/>
          <w:sz w:val="21"/>
          <w:lang w:val="en-US" w:eastAsia="zh-CN"/>
        </w:rPr>
        <w:t>which PDU set when necessary.</w:t>
      </w:r>
    </w:p>
    <w:p w14:paraId="7A097E96" w14:textId="1044C28D" w:rsidR="00F84DF1" w:rsidRDefault="00F84DF1" w:rsidP="00F84DF1">
      <w:pPr>
        <w:rPr>
          <w:b/>
          <w:bCs/>
        </w:rPr>
      </w:pPr>
      <w:r>
        <w:rPr>
          <w:b/>
          <w:bCs/>
        </w:rPr>
        <w:t>Proposal 1: Semi-static XR session related information including PSIHI, PSER and PSDB can be provided by CN to RAN and can be used in RAN in determining RB configuration and QoS flow to RB mapping. No additional specification work is needed in RAN2 to specify the usage of these semi-static XR session related information</w:t>
      </w:r>
    </w:p>
    <w:p w14:paraId="3F117E75" w14:textId="16579E1A" w:rsidR="005C7C19" w:rsidRDefault="00000000">
      <w:pPr>
        <w:rPr>
          <w:b/>
          <w:bCs/>
        </w:rPr>
      </w:pPr>
      <w:r>
        <w:rPr>
          <w:b/>
          <w:bCs/>
        </w:rPr>
        <w:t>Proposal 2: The PDU Set information in GTP header can be taken into account in the PDCP packet discard mechanism in DL</w:t>
      </w:r>
    </w:p>
    <w:p w14:paraId="1D2D298B" w14:textId="77777777" w:rsidR="005C7C19" w:rsidRDefault="00000000">
      <w:r>
        <w:rPr>
          <w:b/>
          <w:bCs/>
        </w:rPr>
        <w:t>Proposal 3: No additional specification impact is required for DL handling of the PDU sets in RAN2</w:t>
      </w:r>
    </w:p>
    <w:p w14:paraId="689F8792" w14:textId="77777777" w:rsidR="005C7C19" w:rsidRDefault="00000000">
      <w:pPr>
        <w:pStyle w:val="NormalWeb"/>
        <w:spacing w:before="75" w:beforeAutospacing="0" w:after="75" w:afterAutospacing="0" w:line="315" w:lineRule="atLeast"/>
        <w:rPr>
          <w:rFonts w:cs="Arial"/>
          <w:color w:val="000000"/>
          <w:sz w:val="21"/>
          <w:u w:val="single"/>
        </w:rPr>
      </w:pPr>
      <w:r>
        <w:rPr>
          <w:rFonts w:cs="Arial"/>
          <w:color w:val="000000"/>
          <w:sz w:val="21"/>
          <w:u w:val="single"/>
        </w:rPr>
        <w:t>- UL XR Awareness</w:t>
      </w:r>
    </w:p>
    <w:p w14:paraId="4B20D038" w14:textId="77777777" w:rsidR="005C7C19" w:rsidRDefault="00000000">
      <w:pPr>
        <w:rPr>
          <w:b/>
          <w:bCs/>
        </w:rPr>
      </w:pPr>
      <w:r>
        <w:rPr>
          <w:b/>
          <w:bCs/>
        </w:rPr>
        <w:t>Proposal 4: RRC level assistance information could be used for providing long-term assistance information from UE to RAN for XR</w:t>
      </w:r>
    </w:p>
    <w:p w14:paraId="44E0C890" w14:textId="77777777" w:rsidR="005C7C19" w:rsidRDefault="00000000">
      <w:pPr>
        <w:rPr>
          <w:b/>
          <w:bCs/>
        </w:rPr>
      </w:pPr>
      <w:r>
        <w:rPr>
          <w:b/>
          <w:bCs/>
        </w:rPr>
        <w:t xml:space="preserve">Proposal 5: UE Assistance Information (UAI) framework is reused for the long-term assistance </w:t>
      </w:r>
      <w:r>
        <w:rPr>
          <w:b/>
          <w:bCs/>
        </w:rPr>
        <w:lastRenderedPageBreak/>
        <w:t>information for XR</w:t>
      </w:r>
    </w:p>
    <w:p w14:paraId="7E7B1C71" w14:textId="74FD8F97" w:rsidR="005C7C19" w:rsidRDefault="00B8388A">
      <w:pPr>
        <w:rPr>
          <w:b/>
          <w:bCs/>
        </w:rPr>
      </w:pPr>
      <w:r>
        <w:rPr>
          <w:b/>
          <w:bCs/>
        </w:rPr>
        <w:t xml:space="preserve">Proposal 6: The long-term assistance information for XR could include information related to UL traffic which is not part of TSCAI, such as the Burst size, </w:t>
      </w:r>
      <w:proofErr w:type="gramStart"/>
      <w:r>
        <w:rPr>
          <w:b/>
          <w:bCs/>
        </w:rPr>
        <w:t>Burst</w:t>
      </w:r>
      <w:proofErr w:type="gramEnd"/>
      <w:r>
        <w:rPr>
          <w:b/>
          <w:bCs/>
        </w:rPr>
        <w:t xml:space="preserve"> size variance, Burst timing and jitter associated with XR traffic</w:t>
      </w:r>
    </w:p>
    <w:p w14:paraId="53FF1CFA" w14:textId="68CC5219" w:rsidR="005C7C19" w:rsidRDefault="00F84DF1">
      <w:pPr>
        <w:pStyle w:val="NormalWeb"/>
        <w:spacing w:before="75" w:beforeAutospacing="0" w:after="75" w:afterAutospacing="0" w:line="315" w:lineRule="atLeast"/>
        <w:rPr>
          <w:rFonts w:cs="Arial"/>
          <w:b/>
          <w:bCs/>
          <w:color w:val="000000"/>
          <w:sz w:val="21"/>
        </w:rPr>
      </w:pPr>
      <w:r>
        <w:rPr>
          <w:rFonts w:cs="Arial"/>
          <w:b/>
          <w:bCs/>
          <w:color w:val="000000"/>
          <w:sz w:val="21"/>
        </w:rPr>
        <w:t>Proposal 7: For UL, RAN2 assumes that the UE can determine the PDU Set related information (</w:t>
      </w:r>
      <w:proofErr w:type="gramStart"/>
      <w:r>
        <w:rPr>
          <w:rFonts w:cs="Arial"/>
          <w:b/>
          <w:bCs/>
          <w:color w:val="000000"/>
          <w:sz w:val="21"/>
        </w:rPr>
        <w:t>e.g.</w:t>
      </w:r>
      <w:proofErr w:type="gramEnd"/>
      <w:r>
        <w:rPr>
          <w:rFonts w:cs="Arial"/>
          <w:b/>
          <w:bCs/>
          <w:color w:val="000000"/>
          <w:sz w:val="21"/>
        </w:rPr>
        <w:t xml:space="preserve"> information analogous to what is available in the GTP-U header in DL), but no additional specification work is needed in RAN2 to capture UE behaviour for how to determine these (i.e. this is up to CT1) </w:t>
      </w:r>
    </w:p>
    <w:p w14:paraId="7D077B75"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3183323"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726E9476" w14:textId="77777777" w:rsidR="005C7C19" w:rsidRDefault="005C7C19">
      <w:pPr>
        <w:pStyle w:val="NormalWeb"/>
        <w:spacing w:before="75" w:beforeAutospacing="0" w:after="75" w:afterAutospacing="0" w:line="315" w:lineRule="atLeast"/>
        <w:rPr>
          <w:rFonts w:cs="Arial"/>
          <w:color w:val="000000"/>
          <w:sz w:val="21"/>
        </w:rPr>
      </w:pPr>
    </w:p>
    <w:sectPr w:rsidR="005C7C19">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A7AAD" w14:textId="77777777" w:rsidR="006F08BC" w:rsidRDefault="006F08BC">
      <w:pPr>
        <w:spacing w:line="240" w:lineRule="auto"/>
      </w:pPr>
      <w:r>
        <w:separator/>
      </w:r>
    </w:p>
  </w:endnote>
  <w:endnote w:type="continuationSeparator" w:id="0">
    <w:p w14:paraId="083A3FA8" w14:textId="77777777" w:rsidR="006F08BC" w:rsidRDefault="006F08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C3C7" w14:textId="77777777" w:rsidR="005C7C1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447F9B" w14:textId="77777777" w:rsidR="005C7C19" w:rsidRDefault="005C7C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AFB" w14:textId="77777777" w:rsidR="005C7C19" w:rsidRDefault="005C7C1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65B53" w14:textId="77777777" w:rsidR="006E1798" w:rsidRDefault="006E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B3766" w14:textId="77777777" w:rsidR="006F08BC" w:rsidRDefault="006F08BC">
      <w:pPr>
        <w:spacing w:after="0"/>
      </w:pPr>
      <w:r>
        <w:separator/>
      </w:r>
    </w:p>
  </w:footnote>
  <w:footnote w:type="continuationSeparator" w:id="0">
    <w:p w14:paraId="5F30950B" w14:textId="77777777" w:rsidR="006F08BC" w:rsidRDefault="006F08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86080" w14:textId="77777777" w:rsidR="006E1798" w:rsidRDefault="006E17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8C21" w14:textId="77777777" w:rsidR="005C7C19" w:rsidRDefault="005C7C1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960" w14:textId="77777777" w:rsidR="006E1798" w:rsidRDefault="006E17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59944941">
    <w:abstractNumId w:val="0"/>
  </w:num>
  <w:num w:numId="2" w16cid:durableId="1272855552">
    <w:abstractNumId w:val="5"/>
  </w:num>
  <w:num w:numId="3" w16cid:durableId="2126464273">
    <w:abstractNumId w:val="2"/>
  </w:num>
  <w:num w:numId="4" w16cid:durableId="60252380">
    <w:abstractNumId w:val="3"/>
  </w:num>
  <w:num w:numId="5" w16cid:durableId="2087411789">
    <w:abstractNumId w:val="1"/>
  </w:num>
  <w:num w:numId="6" w16cid:durableId="587469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82C"/>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C13"/>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0DA"/>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2A61"/>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7C1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1798"/>
    <w:rsid w:val="006E245F"/>
    <w:rsid w:val="006E2FE4"/>
    <w:rsid w:val="006E36C6"/>
    <w:rsid w:val="006E3B73"/>
    <w:rsid w:val="006E6AFB"/>
    <w:rsid w:val="006E7570"/>
    <w:rsid w:val="006F08BC"/>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67C2F"/>
    <w:rsid w:val="007705A1"/>
    <w:rsid w:val="00770F43"/>
    <w:rsid w:val="00771468"/>
    <w:rsid w:val="007719AC"/>
    <w:rsid w:val="00771B28"/>
    <w:rsid w:val="00773686"/>
    <w:rsid w:val="007759F4"/>
    <w:rsid w:val="00776AD0"/>
    <w:rsid w:val="00780715"/>
    <w:rsid w:val="00780871"/>
    <w:rsid w:val="0078113B"/>
    <w:rsid w:val="00787A57"/>
    <w:rsid w:val="00787B7D"/>
    <w:rsid w:val="007928E9"/>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578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5667"/>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A7F2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3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28E1"/>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388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22E"/>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0B23"/>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4DF1"/>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AE253FD"/>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733D79"/>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3117"/>
  <w15:docId w15:val="{AE18EAF2-2954-45B4-A396-E6E67510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styleId="Revision">
    <w:name w:val="Revision"/>
    <w:hidden/>
    <w:uiPriority w:val="99"/>
    <w:semiHidden/>
    <w:rsid w:val="00B8388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1241</Words>
  <Characters>7077</Characters>
  <Application>Microsoft Office Word</Application>
  <DocSecurity>0</DocSecurity>
  <Lines>58</Lines>
  <Paragraphs>16</Paragraphs>
  <ScaleCrop>false</ScaleCrop>
  <Company>Hewlett-Packard Company</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2023-04-04T12:23:00Z</dcterms:created>
  <dcterms:modified xsi:type="dcterms:W3CDTF">2023-04-06T21:46:00Z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2B5BE7F633E54BA8A1D0AB297D9E1E29</vt:lpwstr>
  </property>
</Properties>
</file>