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uawei, HiSiclion</w:t>
            </w:r>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B12A2A" w:rsidRDefault="005728DF" w:rsidP="005728DF">
            <w:pPr>
              <w:pStyle w:val="TAC"/>
              <w:rPr>
                <w:lang w:val="en-US" w:eastAsia="zh-CN"/>
              </w:rPr>
            </w:pPr>
            <w:r w:rsidRPr="00B12A2A">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248E9A22" w:rsidR="00D903C9" w:rsidRPr="00B241D0" w:rsidRDefault="00B241D0" w:rsidP="00B241D0">
            <w:pPr>
              <w:pStyle w:val="TAC"/>
              <w:jc w:val="left"/>
              <w:rPr>
                <w:lang w:val="en-US" w:eastAsia="zh-CN"/>
              </w:rPr>
            </w:pPr>
            <w:r w:rsidRPr="00B241D0">
              <w:rPr>
                <w:lang w:val="en-US" w:eastAsia="zh-CN"/>
              </w:rPr>
              <w:t>Fraunho</w:t>
            </w:r>
            <w:r>
              <w:rPr>
                <w:lang w:val="en-US" w:eastAsia="zh-CN"/>
              </w:rPr>
              <w:t>fer</w:t>
            </w:r>
          </w:p>
        </w:tc>
        <w:tc>
          <w:tcPr>
            <w:tcW w:w="5634" w:type="dxa"/>
            <w:tcBorders>
              <w:top w:val="single" w:sz="4" w:space="0" w:color="auto"/>
              <w:left w:val="single" w:sz="4" w:space="0" w:color="auto"/>
              <w:bottom w:val="single" w:sz="4" w:space="0" w:color="auto"/>
              <w:right w:val="single" w:sz="4" w:space="0" w:color="auto"/>
            </w:tcBorders>
          </w:tcPr>
          <w:p w14:paraId="64C996B5" w14:textId="05F1684A" w:rsidR="00D903C9" w:rsidRPr="00B12A2A" w:rsidRDefault="00B241D0" w:rsidP="00C72D8D">
            <w:pPr>
              <w:pStyle w:val="TAC"/>
              <w:rPr>
                <w:lang w:val="en-US" w:eastAsia="zh-CN"/>
              </w:rPr>
            </w:pPr>
            <w:r>
              <w:rPr>
                <w:lang w:val="en-US" w:eastAsia="zh-CN"/>
              </w:rPr>
              <w:t>Birendra Ghimire (</w:t>
            </w:r>
            <w:hyperlink r:id="rId12" w:history="1">
              <w:r w:rsidRPr="004C6556">
                <w:rPr>
                  <w:rStyle w:val="Hyperlink"/>
                  <w:lang w:val="en-US" w:eastAsia="zh-CN"/>
                </w:rPr>
                <w:t>birendra.ghimire@iis.fraunhofer.de</w:t>
              </w:r>
            </w:hyperlink>
            <w:r>
              <w:rPr>
                <w:lang w:val="en-US" w:eastAsia="zh-CN"/>
              </w:rPr>
              <w:t xml:space="preserve">) </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Pr="00B12A2A" w:rsidRDefault="00D903C9" w:rsidP="00C72D8D">
            <w:pPr>
              <w:pStyle w:val="TAC"/>
              <w:rPr>
                <w:lang w:val="en-US"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Pr="00B12A2A" w:rsidRDefault="00D903C9" w:rsidP="00C72D8D">
            <w:pPr>
              <w:pStyle w:val="TAC"/>
              <w:rPr>
                <w:lang w:val="en-US"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Pr="00B12A2A" w:rsidRDefault="00D903C9" w:rsidP="00C72D8D">
            <w:pPr>
              <w:pStyle w:val="TAC"/>
              <w:rPr>
                <w:rFonts w:eastAsia="Malgun Gothic"/>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Pr="00B12A2A" w:rsidRDefault="00D903C9" w:rsidP="00C72D8D">
            <w:pPr>
              <w:pStyle w:val="TAC"/>
              <w:rPr>
                <w:rFonts w:eastAsia="Malgun Gothic"/>
                <w:lang w:val="en-US"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Pr="00B12A2A" w:rsidRDefault="00D903C9" w:rsidP="00C72D8D">
            <w:pPr>
              <w:pStyle w:val="TAC"/>
              <w:rPr>
                <w:lang w:val="en-US"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Pr="00B12A2A" w:rsidRDefault="00D903C9" w:rsidP="00C72D8D">
            <w:pPr>
              <w:pStyle w:val="TAC"/>
              <w:rPr>
                <w:lang w:val="en-US"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Pr="00B12A2A" w:rsidRDefault="00D903C9" w:rsidP="00C72D8D">
            <w:pPr>
              <w:pStyle w:val="TAC"/>
              <w:rPr>
                <w:lang w:val="en-US" w:eastAsia="ko-KR"/>
              </w:rPr>
            </w:pPr>
          </w:p>
        </w:tc>
      </w:tr>
    </w:tbl>
    <w:p w14:paraId="58523977" w14:textId="77777777" w:rsidR="00D903C9" w:rsidRPr="00B12A2A" w:rsidRDefault="00D903C9" w:rsidP="00D903C9">
      <w:pPr>
        <w:rPr>
          <w:lang w:eastAsia="zh-CN"/>
        </w:rPr>
      </w:pPr>
    </w:p>
    <w:p w14:paraId="011E930B" w14:textId="77777777" w:rsidR="00D903C9" w:rsidRPr="00B12A2A"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r>
              <w:rPr>
                <w:sz w:val="20"/>
                <w:szCs w:val="20"/>
              </w:rPr>
              <w:t>Yes with comments</w:t>
            </w:r>
          </w:p>
        </w:tc>
        <w:tc>
          <w:tcPr>
            <w:tcW w:w="6133" w:type="dxa"/>
          </w:tcPr>
          <w:p w14:paraId="36B9290E" w14:textId="77777777" w:rsidR="005728DF" w:rsidRDefault="005728DF" w:rsidP="005728DF">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5CE07C32" w14:textId="7868BD79" w:rsidR="005728DF" w:rsidRDefault="005728DF" w:rsidP="005728DF">
            <w:pPr>
              <w:jc w:val="both"/>
              <w:rPr>
                <w:sz w:val="20"/>
                <w:szCs w:val="20"/>
                <w:lang w:eastAsia="zh-CN"/>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B12A2A" w14:paraId="2A83306A" w14:textId="77777777" w:rsidTr="005728DF">
        <w:tc>
          <w:tcPr>
            <w:tcW w:w="1878" w:type="dxa"/>
          </w:tcPr>
          <w:p w14:paraId="78CD6855" w14:textId="1814B638" w:rsidR="00B12A2A" w:rsidRDefault="00B12A2A" w:rsidP="00B12A2A">
            <w:pPr>
              <w:jc w:val="both"/>
              <w:rPr>
                <w:sz w:val="20"/>
                <w:szCs w:val="20"/>
                <w:lang w:eastAsia="zh-CN"/>
              </w:rPr>
            </w:pPr>
            <w:r>
              <w:rPr>
                <w:sz w:val="20"/>
                <w:szCs w:val="20"/>
                <w:lang w:eastAsia="zh-CN"/>
              </w:rPr>
              <w:t>Ericsson</w:t>
            </w:r>
          </w:p>
        </w:tc>
        <w:tc>
          <w:tcPr>
            <w:tcW w:w="1339" w:type="dxa"/>
          </w:tcPr>
          <w:p w14:paraId="7B28859A" w14:textId="6D9F3EE2" w:rsidR="00B12A2A" w:rsidRDefault="00B12A2A" w:rsidP="00B12A2A">
            <w:pPr>
              <w:jc w:val="both"/>
              <w:rPr>
                <w:sz w:val="20"/>
                <w:szCs w:val="20"/>
                <w:lang w:eastAsia="zh-CN"/>
              </w:rPr>
            </w:pPr>
            <w:r>
              <w:rPr>
                <w:sz w:val="20"/>
                <w:szCs w:val="20"/>
                <w:lang w:eastAsia="zh-CN"/>
              </w:rPr>
              <w:t>Yes, however</w:t>
            </w:r>
          </w:p>
        </w:tc>
        <w:tc>
          <w:tcPr>
            <w:tcW w:w="6133" w:type="dxa"/>
          </w:tcPr>
          <w:p w14:paraId="113C5B51" w14:textId="77777777" w:rsidR="00B12A2A" w:rsidRDefault="00B12A2A" w:rsidP="00B12A2A">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5387E59A" w14:textId="77777777" w:rsidR="00B12A2A" w:rsidRDefault="00B12A2A" w:rsidP="00B12A2A">
            <w:pPr>
              <w:jc w:val="both"/>
              <w:rPr>
                <w:sz w:val="20"/>
                <w:szCs w:val="20"/>
                <w:lang w:eastAsia="zh-CN"/>
              </w:rPr>
            </w:pPr>
            <w:r>
              <w:rPr>
                <w:sz w:val="20"/>
                <w:szCs w:val="20"/>
                <w:lang w:eastAsia="zh-CN"/>
              </w:rPr>
              <w:t>It would give some insight as which clause can be clearly referred in LPP and which clause needs to be built separately.</w:t>
            </w:r>
          </w:p>
          <w:p w14:paraId="5C9A678B" w14:textId="77777777" w:rsidR="00B12A2A" w:rsidRDefault="00B12A2A" w:rsidP="00B12A2A">
            <w:pPr>
              <w:jc w:val="both"/>
              <w:rPr>
                <w:sz w:val="20"/>
                <w:szCs w:val="20"/>
                <w:lang w:eastAsia="zh-CN"/>
              </w:rPr>
            </w:pPr>
          </w:p>
        </w:tc>
      </w:tr>
      <w:tr w:rsidR="00B12A2A" w14:paraId="79A82189" w14:textId="77777777" w:rsidTr="005728DF">
        <w:tc>
          <w:tcPr>
            <w:tcW w:w="1878" w:type="dxa"/>
          </w:tcPr>
          <w:p w14:paraId="73D0B58E" w14:textId="6AC6E37B" w:rsidR="00B12A2A" w:rsidRDefault="002E3059" w:rsidP="00B12A2A">
            <w:pPr>
              <w:jc w:val="both"/>
              <w:rPr>
                <w:sz w:val="20"/>
                <w:szCs w:val="20"/>
                <w:lang w:eastAsia="zh-CN"/>
              </w:rPr>
            </w:pPr>
            <w:r>
              <w:rPr>
                <w:sz w:val="20"/>
                <w:szCs w:val="20"/>
                <w:lang w:eastAsia="zh-CN"/>
              </w:rPr>
              <w:t>Fraunhofer</w:t>
            </w:r>
          </w:p>
        </w:tc>
        <w:tc>
          <w:tcPr>
            <w:tcW w:w="1339" w:type="dxa"/>
          </w:tcPr>
          <w:p w14:paraId="28D210E2" w14:textId="4EDADB98" w:rsidR="00B12A2A" w:rsidRDefault="002E3059" w:rsidP="00B12A2A">
            <w:pPr>
              <w:jc w:val="both"/>
              <w:rPr>
                <w:sz w:val="20"/>
                <w:szCs w:val="20"/>
                <w:lang w:eastAsia="zh-CN"/>
              </w:rPr>
            </w:pPr>
            <w:r>
              <w:rPr>
                <w:sz w:val="20"/>
                <w:szCs w:val="20"/>
                <w:lang w:eastAsia="zh-CN"/>
              </w:rPr>
              <w:t>Yes</w:t>
            </w:r>
          </w:p>
        </w:tc>
        <w:tc>
          <w:tcPr>
            <w:tcW w:w="6133" w:type="dxa"/>
          </w:tcPr>
          <w:p w14:paraId="1DDE712A" w14:textId="7099FA77" w:rsidR="00B12A2A" w:rsidRDefault="00B12A2A" w:rsidP="00B12A2A">
            <w:pPr>
              <w:jc w:val="both"/>
              <w:rPr>
                <w:sz w:val="20"/>
                <w:szCs w:val="20"/>
                <w:lang w:eastAsia="zh-CN"/>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lastRenderedPageBreak/>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ListParagraph"/>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r w:rsidRPr="007205B3">
              <w:t>nonCriticalExtension</w:t>
            </w:r>
            <w:r>
              <w:t>” ;</w:t>
            </w:r>
          </w:p>
          <w:p w14:paraId="666902B5" w14:textId="77777777" w:rsidR="005D5752" w:rsidRDefault="005D5752" w:rsidP="005D5752">
            <w:pPr>
              <w:ind w:left="720"/>
              <w:jc w:val="both"/>
              <w:rPr>
                <w:sz w:val="20"/>
                <w:szCs w:val="20"/>
              </w:rPr>
            </w:pPr>
            <w:r>
              <w:rPr>
                <w:sz w:val="20"/>
                <w:szCs w:val="20"/>
              </w:rPr>
              <w:t xml:space="preserve">“nonCriticalExtension” in message level can group the IEs introduced in a new release together with less overhead, especially for size critical message, e.g. system information, initial setup, etc. But “nonCriticalExtension”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setup/release, addition/modification are not used in LPP; However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 xml:space="preserve">“nonCriticalExtension”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(i.e.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lastRenderedPageBreak/>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SetupRelease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t>–</w:t>
                  </w:r>
                  <w:r w:rsidRPr="00455AD1">
                    <w:rPr>
                      <w:lang w:val="en-US"/>
                    </w:rPr>
                    <w:tab/>
                  </w:r>
                  <w:r w:rsidRPr="00455AD1">
                    <w:rPr>
                      <w:i/>
                      <w:lang w:val="en-US"/>
                    </w:rPr>
                    <w:t>SetupRelease</w:t>
                  </w:r>
                  <w:bookmarkEnd w:id="2"/>
                  <w:bookmarkEnd w:id="3"/>
                  <w:bookmarkEnd w:id="4"/>
                  <w:bookmarkEnd w:id="5"/>
                  <w:bookmarkEnd w:id="6"/>
                  <w:bookmarkEnd w:id="7"/>
                </w:p>
                <w:p w14:paraId="69562803" w14:textId="77777777" w:rsidR="005D5752" w:rsidRPr="00F537EB" w:rsidRDefault="005D5752" w:rsidP="005D5752">
                  <w:pPr>
                    <w:spacing w:after="0"/>
                  </w:pPr>
                  <w:r w:rsidRPr="00F537EB">
                    <w:rPr>
                      <w:i/>
                    </w:rPr>
                    <w:t>SetupRelease</w:t>
                  </w:r>
                  <w:r w:rsidRPr="00F537EB">
                    <w:t xml:space="preserve"> allows the </w:t>
                  </w:r>
                  <w:r w:rsidRPr="00F537EB">
                    <w:rPr>
                      <w:i/>
                    </w:rPr>
                    <w:t>ElementTypeParam</w:t>
                  </w:r>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r w:rsidRPr="00F537EB">
                    <w:t>SetupRelease { ElementTypeParam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ElementTypeParam</w:t>
                  </w:r>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elements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lastRenderedPageBreak/>
              <w:t>For the need code, the issue is that it is absent for UL and mandatorily needed for optional DL fields for Uu. While for PC5, there is no UL/DL difference. So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For the setupRelease, it should be discussed together with NeedM and AddModList mechanism that allow delta signaling. From spec point of view, SetupRelease has to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lastRenderedPageBreak/>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code-efficient.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t>Common se</w:t>
            </w:r>
            <w:r>
              <w:rPr>
                <w:sz w:val="20"/>
                <w:szCs w:val="20"/>
              </w:rPr>
              <w:t>ction</w:t>
            </w:r>
            <w:r w:rsidRPr="001129E4">
              <w:rPr>
                <w:sz w:val="20"/>
                <w:szCs w:val="20"/>
              </w:rPr>
              <w:t xml:space="preserve"> for constrains</w:t>
            </w:r>
            <w:r>
              <w:rPr>
                <w:sz w:val="20"/>
                <w:szCs w:val="20"/>
              </w:rPr>
              <w:t>: O.K. If the spec is getting bigger over time, this improves readability.</w:t>
            </w:r>
          </w:p>
          <w:p w14:paraId="4A649729" w14:textId="77777777" w:rsidR="00D62992" w:rsidRDefault="00D62992" w:rsidP="00D62992">
            <w:pPr>
              <w:jc w:val="both"/>
              <w:rPr>
                <w:sz w:val="20"/>
                <w:szCs w:val="20"/>
              </w:rPr>
            </w:pPr>
            <w:r w:rsidRPr="006C1ECC">
              <w:rPr>
                <w:sz w:val="20"/>
                <w:szCs w:val="20"/>
              </w:rPr>
              <w:t>“nonCriticalExtension”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lastRenderedPageBreak/>
              <w:t>FFS on whether setup release structure should be introduced in SLPP</w:t>
            </w:r>
            <w:r>
              <w:rPr>
                <w:sz w:val="20"/>
                <w:szCs w:val="20"/>
              </w:rPr>
              <w:t>: O.K. with the FFS. We will see during the work if this is sensible or not.</w:t>
            </w:r>
          </w:p>
        </w:tc>
      </w:tr>
      <w:tr w:rsidR="00B12A2A" w14:paraId="6B253144" w14:textId="77777777" w:rsidTr="005728DF">
        <w:tc>
          <w:tcPr>
            <w:tcW w:w="1877" w:type="dxa"/>
          </w:tcPr>
          <w:p w14:paraId="5B813F17" w14:textId="1AF87D79" w:rsidR="00B12A2A" w:rsidRDefault="00B12A2A" w:rsidP="00B12A2A">
            <w:pPr>
              <w:jc w:val="both"/>
              <w:rPr>
                <w:sz w:val="20"/>
                <w:szCs w:val="20"/>
              </w:rPr>
            </w:pPr>
            <w:r>
              <w:rPr>
                <w:sz w:val="20"/>
                <w:szCs w:val="20"/>
              </w:rPr>
              <w:lastRenderedPageBreak/>
              <w:t>Ericsson</w:t>
            </w:r>
          </w:p>
        </w:tc>
        <w:tc>
          <w:tcPr>
            <w:tcW w:w="1332" w:type="dxa"/>
          </w:tcPr>
          <w:p w14:paraId="085E47C6" w14:textId="49F23A3D" w:rsidR="00B12A2A" w:rsidRDefault="00B12A2A" w:rsidP="00B12A2A">
            <w:pPr>
              <w:jc w:val="both"/>
              <w:rPr>
                <w:sz w:val="20"/>
                <w:szCs w:val="20"/>
              </w:rPr>
            </w:pPr>
            <w:r>
              <w:rPr>
                <w:sz w:val="20"/>
                <w:szCs w:val="20"/>
              </w:rPr>
              <w:t>Yes</w:t>
            </w:r>
          </w:p>
        </w:tc>
        <w:tc>
          <w:tcPr>
            <w:tcW w:w="6141" w:type="dxa"/>
          </w:tcPr>
          <w:p w14:paraId="6CB1013C" w14:textId="77777777" w:rsidR="00B12A2A" w:rsidRDefault="00B12A2A" w:rsidP="00B12A2A">
            <w:pPr>
              <w:jc w:val="both"/>
              <w:rPr>
                <w:sz w:val="20"/>
                <w:szCs w:val="20"/>
              </w:rPr>
            </w:pPr>
            <w:r>
              <w:rPr>
                <w:sz w:val="20"/>
                <w:szCs w:val="20"/>
              </w:rPr>
              <w:t>Agree we should reuse and also agree with Huawei that we need to be careful on need code as it was used for DL message. We should then also follow SL RRC message to follow some guidance on Need code.</w:t>
            </w:r>
          </w:p>
          <w:p w14:paraId="23F4386B" w14:textId="77777777" w:rsidR="00B12A2A" w:rsidRDefault="00B12A2A" w:rsidP="00B12A2A">
            <w:pPr>
              <w:jc w:val="both"/>
              <w:rPr>
                <w:sz w:val="20"/>
                <w:szCs w:val="20"/>
              </w:rPr>
            </w:pPr>
          </w:p>
        </w:tc>
      </w:tr>
      <w:tr w:rsidR="00B12A2A" w14:paraId="30650C07" w14:textId="77777777" w:rsidTr="005728DF">
        <w:tc>
          <w:tcPr>
            <w:tcW w:w="1877" w:type="dxa"/>
          </w:tcPr>
          <w:p w14:paraId="12EE76CB" w14:textId="13646FAC" w:rsidR="00B12A2A" w:rsidRDefault="002E3059" w:rsidP="00B12A2A">
            <w:pPr>
              <w:jc w:val="both"/>
              <w:rPr>
                <w:sz w:val="20"/>
                <w:szCs w:val="20"/>
              </w:rPr>
            </w:pPr>
            <w:r>
              <w:rPr>
                <w:sz w:val="20"/>
                <w:szCs w:val="20"/>
              </w:rPr>
              <w:t xml:space="preserve">Fraunhofer </w:t>
            </w:r>
          </w:p>
        </w:tc>
        <w:tc>
          <w:tcPr>
            <w:tcW w:w="1332" w:type="dxa"/>
          </w:tcPr>
          <w:p w14:paraId="61500949" w14:textId="24674B37" w:rsidR="00B12A2A" w:rsidRDefault="002E3059" w:rsidP="00B12A2A">
            <w:pPr>
              <w:jc w:val="both"/>
              <w:rPr>
                <w:sz w:val="20"/>
                <w:szCs w:val="20"/>
              </w:rPr>
            </w:pPr>
            <w:r>
              <w:rPr>
                <w:sz w:val="20"/>
                <w:szCs w:val="20"/>
              </w:rPr>
              <w:t>Yes</w:t>
            </w:r>
          </w:p>
        </w:tc>
        <w:tc>
          <w:tcPr>
            <w:tcW w:w="6141" w:type="dxa"/>
          </w:tcPr>
          <w:p w14:paraId="7F95DA74" w14:textId="6F07B9EE" w:rsidR="00041D07" w:rsidRPr="00041D07" w:rsidRDefault="00041D07" w:rsidP="00041D07">
            <w:pPr>
              <w:jc w:val="both"/>
              <w:rPr>
                <w:bCs/>
              </w:rPr>
            </w:pPr>
            <w:r>
              <w:rPr>
                <w:bCs/>
              </w:rPr>
              <w:t>Agree with the general principle.</w:t>
            </w:r>
          </w:p>
          <w:p w14:paraId="2A0320F7" w14:textId="30852980" w:rsidR="009B1CA1" w:rsidRDefault="009B1CA1" w:rsidP="009B1CA1">
            <w:pPr>
              <w:pStyle w:val="ListParagraph"/>
              <w:numPr>
                <w:ilvl w:val="0"/>
                <w:numId w:val="16"/>
              </w:numPr>
              <w:jc w:val="both"/>
              <w:rPr>
                <w:b/>
                <w:bCs/>
              </w:rPr>
            </w:pPr>
            <w:r>
              <w:rPr>
                <w:b/>
                <w:bCs/>
              </w:rPr>
              <w:t>C</w:t>
            </w:r>
            <w:r w:rsidRPr="00A9255A">
              <w:rPr>
                <w:b/>
                <w:bCs/>
              </w:rPr>
              <w:t>ommon session for constrains</w:t>
            </w:r>
          </w:p>
          <w:p w14:paraId="13D2ABC2" w14:textId="582E89B5" w:rsidR="009B1CA1" w:rsidRPr="009B1CA1" w:rsidRDefault="009B1CA1" w:rsidP="009B1CA1">
            <w:pPr>
              <w:jc w:val="both"/>
              <w:rPr>
                <w:bCs/>
              </w:rPr>
            </w:pPr>
            <w:r>
              <w:rPr>
                <w:bCs/>
              </w:rPr>
              <w:t xml:space="preserve">We presume this was meant as section and not session. We are fine with it. </w:t>
            </w:r>
          </w:p>
          <w:p w14:paraId="3747B3A4" w14:textId="77777777" w:rsidR="00B12A2A" w:rsidRDefault="009B1CA1" w:rsidP="00745317">
            <w:pPr>
              <w:pStyle w:val="ListParagraph"/>
              <w:numPr>
                <w:ilvl w:val="0"/>
                <w:numId w:val="16"/>
              </w:numPr>
              <w:jc w:val="both"/>
              <w:rPr>
                <w:b/>
                <w:bCs/>
              </w:rPr>
            </w:pPr>
            <w:r w:rsidRPr="00A121D6">
              <w:rPr>
                <w:b/>
                <w:bCs/>
              </w:rPr>
              <w:t xml:space="preserve">“nonCriticalExtension” at message level </w:t>
            </w:r>
          </w:p>
          <w:p w14:paraId="40C8C58C" w14:textId="7799CD13" w:rsidR="009B1CA1" w:rsidRDefault="009B1CA1" w:rsidP="009B1CA1">
            <w:pPr>
              <w:jc w:val="both"/>
              <w:rPr>
                <w:bCs/>
              </w:rPr>
            </w:pPr>
            <w:r>
              <w:rPr>
                <w:bCs/>
              </w:rPr>
              <w:t>We are fine with the LPP approach, as well as</w:t>
            </w:r>
            <w:r w:rsidR="00041D07">
              <w:rPr>
                <w:bCs/>
              </w:rPr>
              <w:t xml:space="preserve"> the proposed</w:t>
            </w:r>
            <w:r>
              <w:rPr>
                <w:bCs/>
              </w:rPr>
              <w:t xml:space="preserve"> RRC</w:t>
            </w:r>
            <w:r w:rsidR="00041D07">
              <w:rPr>
                <w:bCs/>
              </w:rPr>
              <w:t xml:space="preserve">-like </w:t>
            </w:r>
            <w:bookmarkStart w:id="8" w:name="_GoBack"/>
            <w:bookmarkEnd w:id="8"/>
            <w:r>
              <w:rPr>
                <w:bCs/>
              </w:rPr>
              <w:t xml:space="preserve"> approach. </w:t>
            </w:r>
          </w:p>
          <w:p w14:paraId="5681108E" w14:textId="6FDA9B4F" w:rsidR="00041D07" w:rsidRPr="009B1CA1" w:rsidRDefault="00041D07" w:rsidP="009B1CA1">
            <w:pPr>
              <w:jc w:val="both"/>
              <w:rPr>
                <w:bCs/>
              </w:rPr>
            </w:pPr>
            <w:r>
              <w:rPr>
                <w:bCs/>
              </w:rPr>
              <w:t xml:space="preserve">Regarding the setup/release: We think this is a useful functionality and support FFS on this. </w:t>
            </w:r>
          </w:p>
        </w:tc>
      </w:tr>
      <w:tr w:rsidR="00B12A2A" w14:paraId="3AF56A0D" w14:textId="77777777" w:rsidTr="005728DF">
        <w:tc>
          <w:tcPr>
            <w:tcW w:w="1877" w:type="dxa"/>
          </w:tcPr>
          <w:p w14:paraId="0D0AEBAF" w14:textId="77777777" w:rsidR="00B12A2A" w:rsidRDefault="00B12A2A" w:rsidP="00B12A2A">
            <w:pPr>
              <w:jc w:val="both"/>
              <w:rPr>
                <w:sz w:val="20"/>
                <w:szCs w:val="20"/>
              </w:rPr>
            </w:pPr>
          </w:p>
        </w:tc>
        <w:tc>
          <w:tcPr>
            <w:tcW w:w="1332" w:type="dxa"/>
          </w:tcPr>
          <w:p w14:paraId="77004AB3" w14:textId="77777777" w:rsidR="00B12A2A" w:rsidRDefault="00B12A2A" w:rsidP="00B12A2A">
            <w:pPr>
              <w:jc w:val="both"/>
              <w:rPr>
                <w:sz w:val="20"/>
                <w:szCs w:val="20"/>
              </w:rPr>
            </w:pPr>
          </w:p>
        </w:tc>
        <w:tc>
          <w:tcPr>
            <w:tcW w:w="6141" w:type="dxa"/>
          </w:tcPr>
          <w:p w14:paraId="613EA2B8" w14:textId="77777777" w:rsidR="00B12A2A" w:rsidRDefault="00B12A2A" w:rsidP="00B12A2A">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9" w:name="_Ref434066290"/>
      <w:r>
        <w:rPr>
          <w:rFonts w:ascii="Times New Roman" w:hAnsi="Times New Roman"/>
        </w:rPr>
        <w:t>Reference</w:t>
      </w:r>
      <w:bookmarkEnd w:id="9"/>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C9B13" w14:textId="77777777" w:rsidR="00E12FBE" w:rsidRDefault="00E12FBE" w:rsidP="008A375A">
      <w:pPr>
        <w:spacing w:after="0" w:line="240" w:lineRule="auto"/>
      </w:pPr>
      <w:r>
        <w:separator/>
      </w:r>
    </w:p>
  </w:endnote>
  <w:endnote w:type="continuationSeparator" w:id="0">
    <w:p w14:paraId="4907F25B" w14:textId="77777777" w:rsidR="00E12FBE" w:rsidRDefault="00E12FBE" w:rsidP="008A375A">
      <w:pPr>
        <w:spacing w:after="0" w:line="240" w:lineRule="auto"/>
      </w:pPr>
      <w:r>
        <w:continuationSeparator/>
      </w:r>
    </w:p>
  </w:endnote>
  <w:endnote w:type="continuationNotice" w:id="1">
    <w:p w14:paraId="26A165C5" w14:textId="77777777" w:rsidR="00E12FBE" w:rsidRDefault="00E12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CC8E" w14:textId="77777777" w:rsidR="00E12FBE" w:rsidRDefault="00E12FBE" w:rsidP="008A375A">
      <w:pPr>
        <w:spacing w:after="0" w:line="240" w:lineRule="auto"/>
      </w:pPr>
      <w:r>
        <w:separator/>
      </w:r>
    </w:p>
  </w:footnote>
  <w:footnote w:type="continuationSeparator" w:id="0">
    <w:p w14:paraId="635242E0" w14:textId="77777777" w:rsidR="00E12FBE" w:rsidRDefault="00E12FBE" w:rsidP="008A375A">
      <w:pPr>
        <w:spacing w:after="0" w:line="240" w:lineRule="auto"/>
      </w:pPr>
      <w:r>
        <w:continuationSeparator/>
      </w:r>
    </w:p>
  </w:footnote>
  <w:footnote w:type="continuationNotice" w:id="1">
    <w:p w14:paraId="54C48DE6" w14:textId="77777777" w:rsidR="00E12FBE" w:rsidRDefault="00E12F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20"/>
  </w:num>
  <w:num w:numId="6">
    <w:abstractNumId w:val="11"/>
  </w:num>
  <w:num w:numId="7">
    <w:abstractNumId w:val="12"/>
  </w:num>
  <w:num w:numId="8">
    <w:abstractNumId w:val="18"/>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9"/>
  </w:num>
  <w:num w:numId="15">
    <w:abstractNumId w:val="10"/>
  </w:num>
  <w:num w:numId="16">
    <w:abstractNumId w:val="2"/>
  </w:num>
  <w:num w:numId="17">
    <w:abstractNumId w:val="17"/>
  </w:num>
  <w:num w:numId="18">
    <w:abstractNumId w:val="1"/>
  </w:num>
  <w:num w:numId="19">
    <w:abstractNumId w:val="3"/>
  </w:num>
  <w:num w:numId="20">
    <w:abstractNumId w:val="5"/>
  </w:num>
  <w:num w:numId="21">
    <w:abstractNumId w:val="0"/>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95FF990D-4B03-4275-AD6D-1D27A2BB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10176</Characters>
  <Application>Microsoft Office Word</Application>
  <DocSecurity>0</DocSecurity>
  <Lines>84</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Birendra Ghimire</cp:lastModifiedBy>
  <cp:revision>4</cp:revision>
  <dcterms:created xsi:type="dcterms:W3CDTF">2023-03-01T10:44:00Z</dcterms:created>
  <dcterms:modified xsi:type="dcterms:W3CDTF">2023-03-01T11:06:00Z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