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34A60460"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1B6EFA">
        <w:rPr>
          <w:bCs/>
          <w:noProof w:val="0"/>
          <w:sz w:val="24"/>
          <w:szCs w:val="24"/>
        </w:rPr>
        <w:t>20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C53339">
        <w:rPr>
          <w:bCs/>
          <w:noProof w:val="0"/>
          <w:sz w:val="24"/>
          <w:szCs w:val="24"/>
        </w:rPr>
        <w:t>1</w:t>
      </w:r>
      <w:r w:rsidR="0085586F">
        <w:rPr>
          <w:bCs/>
          <w:noProof w:val="0"/>
          <w:sz w:val="24"/>
          <w:szCs w:val="24"/>
        </w:rPr>
        <w:t>210</w:t>
      </w:r>
      <w:r w:rsidR="00C53339">
        <w:rPr>
          <w:bCs/>
          <w:noProof w:val="0"/>
          <w:sz w:val="24"/>
          <w:szCs w:val="24"/>
        </w:rPr>
        <w:t>3</w:t>
      </w:r>
    </w:p>
    <w:p w14:paraId="11776FA6" w14:textId="37AD47F0" w:rsidR="00A209D6" w:rsidRPr="00465587" w:rsidRDefault="0085586F" w:rsidP="00A209D6">
      <w:pPr>
        <w:pStyle w:val="Header"/>
        <w:tabs>
          <w:tab w:val="right" w:pos="9639"/>
        </w:tabs>
        <w:rPr>
          <w:rFonts w:eastAsia="SimSun"/>
          <w:bCs/>
          <w:sz w:val="24"/>
          <w:szCs w:val="24"/>
          <w:lang w:eastAsia="zh-CN"/>
        </w:rPr>
      </w:pPr>
      <w:r>
        <w:rPr>
          <w:rFonts w:eastAsia="SimSun"/>
          <w:bCs/>
          <w:sz w:val="24"/>
          <w:szCs w:val="24"/>
          <w:lang w:eastAsia="zh-CN"/>
        </w:rPr>
        <w:t>November 14</w:t>
      </w:r>
      <w:r w:rsidRPr="005C7CD5">
        <w:rPr>
          <w:rFonts w:eastAsia="SimSun"/>
          <w:bCs/>
          <w:sz w:val="24"/>
          <w:szCs w:val="24"/>
          <w:lang w:eastAsia="zh-CN"/>
        </w:rPr>
        <w:t xml:space="preserve"> – </w:t>
      </w:r>
      <w:r>
        <w:rPr>
          <w:rFonts w:eastAsia="SimSun"/>
          <w:bCs/>
          <w:sz w:val="24"/>
          <w:szCs w:val="24"/>
          <w:lang w:eastAsia="zh-CN"/>
        </w:rPr>
        <w:t xml:space="preserve">November 20 </w:t>
      </w:r>
      <w:r w:rsidRPr="005C7CD5">
        <w:rPr>
          <w:rFonts w:eastAsia="SimSun"/>
          <w:bCs/>
          <w:sz w:val="24"/>
          <w:szCs w:val="24"/>
          <w:lang w:eastAsia="zh-CN"/>
        </w:rPr>
        <w:t xml:space="preserve"> 2022</w:t>
      </w:r>
      <w:r>
        <w:rPr>
          <w:rFonts w:eastAsia="SimSun"/>
          <w:bCs/>
          <w:sz w:val="24"/>
          <w:szCs w:val="24"/>
          <w:lang w:eastAsia="zh-CN"/>
        </w:rPr>
        <w:t>, T</w:t>
      </w:r>
      <w:r w:rsidR="00C02860">
        <w:rPr>
          <w:rFonts w:eastAsia="SimSun"/>
          <w:bCs/>
          <w:sz w:val="24"/>
          <w:szCs w:val="24"/>
          <w:lang w:eastAsia="zh-CN"/>
        </w:rPr>
        <w:t>o</w:t>
      </w:r>
      <w:r>
        <w:rPr>
          <w:rFonts w:eastAsia="SimSun"/>
          <w:bCs/>
          <w:sz w:val="24"/>
          <w:szCs w:val="24"/>
          <w:lang w:eastAsia="zh-CN"/>
        </w:rPr>
        <w:t>ulous</w:t>
      </w:r>
      <w:r w:rsidR="00C02860">
        <w:rPr>
          <w:rFonts w:eastAsia="SimSun"/>
          <w:bCs/>
          <w:sz w:val="24"/>
          <w:szCs w:val="24"/>
          <w:lang w:eastAsia="zh-CN"/>
        </w:rPr>
        <w:t>e</w:t>
      </w:r>
      <w:r>
        <w:rPr>
          <w:rFonts w:eastAsia="SimSun"/>
          <w:bCs/>
          <w:sz w:val="24"/>
          <w:szCs w:val="24"/>
          <w:lang w:eastAsia="zh-CN"/>
        </w:rPr>
        <w:t>, France</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9483FD9"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C52E4" w:rsidRPr="00CC52E4">
        <w:rPr>
          <w:rFonts w:cs="Arial"/>
          <w:b/>
          <w:bCs/>
          <w:sz w:val="24"/>
          <w:lang w:eastAsia="ja-JP"/>
        </w:rPr>
        <w:t>8.4.</w:t>
      </w:r>
      <w:r w:rsidR="00557A20">
        <w:rPr>
          <w:rFonts w:cs="Arial"/>
          <w:b/>
          <w:bCs/>
          <w:sz w:val="24"/>
          <w:lang w:eastAsia="ja-JP"/>
        </w:rPr>
        <w:t xml:space="preserve">3 - </w:t>
      </w:r>
      <w:r w:rsidR="00557A20" w:rsidRPr="00557A20">
        <w:rPr>
          <w:rFonts w:cs="Arial"/>
          <w:b/>
          <w:bCs/>
          <w:sz w:val="24"/>
          <w:lang w:eastAsia="ja-JP"/>
        </w:rPr>
        <w:t>NR-DC with selective activation cell of groups</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087945CE"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A30CA" w:rsidRPr="00BA30CA">
        <w:rPr>
          <w:rFonts w:ascii="Arial" w:hAnsi="Arial" w:cs="Arial"/>
          <w:b/>
          <w:bCs/>
          <w:sz w:val="24"/>
        </w:rPr>
        <w:t>Further analysis</w:t>
      </w:r>
      <w:r w:rsidR="00BB6239">
        <w:rPr>
          <w:rFonts w:ascii="Arial" w:hAnsi="Arial" w:cs="Arial"/>
          <w:b/>
          <w:bCs/>
          <w:sz w:val="24"/>
        </w:rPr>
        <w:t xml:space="preserve"> </w:t>
      </w:r>
      <w:r w:rsidR="00BC29CD">
        <w:rPr>
          <w:rFonts w:ascii="Arial" w:hAnsi="Arial" w:cs="Arial"/>
          <w:b/>
          <w:bCs/>
          <w:sz w:val="24"/>
        </w:rPr>
        <w:t>on</w:t>
      </w:r>
      <w:r w:rsidR="0089710B" w:rsidRPr="0089710B">
        <w:rPr>
          <w:rFonts w:ascii="Arial" w:hAnsi="Arial" w:cs="Arial"/>
          <w:b/>
          <w:bCs/>
          <w:sz w:val="24"/>
        </w:rPr>
        <w:t xml:space="preserve"> </w:t>
      </w:r>
      <w:r w:rsidR="00BA30CA" w:rsidRPr="00BA30CA">
        <w:rPr>
          <w:rFonts w:ascii="Arial" w:hAnsi="Arial" w:cs="Arial"/>
          <w:b/>
          <w:bCs/>
          <w:sz w:val="24"/>
        </w:rPr>
        <w:t xml:space="preserve">the solution aspects for </w:t>
      </w:r>
      <w:r w:rsidR="0089710B" w:rsidRPr="0089710B">
        <w:rPr>
          <w:rFonts w:ascii="Arial" w:hAnsi="Arial" w:cs="Arial"/>
          <w:b/>
          <w:bCs/>
          <w:sz w:val="24"/>
        </w:rPr>
        <w:t>selective activation</w:t>
      </w:r>
      <w:bookmarkStart w:id="0" w:name="_Hlk108430878"/>
    </w:p>
    <w:bookmarkEnd w:id="0"/>
    <w:p w14:paraId="25F387E8" w14:textId="7AC713AA" w:rsidR="00446C3A" w:rsidRPr="00B266B0" w:rsidRDefault="00446C3A" w:rsidP="00446C3A">
      <w:pPr>
        <w:ind w:left="1985" w:hanging="1985"/>
        <w:rPr>
          <w:rFonts w:ascii="Arial" w:hAnsi="Arial" w:cs="Arial"/>
          <w:b/>
          <w:bCs/>
          <w:sz w:val="24"/>
        </w:rPr>
      </w:pPr>
      <w:r>
        <w:rPr>
          <w:rFonts w:ascii="Arial" w:hAnsi="Arial" w:cs="Arial"/>
          <w:b/>
          <w:bCs/>
          <w:sz w:val="24"/>
        </w:rPr>
        <w:t>WID:</w:t>
      </w:r>
      <w:r>
        <w:rPr>
          <w:rFonts w:ascii="Arial" w:hAnsi="Arial" w:cs="Arial"/>
          <w:b/>
          <w:bCs/>
          <w:sz w:val="24"/>
        </w:rPr>
        <w:tab/>
      </w:r>
      <w:r w:rsidR="00AE7976" w:rsidRPr="00AE7976">
        <w:rPr>
          <w:rFonts w:ascii="Arial" w:hAnsi="Arial" w:cs="Arial"/>
          <w:b/>
          <w:bCs/>
          <w:sz w:val="24"/>
        </w:rPr>
        <w:t>NR_Mob_enh2</w:t>
      </w:r>
      <w:r w:rsidRPr="00112F1A">
        <w:rPr>
          <w:rFonts w:ascii="Arial" w:hAnsi="Arial" w:cs="Arial"/>
          <w:b/>
          <w:bCs/>
          <w:sz w:val="24"/>
        </w:rPr>
        <w:t xml:space="preserve"> </w:t>
      </w:r>
      <w:r>
        <w:rPr>
          <w:rFonts w:ascii="Arial" w:hAnsi="Arial" w:cs="Arial"/>
          <w:b/>
          <w:bCs/>
          <w:sz w:val="24"/>
        </w:rPr>
        <w:t xml:space="preserve">- Release </w:t>
      </w:r>
      <w:r w:rsidR="00AE7976">
        <w:rPr>
          <w:rFonts w:ascii="Arial" w:hAnsi="Arial" w:cs="Arial"/>
          <w:b/>
          <w:bCs/>
          <w:sz w:val="24"/>
        </w:rPr>
        <w:t>18</w:t>
      </w:r>
    </w:p>
    <w:p w14:paraId="6FEB19D6" w14:textId="77777777" w:rsidR="00446C3A"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0748433" w14:textId="77777777" w:rsidR="00F65DF2" w:rsidRPr="00B266B0" w:rsidRDefault="00F65DF2" w:rsidP="00446C3A">
      <w:pPr>
        <w:tabs>
          <w:tab w:val="left" w:pos="1985"/>
        </w:tabs>
        <w:rPr>
          <w:rFonts w:ascii="Arial" w:hAnsi="Arial" w:cs="Arial"/>
          <w:b/>
          <w:bCs/>
          <w:sz w:val="24"/>
        </w:rPr>
      </w:pPr>
    </w:p>
    <w:p w14:paraId="294B1FC1" w14:textId="7716AF37" w:rsidR="00A209D6" w:rsidRDefault="00A209D6" w:rsidP="00963F83">
      <w:pPr>
        <w:pStyle w:val="Heading1"/>
        <w:numPr>
          <w:ilvl w:val="0"/>
          <w:numId w:val="2"/>
        </w:numPr>
        <w:ind w:hanging="1414"/>
      </w:pPr>
      <w:r>
        <w:t>Introduction</w:t>
      </w:r>
    </w:p>
    <w:p w14:paraId="1AF29AE7" w14:textId="48401EB0" w:rsidR="002008B9" w:rsidRDefault="002008B9" w:rsidP="00122477">
      <w:pPr>
        <w:rPr>
          <w:bCs/>
          <w:lang w:val="en-US"/>
        </w:rPr>
      </w:pPr>
    </w:p>
    <w:p w14:paraId="2B50B67D" w14:textId="37BB7300" w:rsidR="00541527" w:rsidRDefault="00541527" w:rsidP="00122477">
      <w:pPr>
        <w:rPr>
          <w:bCs/>
          <w:lang w:val="en-US"/>
        </w:rPr>
      </w:pPr>
      <w:r>
        <w:rPr>
          <w:bCs/>
          <w:lang w:val="en-US"/>
        </w:rPr>
        <w:t>In the last meeting</w:t>
      </w:r>
      <w:r w:rsidR="008151C6">
        <w:rPr>
          <w:bCs/>
          <w:lang w:val="en-US"/>
        </w:rPr>
        <w:t>, the</w:t>
      </w:r>
      <w:r>
        <w:rPr>
          <w:bCs/>
          <w:lang w:val="en-US"/>
        </w:rPr>
        <w:t xml:space="preserve"> following agreements have been made</w:t>
      </w:r>
      <w:r w:rsidR="008151C6">
        <w:rPr>
          <w:bCs/>
          <w:lang w:val="en-US"/>
        </w:rPr>
        <w:t xml:space="preserve"> for selective activation of SCG</w:t>
      </w:r>
      <w:r w:rsidR="004B1ED1">
        <w:rPr>
          <w:bCs/>
          <w:lang w:val="en-US"/>
        </w:rPr>
        <w:t xml:space="preserve"> (SAS)</w:t>
      </w:r>
      <w:r w:rsidR="00390892">
        <w:rPr>
          <w:bCs/>
          <w:lang w:val="en-US"/>
        </w:rPr>
        <w:t xml:space="preserve"> </w:t>
      </w:r>
      <w:r w:rsidR="002008B9">
        <w:rPr>
          <w:bCs/>
          <w:lang w:val="en-US"/>
        </w:rPr>
        <w:t>[</w:t>
      </w:r>
      <w:r w:rsidR="00AC18A6">
        <w:rPr>
          <w:bCs/>
          <w:lang w:val="en-US"/>
        </w:rPr>
        <w:t>5</w:t>
      </w:r>
      <w:r w:rsidR="002008B9">
        <w:rPr>
          <w:bCs/>
          <w:lang w:val="en-US"/>
        </w:rPr>
        <w:t>]</w:t>
      </w:r>
      <w:r>
        <w:rPr>
          <w:bCs/>
          <w:lang w:val="en-US"/>
        </w:rPr>
        <w:t xml:space="preserve">: </w:t>
      </w:r>
    </w:p>
    <w:p w14:paraId="687972E6" w14:textId="31F9A571" w:rsidR="002008B9" w:rsidRDefault="002008B9" w:rsidP="00122477">
      <w:pPr>
        <w:rPr>
          <w:bCs/>
          <w:lang w:val="en-US"/>
        </w:rPr>
      </w:pPr>
      <w:r>
        <w:rPr>
          <w:bCs/>
          <w:noProof/>
          <w:lang w:val="en-US"/>
        </w:rPr>
        <mc:AlternateContent>
          <mc:Choice Requires="wps">
            <w:drawing>
              <wp:anchor distT="0" distB="0" distL="114300" distR="114300" simplePos="0" relativeHeight="251658240" behindDoc="0" locked="0" layoutInCell="1" allowOverlap="1" wp14:anchorId="6E3E5FCC" wp14:editId="2C651F13">
                <wp:simplePos x="0" y="0"/>
                <wp:positionH relativeFrom="column">
                  <wp:posOffset>58467</wp:posOffset>
                </wp:positionH>
                <wp:positionV relativeFrom="paragraph">
                  <wp:posOffset>40565</wp:posOffset>
                </wp:positionV>
                <wp:extent cx="6029325" cy="2552132"/>
                <wp:effectExtent l="0" t="0" r="28575" b="19685"/>
                <wp:wrapNone/>
                <wp:docPr id="2" name="Text Box 2"/>
                <wp:cNvGraphicFramePr/>
                <a:graphic xmlns:a="http://schemas.openxmlformats.org/drawingml/2006/main">
                  <a:graphicData uri="http://schemas.microsoft.com/office/word/2010/wordprocessingShape">
                    <wps:wsp>
                      <wps:cNvSpPr txBox="1"/>
                      <wps:spPr>
                        <a:xfrm>
                          <a:off x="0" y="0"/>
                          <a:ext cx="6029325" cy="2552132"/>
                        </a:xfrm>
                        <a:prstGeom prst="rect">
                          <a:avLst/>
                        </a:prstGeom>
                        <a:solidFill>
                          <a:schemeClr val="lt1"/>
                        </a:solidFill>
                        <a:ln w="6350">
                          <a:solidFill>
                            <a:prstClr val="black"/>
                          </a:solidFill>
                        </a:ln>
                      </wps:spPr>
                      <wps:txbx>
                        <w:txbxContent>
                          <w:p w14:paraId="3D267008" w14:textId="07B4D103" w:rsidR="003900B8" w:rsidRDefault="004B1ED1" w:rsidP="003900B8">
                            <w:pPr>
                              <w:rPr>
                                <w:bCs/>
                                <w:lang w:val="en-US"/>
                              </w:rPr>
                            </w:pPr>
                            <w:r>
                              <w:rPr>
                                <w:bCs/>
                                <w:lang w:val="en-US"/>
                              </w:rPr>
                              <w:t>B</w:t>
                            </w:r>
                            <w:r w:rsidR="003900B8" w:rsidRPr="003900B8">
                              <w:rPr>
                                <w:bCs/>
                                <w:lang w:val="en-US"/>
                              </w:rPr>
                              <w:t xml:space="preserve">aseline procedure to support subsequent secondary cell group change </w:t>
                            </w:r>
                          </w:p>
                          <w:p w14:paraId="72BF4C9D" w14:textId="2FEB13CE" w:rsidR="003900B8" w:rsidRPr="003900B8" w:rsidRDefault="003900B8" w:rsidP="00963F83">
                            <w:pPr>
                              <w:pStyle w:val="ListParagraph"/>
                              <w:numPr>
                                <w:ilvl w:val="0"/>
                                <w:numId w:val="6"/>
                              </w:numPr>
                              <w:rPr>
                                <w:bCs/>
                                <w:lang w:val="en-US"/>
                              </w:rPr>
                            </w:pPr>
                            <w:r w:rsidRPr="003900B8">
                              <w:rPr>
                                <w:bCs/>
                                <w:lang w:val="en-US"/>
                              </w:rPr>
                              <w:t xml:space="preserve">(FFS if UE keeps all configurations or if those are indicated by the network, </w:t>
                            </w:r>
                          </w:p>
                          <w:p w14:paraId="37636511" w14:textId="7DB5A719" w:rsidR="003900B8" w:rsidRDefault="003900B8" w:rsidP="00963F83">
                            <w:pPr>
                              <w:pStyle w:val="ListParagraph"/>
                              <w:numPr>
                                <w:ilvl w:val="0"/>
                                <w:numId w:val="6"/>
                              </w:numPr>
                              <w:rPr>
                                <w:bCs/>
                                <w:lang w:val="en-US"/>
                              </w:rPr>
                            </w:pPr>
                            <w:r w:rsidRPr="003900B8">
                              <w:rPr>
                                <w:bCs/>
                                <w:lang w:val="en-US"/>
                              </w:rPr>
                              <w:t>FFS support of nested configs):</w:t>
                            </w:r>
                          </w:p>
                          <w:p w14:paraId="7B291A9C" w14:textId="176D5BEC" w:rsidR="003900B8" w:rsidRDefault="003900B8" w:rsidP="00C17A30">
                            <w:pPr>
                              <w:pStyle w:val="ListParagraph"/>
                              <w:rPr>
                                <w:bCs/>
                                <w:lang w:val="en-US"/>
                              </w:rPr>
                            </w:pPr>
                            <w:r w:rsidRPr="003900B8">
                              <w:rPr>
                                <w:bCs/>
                                <w:lang w:val="en-US"/>
                              </w:rPr>
                              <w:t>a.</w:t>
                            </w:r>
                            <w:r w:rsidRPr="003900B8">
                              <w:rPr>
                                <w:bCs/>
                                <w:lang w:val="en-US"/>
                              </w:rPr>
                              <w:tab/>
                              <w:t>Step 1: when the execution condition of a CPC candidate PScell is met, a UE performs the execution of CPC towards this candidate PScell</w:t>
                            </w:r>
                            <w:r>
                              <w:rPr>
                                <w:bCs/>
                                <w:lang w:val="en-US"/>
                              </w:rPr>
                              <w:t>.</w:t>
                            </w:r>
                          </w:p>
                          <w:p w14:paraId="6AE4B935" w14:textId="77777777" w:rsidR="003900B8" w:rsidRPr="003900B8" w:rsidRDefault="003900B8" w:rsidP="00C17A30">
                            <w:pPr>
                              <w:pStyle w:val="ListParagraph"/>
                              <w:rPr>
                                <w:bCs/>
                                <w:lang w:val="en-US"/>
                              </w:rPr>
                            </w:pPr>
                            <w:r w:rsidRPr="003900B8">
                              <w:rPr>
                                <w:bCs/>
                                <w:lang w:val="en-US"/>
                              </w:rPr>
                              <w:t>b.</w:t>
                            </w:r>
                            <w:r w:rsidRPr="003900B8">
                              <w:rPr>
                                <w:bCs/>
                                <w:lang w:val="en-US"/>
                              </w:rPr>
                              <w:tab/>
                              <w:t xml:space="preserve">Step 2: After finishing the PSCell addition or change, the UE doesn’t release conditional configuration of other candidate PSCells for subsequent CPC, the UE continues evaluating the execution conditions of other candidate PScells. </w:t>
                            </w:r>
                          </w:p>
                          <w:p w14:paraId="596C1EEF" w14:textId="06EE106C" w:rsidR="003900B8" w:rsidRDefault="003900B8" w:rsidP="00C17A30">
                            <w:pPr>
                              <w:pStyle w:val="ListParagraph"/>
                              <w:rPr>
                                <w:bCs/>
                                <w:lang w:val="en-US"/>
                              </w:rPr>
                            </w:pPr>
                            <w:r w:rsidRPr="003900B8">
                              <w:rPr>
                                <w:bCs/>
                                <w:lang w:val="en-US"/>
                              </w:rPr>
                              <w:t>c.</w:t>
                            </w:r>
                            <w:r w:rsidRPr="003900B8">
                              <w:rPr>
                                <w:bCs/>
                                <w:lang w:val="en-US"/>
                              </w:rPr>
                              <w:tab/>
                              <w:t>Step 3: When the execution condition of a candidate PScell is met, the UE performs the execution of CPC towards this candidate PSCell.</w:t>
                            </w:r>
                          </w:p>
                          <w:p w14:paraId="75F8C5F7" w14:textId="57C40F01" w:rsidR="003900B8" w:rsidRDefault="003900B8" w:rsidP="00963F83">
                            <w:pPr>
                              <w:pStyle w:val="ListParagraph"/>
                              <w:numPr>
                                <w:ilvl w:val="0"/>
                                <w:numId w:val="6"/>
                              </w:numPr>
                              <w:rPr>
                                <w:bCs/>
                                <w:lang w:val="en-US"/>
                              </w:rPr>
                            </w:pPr>
                            <w:r w:rsidRPr="003900B8">
                              <w:rPr>
                                <w:bCs/>
                                <w:lang w:val="en-US"/>
                              </w:rPr>
                              <w:t>Confirm that “CPA” selective activation of cell groups will be supported for this WI objective</w:t>
                            </w:r>
                          </w:p>
                          <w:p w14:paraId="17808AA8" w14:textId="5A144380" w:rsidR="003900B8" w:rsidRDefault="00671E78" w:rsidP="00963F83">
                            <w:pPr>
                              <w:pStyle w:val="ListParagraph"/>
                              <w:numPr>
                                <w:ilvl w:val="0"/>
                                <w:numId w:val="6"/>
                              </w:numPr>
                              <w:rPr>
                                <w:bCs/>
                                <w:lang w:val="en-US"/>
                              </w:rPr>
                            </w:pPr>
                            <w:r w:rsidRPr="003900B8">
                              <w:rPr>
                                <w:bCs/>
                                <w:lang w:val="en-US"/>
                              </w:rPr>
                              <w:t xml:space="preserve">Confirm that we aim to support delta configuration, i.e. that there need to be a known reference.  </w:t>
                            </w:r>
                          </w:p>
                          <w:p w14:paraId="566E773D" w14:textId="045FFB59" w:rsidR="00671E78" w:rsidRPr="001F12F5" w:rsidRDefault="00671E78" w:rsidP="00963F83">
                            <w:pPr>
                              <w:pStyle w:val="ListParagraph"/>
                              <w:numPr>
                                <w:ilvl w:val="0"/>
                                <w:numId w:val="6"/>
                              </w:numPr>
                              <w:rPr>
                                <w:bCs/>
                                <w:lang w:val="en-US"/>
                              </w:rPr>
                            </w:pPr>
                            <w:r w:rsidRPr="001F12F5">
                              <w:rPr>
                                <w:bCs/>
                                <w:lang w:val="en-US"/>
                              </w:rPr>
                              <w:t>RAN2 aim to support selective activation of cell groups without RRC reconfiguration with respect to security</w:t>
                            </w:r>
                            <w:r w:rsidR="001F12F5">
                              <w:rPr>
                                <w:bCs/>
                                <w:lang w:val="en-US"/>
                              </w:rPr>
                              <w:t xml:space="preserve"> </w:t>
                            </w:r>
                            <w:r w:rsidRPr="001F12F5">
                              <w:rPr>
                                <w:bCs/>
                                <w:lang w:val="en-US"/>
                              </w:rPr>
                              <w:t>(FFS, need to consult with SA3 at some point in 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E3E5FCC" id="_x0000_t202" coordsize="21600,21600" o:spt="202" path="m,l,21600r21600,l21600,xe">
                <v:stroke joinstyle="miter"/>
                <v:path gradientshapeok="t" o:connecttype="rect"/>
              </v:shapetype>
              <v:shape id="Text Box 2" o:spid="_x0000_s1026" type="#_x0000_t202" style="position:absolute;margin-left:4.6pt;margin-top:3.2pt;width:474.75pt;height:200.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" fillcolor="white [3201]" strokeweight=".5pt">
                <v:textbox>
                  <w:txbxContent>
                    <w:p w14:paraId="3D267008" w14:textId="07B4D103" w:rsidR="003900B8" w:rsidRDefault="004B1ED1" w:rsidP="003900B8">
                      <w:pPr>
                        <w:rPr>
                          <w:bCs/>
                          <w:lang w:val="en-US"/>
                        </w:rPr>
                      </w:pPr>
                      <w:r>
                        <w:rPr>
                          <w:bCs/>
                          <w:lang w:val="en-US"/>
                        </w:rPr>
                        <w:t>B</w:t>
                      </w:r>
                      <w:r w:rsidR="003900B8" w:rsidRPr="003900B8">
                        <w:rPr>
                          <w:bCs/>
                          <w:lang w:val="en-US"/>
                        </w:rPr>
                        <w:t xml:space="preserve">aseline procedure to support subsequent secondary cell group change </w:t>
                      </w:r>
                    </w:p>
                    <w:p w14:paraId="72BF4C9D" w14:textId="2FEB13CE" w:rsidR="003900B8" w:rsidRPr="003900B8" w:rsidRDefault="003900B8" w:rsidP="00963F83">
                      <w:pPr>
                        <w:pStyle w:val="ListParagraph"/>
                        <w:numPr>
                          <w:ilvl w:val="0"/>
                          <w:numId w:val="6"/>
                        </w:numPr>
                        <w:rPr>
                          <w:bCs/>
                          <w:lang w:val="en-US"/>
                        </w:rPr>
                      </w:pPr>
                      <w:r w:rsidRPr="003900B8">
                        <w:rPr>
                          <w:bCs/>
                          <w:lang w:val="en-US"/>
                        </w:rPr>
                        <w:t xml:space="preserve">(FFS if UE keeps all configurations or if those are indicated by the network, </w:t>
                      </w:r>
                    </w:p>
                    <w:p w14:paraId="37636511" w14:textId="7DB5A719" w:rsidR="003900B8" w:rsidRDefault="003900B8" w:rsidP="00963F83">
                      <w:pPr>
                        <w:pStyle w:val="ListParagraph"/>
                        <w:numPr>
                          <w:ilvl w:val="0"/>
                          <w:numId w:val="6"/>
                        </w:numPr>
                        <w:rPr>
                          <w:bCs/>
                          <w:lang w:val="en-US"/>
                        </w:rPr>
                      </w:pPr>
                      <w:r w:rsidRPr="003900B8">
                        <w:rPr>
                          <w:bCs/>
                          <w:lang w:val="en-US"/>
                        </w:rPr>
                        <w:t>FFS support of nested configs):</w:t>
                      </w:r>
                    </w:p>
                    <w:p w14:paraId="7B291A9C" w14:textId="176D5BEC" w:rsidR="003900B8" w:rsidRDefault="003900B8" w:rsidP="00C17A30">
                      <w:pPr>
                        <w:pStyle w:val="ListParagraph"/>
                        <w:rPr>
                          <w:bCs/>
                          <w:lang w:val="en-US"/>
                        </w:rPr>
                      </w:pPr>
                      <w:r w:rsidRPr="003900B8">
                        <w:rPr>
                          <w:bCs/>
                          <w:lang w:val="en-US"/>
                        </w:rPr>
                        <w:t>a.</w:t>
                      </w:r>
                      <w:r w:rsidRPr="003900B8">
                        <w:rPr>
                          <w:bCs/>
                          <w:lang w:val="en-US"/>
                        </w:rPr>
                        <w:tab/>
                        <w:t xml:space="preserve">Step 1: when the execution condition of a CPC candidate </w:t>
                      </w:r>
                      <w:proofErr w:type="spellStart"/>
                      <w:r w:rsidRPr="003900B8">
                        <w:rPr>
                          <w:bCs/>
                          <w:lang w:val="en-US"/>
                        </w:rPr>
                        <w:t>PScell</w:t>
                      </w:r>
                      <w:proofErr w:type="spellEnd"/>
                      <w:r w:rsidRPr="003900B8">
                        <w:rPr>
                          <w:bCs/>
                          <w:lang w:val="en-US"/>
                        </w:rPr>
                        <w:t xml:space="preserve"> is met, a UE performs the execution of CPC towards this candidate </w:t>
                      </w:r>
                      <w:proofErr w:type="spellStart"/>
                      <w:r w:rsidRPr="003900B8">
                        <w:rPr>
                          <w:bCs/>
                          <w:lang w:val="en-US"/>
                        </w:rPr>
                        <w:t>PScell</w:t>
                      </w:r>
                      <w:proofErr w:type="spellEnd"/>
                      <w:r>
                        <w:rPr>
                          <w:bCs/>
                          <w:lang w:val="en-US"/>
                        </w:rPr>
                        <w:t>.</w:t>
                      </w:r>
                    </w:p>
                    <w:p w14:paraId="6AE4B935" w14:textId="77777777" w:rsidR="003900B8" w:rsidRPr="003900B8" w:rsidRDefault="003900B8" w:rsidP="00C17A30">
                      <w:pPr>
                        <w:pStyle w:val="ListParagraph"/>
                        <w:rPr>
                          <w:bCs/>
                          <w:lang w:val="en-US"/>
                        </w:rPr>
                      </w:pPr>
                      <w:r w:rsidRPr="003900B8">
                        <w:rPr>
                          <w:bCs/>
                          <w:lang w:val="en-US"/>
                        </w:rPr>
                        <w:t>b.</w:t>
                      </w:r>
                      <w:r w:rsidRPr="003900B8">
                        <w:rPr>
                          <w:bCs/>
                          <w:lang w:val="en-US"/>
                        </w:rPr>
                        <w:tab/>
                        <w:t xml:space="preserve">Step 2: After finishing the PSCell addition or change, the UE doesn’t release conditional configuration of other candidate </w:t>
                      </w:r>
                      <w:proofErr w:type="spellStart"/>
                      <w:r w:rsidRPr="003900B8">
                        <w:rPr>
                          <w:bCs/>
                          <w:lang w:val="en-US"/>
                        </w:rPr>
                        <w:t>PSCells</w:t>
                      </w:r>
                      <w:proofErr w:type="spellEnd"/>
                      <w:r w:rsidRPr="003900B8">
                        <w:rPr>
                          <w:bCs/>
                          <w:lang w:val="en-US"/>
                        </w:rPr>
                        <w:t xml:space="preserve"> for subsequent CPC, the UE continues evaluating the execution conditions of other candidate </w:t>
                      </w:r>
                      <w:proofErr w:type="spellStart"/>
                      <w:r w:rsidRPr="003900B8">
                        <w:rPr>
                          <w:bCs/>
                          <w:lang w:val="en-US"/>
                        </w:rPr>
                        <w:t>PScells</w:t>
                      </w:r>
                      <w:proofErr w:type="spellEnd"/>
                      <w:r w:rsidRPr="003900B8">
                        <w:rPr>
                          <w:bCs/>
                          <w:lang w:val="en-US"/>
                        </w:rPr>
                        <w:t xml:space="preserve">. </w:t>
                      </w:r>
                    </w:p>
                    <w:p w14:paraId="596C1EEF" w14:textId="06EE106C" w:rsidR="003900B8" w:rsidRDefault="003900B8" w:rsidP="00C17A30">
                      <w:pPr>
                        <w:pStyle w:val="ListParagraph"/>
                        <w:rPr>
                          <w:bCs/>
                          <w:lang w:val="en-US"/>
                        </w:rPr>
                      </w:pPr>
                      <w:r w:rsidRPr="003900B8">
                        <w:rPr>
                          <w:bCs/>
                          <w:lang w:val="en-US"/>
                        </w:rPr>
                        <w:t>c.</w:t>
                      </w:r>
                      <w:r w:rsidRPr="003900B8">
                        <w:rPr>
                          <w:bCs/>
                          <w:lang w:val="en-US"/>
                        </w:rPr>
                        <w:tab/>
                        <w:t xml:space="preserve">Step 3: When the execution condition of a candidate </w:t>
                      </w:r>
                      <w:proofErr w:type="spellStart"/>
                      <w:r w:rsidRPr="003900B8">
                        <w:rPr>
                          <w:bCs/>
                          <w:lang w:val="en-US"/>
                        </w:rPr>
                        <w:t>PScell</w:t>
                      </w:r>
                      <w:proofErr w:type="spellEnd"/>
                      <w:r w:rsidRPr="003900B8">
                        <w:rPr>
                          <w:bCs/>
                          <w:lang w:val="en-US"/>
                        </w:rPr>
                        <w:t xml:space="preserve"> is met, the UE performs the execution of CPC towards this candidate PSCell.</w:t>
                      </w:r>
                    </w:p>
                    <w:p w14:paraId="75F8C5F7" w14:textId="57C40F01" w:rsidR="003900B8" w:rsidRDefault="003900B8" w:rsidP="00963F83">
                      <w:pPr>
                        <w:pStyle w:val="ListParagraph"/>
                        <w:numPr>
                          <w:ilvl w:val="0"/>
                          <w:numId w:val="6"/>
                        </w:numPr>
                        <w:rPr>
                          <w:bCs/>
                          <w:lang w:val="en-US"/>
                        </w:rPr>
                      </w:pPr>
                      <w:r w:rsidRPr="003900B8">
                        <w:rPr>
                          <w:bCs/>
                          <w:lang w:val="en-US"/>
                        </w:rPr>
                        <w:t>Confirm that “CPA” selective activation of cell groups will be supported for this WI objective</w:t>
                      </w:r>
                    </w:p>
                    <w:p w14:paraId="17808AA8" w14:textId="5A144380" w:rsidR="003900B8" w:rsidRDefault="00671E78" w:rsidP="00963F83">
                      <w:pPr>
                        <w:pStyle w:val="ListParagraph"/>
                        <w:numPr>
                          <w:ilvl w:val="0"/>
                          <w:numId w:val="6"/>
                        </w:numPr>
                        <w:rPr>
                          <w:bCs/>
                          <w:lang w:val="en-US"/>
                        </w:rPr>
                      </w:pPr>
                      <w:r w:rsidRPr="003900B8">
                        <w:rPr>
                          <w:bCs/>
                          <w:lang w:val="en-US"/>
                        </w:rPr>
                        <w:t xml:space="preserve">Confirm that we aim to support delta configuration, i.e. that there need to be a known reference.  </w:t>
                      </w:r>
                    </w:p>
                    <w:p w14:paraId="566E773D" w14:textId="045FFB59" w:rsidR="00671E78" w:rsidRPr="001F12F5" w:rsidRDefault="00671E78" w:rsidP="00963F83">
                      <w:pPr>
                        <w:pStyle w:val="ListParagraph"/>
                        <w:numPr>
                          <w:ilvl w:val="0"/>
                          <w:numId w:val="6"/>
                        </w:numPr>
                        <w:rPr>
                          <w:bCs/>
                          <w:lang w:val="en-US"/>
                        </w:rPr>
                      </w:pPr>
                      <w:r w:rsidRPr="001F12F5">
                        <w:rPr>
                          <w:bCs/>
                          <w:lang w:val="en-US"/>
                        </w:rPr>
                        <w:t>RAN2 aim to support selective activation of cell groups without RRC reconfiguration with respect to security</w:t>
                      </w:r>
                      <w:r w:rsidR="001F12F5">
                        <w:rPr>
                          <w:bCs/>
                          <w:lang w:val="en-US"/>
                        </w:rPr>
                        <w:t xml:space="preserve"> </w:t>
                      </w:r>
                      <w:r w:rsidRPr="001F12F5">
                        <w:rPr>
                          <w:bCs/>
                          <w:lang w:val="en-US"/>
                        </w:rPr>
                        <w:t>(FFS, need to consult with SA3 at some point in time).</w:t>
                      </w:r>
                    </w:p>
                  </w:txbxContent>
                </v:textbox>
              </v:shape>
            </w:pict>
          </mc:Fallback>
        </mc:AlternateContent>
      </w:r>
    </w:p>
    <w:p w14:paraId="4032DF3A" w14:textId="07370EE2" w:rsidR="002008B9" w:rsidRDefault="002008B9" w:rsidP="00122477">
      <w:pPr>
        <w:rPr>
          <w:bCs/>
          <w:lang w:val="en-US"/>
        </w:rPr>
      </w:pPr>
    </w:p>
    <w:p w14:paraId="797DD30F" w14:textId="2F5B1DE2" w:rsidR="002008B9" w:rsidRDefault="002008B9" w:rsidP="00122477">
      <w:pPr>
        <w:rPr>
          <w:bCs/>
          <w:lang w:val="en-US"/>
        </w:rPr>
      </w:pPr>
    </w:p>
    <w:p w14:paraId="1AE289E2" w14:textId="49AAA145" w:rsidR="002008B9" w:rsidRDefault="002008B9" w:rsidP="00122477">
      <w:pPr>
        <w:rPr>
          <w:bCs/>
          <w:lang w:val="en-US"/>
        </w:rPr>
      </w:pPr>
    </w:p>
    <w:p w14:paraId="188F8250" w14:textId="059B4297" w:rsidR="002008B9" w:rsidRDefault="002008B9" w:rsidP="00122477">
      <w:pPr>
        <w:rPr>
          <w:bCs/>
          <w:lang w:val="en-US"/>
        </w:rPr>
      </w:pPr>
    </w:p>
    <w:p w14:paraId="30566051" w14:textId="7CB9C582" w:rsidR="002008B9" w:rsidRDefault="002008B9" w:rsidP="00122477">
      <w:pPr>
        <w:rPr>
          <w:bCs/>
          <w:lang w:val="en-US"/>
        </w:rPr>
      </w:pPr>
    </w:p>
    <w:p w14:paraId="7DDB145E" w14:textId="251A38DB" w:rsidR="002008B9" w:rsidRDefault="002008B9" w:rsidP="00122477">
      <w:pPr>
        <w:rPr>
          <w:bCs/>
          <w:lang w:val="en-US"/>
        </w:rPr>
      </w:pPr>
    </w:p>
    <w:p w14:paraId="7A03F5AF" w14:textId="04F52966" w:rsidR="003900B8" w:rsidRDefault="003900B8" w:rsidP="00122477">
      <w:pPr>
        <w:rPr>
          <w:bCs/>
          <w:lang w:val="en-US"/>
        </w:rPr>
      </w:pPr>
    </w:p>
    <w:p w14:paraId="4C41D40B" w14:textId="1470875C" w:rsidR="003900B8" w:rsidRDefault="003900B8" w:rsidP="00122477">
      <w:pPr>
        <w:rPr>
          <w:bCs/>
          <w:lang w:val="en-US"/>
        </w:rPr>
      </w:pPr>
    </w:p>
    <w:p w14:paraId="3C059456" w14:textId="3D187EC2" w:rsidR="003900B8" w:rsidRDefault="003900B8" w:rsidP="00122477">
      <w:pPr>
        <w:rPr>
          <w:bCs/>
          <w:lang w:val="en-US"/>
        </w:rPr>
      </w:pPr>
    </w:p>
    <w:p w14:paraId="6FC3B84F" w14:textId="3E65F25F" w:rsidR="003900B8" w:rsidRDefault="003900B8" w:rsidP="00122477">
      <w:pPr>
        <w:rPr>
          <w:bCs/>
          <w:lang w:val="en-US"/>
        </w:rPr>
      </w:pPr>
    </w:p>
    <w:p w14:paraId="711AB40C" w14:textId="3CFAB7EA" w:rsidR="008E5498" w:rsidRDefault="008E5498" w:rsidP="008E5498">
      <w:pPr>
        <w:rPr>
          <w:bCs/>
          <w:lang w:val="en-US"/>
        </w:rPr>
      </w:pPr>
      <w:r>
        <w:rPr>
          <w:bCs/>
          <w:lang w:val="en-US"/>
        </w:rPr>
        <w:t xml:space="preserve">In the previous meeting, the following agreements have been made </w:t>
      </w:r>
      <w:r w:rsidR="00AC18A6">
        <w:rPr>
          <w:bCs/>
          <w:lang w:val="en-US"/>
        </w:rPr>
        <w:t xml:space="preserve">for </w:t>
      </w:r>
      <w:r>
        <w:rPr>
          <w:bCs/>
          <w:lang w:val="en-US"/>
        </w:rPr>
        <w:t>SA</w:t>
      </w:r>
      <w:r w:rsidR="0085586F">
        <w:rPr>
          <w:bCs/>
          <w:lang w:val="en-US"/>
        </w:rPr>
        <w:t>PC (Selective activation for PSCell-change)</w:t>
      </w:r>
      <w:r>
        <w:rPr>
          <w:bCs/>
          <w:lang w:val="en-US"/>
        </w:rPr>
        <w:t xml:space="preserve"> [4] and </w:t>
      </w:r>
      <w:r w:rsidR="00F620A2">
        <w:rPr>
          <w:bCs/>
          <w:lang w:val="en-US"/>
        </w:rPr>
        <w:t>is not treated</w:t>
      </w:r>
      <w:r>
        <w:rPr>
          <w:bCs/>
          <w:lang w:val="en-US"/>
        </w:rPr>
        <w:t xml:space="preserve">: </w:t>
      </w:r>
    </w:p>
    <w:p w14:paraId="287A2B18" w14:textId="77777777" w:rsidR="008E5498" w:rsidRDefault="008E5498" w:rsidP="008E5498">
      <w:pPr>
        <w:rPr>
          <w:bCs/>
          <w:lang w:val="en-US"/>
        </w:rPr>
      </w:pPr>
      <w:r>
        <w:rPr>
          <w:bCs/>
          <w:noProof/>
          <w:lang w:val="en-US"/>
        </w:rPr>
        <mc:AlternateContent>
          <mc:Choice Requires="wps">
            <w:drawing>
              <wp:anchor distT="0" distB="0" distL="114300" distR="114300" simplePos="0" relativeHeight="251658241" behindDoc="0" locked="0" layoutInCell="1" allowOverlap="1" wp14:anchorId="3AD74289" wp14:editId="4DEE75F8">
                <wp:simplePos x="0" y="0"/>
                <wp:positionH relativeFrom="column">
                  <wp:posOffset>58467</wp:posOffset>
                </wp:positionH>
                <wp:positionV relativeFrom="paragraph">
                  <wp:posOffset>39588</wp:posOffset>
                </wp:positionV>
                <wp:extent cx="6114197" cy="382137"/>
                <wp:effectExtent l="0" t="0" r="20320" b="18415"/>
                <wp:wrapNone/>
                <wp:docPr id="3" name="Text Box 3"/>
                <wp:cNvGraphicFramePr/>
                <a:graphic xmlns:a="http://schemas.openxmlformats.org/drawingml/2006/main">
                  <a:graphicData uri="http://schemas.microsoft.com/office/word/2010/wordprocessingShape">
                    <wps:wsp>
                      <wps:cNvSpPr txBox="1"/>
                      <wps:spPr>
                        <a:xfrm>
                          <a:off x="0" y="0"/>
                          <a:ext cx="6114197" cy="382137"/>
                        </a:xfrm>
                        <a:prstGeom prst="rect">
                          <a:avLst/>
                        </a:prstGeom>
                        <a:solidFill>
                          <a:schemeClr val="lt1"/>
                        </a:solidFill>
                        <a:ln w="6350">
                          <a:solidFill>
                            <a:prstClr val="black"/>
                          </a:solidFill>
                        </a:ln>
                      </wps:spPr>
                      <wps:txbx>
                        <w:txbxContent>
                          <w:p w14:paraId="57A4CC1A" w14:textId="77777777" w:rsidR="00F620A2" w:rsidRPr="00F620A2" w:rsidRDefault="00F620A2" w:rsidP="00963F83">
                            <w:pPr>
                              <w:pStyle w:val="ListParagraph"/>
                              <w:numPr>
                                <w:ilvl w:val="0"/>
                                <w:numId w:val="6"/>
                              </w:numPr>
                              <w:rPr>
                                <w:bCs/>
                                <w:lang w:val="en-US"/>
                              </w:rPr>
                            </w:pPr>
                            <w:r w:rsidRPr="00F620A2">
                              <w:rPr>
                                <w:lang w:val="en-US"/>
                              </w:rPr>
                              <w:t>FFS how many subsequent conditional changes are targeted (and what is the impact of such assumption).</w:t>
                            </w:r>
                          </w:p>
                          <w:p w14:paraId="55BB5024" w14:textId="46F24744" w:rsidR="008E5498" w:rsidRPr="001F12F5" w:rsidRDefault="008E5498" w:rsidP="00F620A2">
                            <w:pPr>
                              <w:pStyle w:val="ListParagraph"/>
                              <w:rPr>
                                <w:bCs/>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D74289" id="Text Box 3" o:spid="_x0000_s1027" type="#_x0000_t202" style="position:absolute;margin-left:4.6pt;margin-top:3.1pt;width:481.45pt;height:30.1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" fillcolor="white [3201]" strokeweight=".5pt">
                <v:textbox>
                  <w:txbxContent>
                    <w:p w14:paraId="57A4CC1A" w14:textId="77777777" w:rsidR="00F620A2" w:rsidRPr="00F620A2" w:rsidRDefault="00F620A2" w:rsidP="00963F83">
                      <w:pPr>
                        <w:pStyle w:val="ListParagraph"/>
                        <w:numPr>
                          <w:ilvl w:val="0"/>
                          <w:numId w:val="6"/>
                        </w:numPr>
                        <w:rPr>
                          <w:bCs/>
                          <w:lang w:val="en-US"/>
                        </w:rPr>
                      </w:pPr>
                      <w:r w:rsidRPr="00F620A2">
                        <w:rPr>
                          <w:lang w:val="en-US"/>
                        </w:rPr>
                        <w:t>FFS how many subsequent conditional changes are targeted (and what is the impact of such assumption).</w:t>
                      </w:r>
                    </w:p>
                    <w:p w14:paraId="55BB5024" w14:textId="46F24744" w:rsidR="008E5498" w:rsidRPr="001F12F5" w:rsidRDefault="008E5498" w:rsidP="00F620A2">
                      <w:pPr>
                        <w:pStyle w:val="ListParagraph"/>
                        <w:rPr>
                          <w:bCs/>
                          <w:lang w:val="en-US"/>
                        </w:rPr>
                      </w:pPr>
                    </w:p>
                  </w:txbxContent>
                </v:textbox>
              </v:shape>
            </w:pict>
          </mc:Fallback>
        </mc:AlternateContent>
      </w:r>
    </w:p>
    <w:p w14:paraId="71D3FF93" w14:textId="77777777" w:rsidR="008E5498" w:rsidRDefault="008E5498" w:rsidP="008E5498">
      <w:pPr>
        <w:rPr>
          <w:bCs/>
          <w:lang w:val="en-US"/>
        </w:rPr>
      </w:pPr>
    </w:p>
    <w:p w14:paraId="3B5783D8" w14:textId="5863B7B7" w:rsidR="008151C6" w:rsidRDefault="008151C6" w:rsidP="009339CB">
      <w:r>
        <w:rPr>
          <w:bCs/>
          <w:lang w:val="en-US"/>
        </w:rPr>
        <w:t xml:space="preserve">In this document, we provide further inputs on </w:t>
      </w:r>
      <w:r w:rsidR="0065774F">
        <w:rPr>
          <w:bCs/>
          <w:lang w:val="en-US"/>
        </w:rPr>
        <w:t>the remaining open issues related to maintaining the configurations across successive executions related to delta-configuration, security issues and measurement evaluations. We also analyze other open issues related to limitations on a number of cell changes and impacts of configuration changes during selective activation.</w:t>
      </w:r>
    </w:p>
    <w:p w14:paraId="7D484B6E" w14:textId="78BACEC1" w:rsidR="009339CB" w:rsidRDefault="009339CB" w:rsidP="009339CB">
      <w:pPr>
        <w:pStyle w:val="Heading1"/>
      </w:pPr>
      <w:r w:rsidRPr="006E13D1">
        <w:t>2</w:t>
      </w:r>
      <w:r w:rsidRPr="006E13D1">
        <w:tab/>
      </w:r>
      <w:r w:rsidR="00064AE3">
        <w:t>D</w:t>
      </w:r>
      <w:r w:rsidR="000C2B8D">
        <w:t>iscussion</w:t>
      </w:r>
    </w:p>
    <w:p w14:paraId="4E654EAE" w14:textId="0EF54AEE" w:rsidR="00CB0373" w:rsidRDefault="00CB0373" w:rsidP="009C6202"/>
    <w:p w14:paraId="734854B0" w14:textId="5C669BCE" w:rsidR="0065774F" w:rsidRDefault="0065774F" w:rsidP="0065774F">
      <w:pPr>
        <w:pStyle w:val="Heading2"/>
      </w:pPr>
      <w:r>
        <w:lastRenderedPageBreak/>
        <w:t>2.1 Delta Configuration management for selective activation</w:t>
      </w:r>
      <w:r w:rsidR="00963F83">
        <w:t xml:space="preserve"> </w:t>
      </w:r>
    </w:p>
    <w:p w14:paraId="1A6A2A81" w14:textId="3EFFC10A" w:rsidR="0065774F" w:rsidRDefault="0065774F" w:rsidP="0065774F">
      <w:pPr>
        <w:ind w:left="284"/>
      </w:pPr>
      <w:r>
        <w:t>In RAN2-119bis-e, RAN2 agrees to support delta configuration for selective activation. Following is the RAN2 agreement details for the same.</w:t>
      </w:r>
    </w:p>
    <w:p w14:paraId="75ED5739" w14:textId="77777777" w:rsidR="0065774F" w:rsidRPr="00003ABA" w:rsidRDefault="0065774F" w:rsidP="0065774F">
      <w:pPr>
        <w:pStyle w:val="Agreement"/>
      </w:pPr>
      <w:r>
        <w:t xml:space="preserve">Confirm that we aim to support delta configuration, i.e. that there need to be a known reference.  </w:t>
      </w:r>
    </w:p>
    <w:p w14:paraId="64AE7B98" w14:textId="77777777" w:rsidR="008F2588" w:rsidRDefault="008F2588" w:rsidP="0065774F">
      <w:pPr>
        <w:ind w:left="284"/>
      </w:pPr>
    </w:p>
    <w:p w14:paraId="5E3E4B86" w14:textId="768FFFF9" w:rsidR="0065774F" w:rsidRDefault="0065774F" w:rsidP="0065774F">
      <w:pPr>
        <w:ind w:left="284"/>
      </w:pPr>
      <w:r>
        <w:t xml:space="preserve">In current specifications for classic PSCell-change and also </w:t>
      </w:r>
      <w:r w:rsidR="007D6DE7">
        <w:t xml:space="preserve">for </w:t>
      </w:r>
      <w:r>
        <w:t>CPAC</w:t>
      </w:r>
      <w:r w:rsidR="007D6DE7">
        <w:t>,</w:t>
      </w:r>
      <w:r>
        <w:t xml:space="preserve"> the conditional configurations are prepared as </w:t>
      </w:r>
      <w:r w:rsidR="008B2B02">
        <w:t xml:space="preserve">a </w:t>
      </w:r>
      <w:r>
        <w:t>delta</w:t>
      </w:r>
      <w:r w:rsidR="007D6DE7">
        <w:t xml:space="preserve"> </w:t>
      </w:r>
      <w:r>
        <w:t xml:space="preserve">configuration with reference to current SCG configuration. UE applies the delta configuration over the current source configuration at the time of CPAC execution. </w:t>
      </w:r>
      <w:r w:rsidR="00CB12DF">
        <w:t>UE</w:t>
      </w:r>
      <w:r w:rsidR="00CB12DF" w:rsidDel="00CB12DF">
        <w:t xml:space="preserve"> </w:t>
      </w:r>
      <w:r w:rsidR="00CB12DF">
        <w:t>may</w:t>
      </w:r>
      <w:r>
        <w:t xml:space="preserve"> </w:t>
      </w:r>
      <w:r w:rsidR="008F2588">
        <w:t>reconfigure or</w:t>
      </w:r>
      <w:r>
        <w:t xml:space="preserve"> re-establish the corresponding </w:t>
      </w:r>
      <w:r w:rsidR="008F2588">
        <w:t xml:space="preserve">layers’ </w:t>
      </w:r>
      <w:r>
        <w:t>functionality</w:t>
      </w:r>
      <w:r w:rsidR="00CB12DF">
        <w:t xml:space="preserve"> </w:t>
      </w:r>
      <w:r w:rsidR="00F57F35">
        <w:t>as configured by the delta configuration</w:t>
      </w:r>
      <w:r>
        <w:t>.</w:t>
      </w:r>
    </w:p>
    <w:p w14:paraId="16E449EB" w14:textId="77C50B82" w:rsidR="0065774F" w:rsidRDefault="008F2588" w:rsidP="0065774F">
      <w:pPr>
        <w:ind w:left="284"/>
      </w:pPr>
      <w:r>
        <w:t>When the delta configurations prepared for CPAC are</w:t>
      </w:r>
      <w:r w:rsidR="0065774F">
        <w:t xml:space="preserve"> stored for consecutive CPAC execution there may be conflict or mismatch of the configuration as explained below.</w:t>
      </w:r>
    </w:p>
    <w:p w14:paraId="4EF487F9" w14:textId="58D247D2" w:rsidR="0065774F" w:rsidRDefault="0065774F" w:rsidP="0085586F">
      <w:pPr>
        <w:pStyle w:val="ListParagraph"/>
        <w:numPr>
          <w:ilvl w:val="0"/>
          <w:numId w:val="15"/>
        </w:numPr>
      </w:pPr>
      <w:r>
        <w:t>As part of CPAC preparation, UE receives delta configurations for target PSCells B</w:t>
      </w:r>
      <w:r w:rsidR="008F2588">
        <w:t>,</w:t>
      </w:r>
      <w:r w:rsidR="00927AA9">
        <w:t xml:space="preserve"> </w:t>
      </w:r>
      <w:r>
        <w:t xml:space="preserve">C and D </w:t>
      </w:r>
      <w:r w:rsidR="00FF64CA">
        <w:t xml:space="preserve">with </w:t>
      </w:r>
      <w:r>
        <w:t xml:space="preserve">serving PSCell A. </w:t>
      </w:r>
    </w:p>
    <w:p w14:paraId="16113FDD" w14:textId="161A2BD1" w:rsidR="0065774F" w:rsidRDefault="0065774F" w:rsidP="0085586F">
      <w:pPr>
        <w:pStyle w:val="ListParagraph"/>
        <w:numPr>
          <w:ilvl w:val="0"/>
          <w:numId w:val="15"/>
        </w:numPr>
      </w:pPr>
      <w:r>
        <w:t xml:space="preserve">When the UE moves from A to B, the UE applies the </w:t>
      </w:r>
      <w:r w:rsidR="00FF64CA">
        <w:t>delta</w:t>
      </w:r>
      <w:r>
        <w:t xml:space="preserve"> configuration of B over </w:t>
      </w:r>
      <w:r w:rsidR="008F2588">
        <w:t xml:space="preserve">the </w:t>
      </w:r>
      <w:r>
        <w:t>current configuration A. After successful CPAC execution, the operating configuration is B’. B’ is derived by modification of source configuration A by replacing the parameters given in B.</w:t>
      </w:r>
    </w:p>
    <w:p w14:paraId="2ECBC40C" w14:textId="465EDB5B" w:rsidR="0065774F" w:rsidRDefault="0065774F" w:rsidP="0085586F">
      <w:pPr>
        <w:pStyle w:val="ListParagraph"/>
        <w:numPr>
          <w:ilvl w:val="0"/>
          <w:numId w:val="15"/>
        </w:numPr>
      </w:pPr>
      <w:r>
        <w:t>If the UE moves from B to C, as per current specification, the UE applies the delta configuration of C over</w:t>
      </w:r>
      <w:r w:rsidR="00F240A7">
        <w:t xml:space="preserve"> current configuration</w:t>
      </w:r>
      <w:r>
        <w:t xml:space="preserve"> B’. This may result in mismatch of configuration for </w:t>
      </w:r>
      <w:r w:rsidR="00C90CE6">
        <w:t>PSC</w:t>
      </w:r>
      <w:r>
        <w:t>ell</w:t>
      </w:r>
      <w:r w:rsidR="00C90CE6">
        <w:t xml:space="preserve"> </w:t>
      </w:r>
      <w:r>
        <w:t xml:space="preserve">C at UE and NW. Because the new configuration for C </w:t>
      </w:r>
      <w:r w:rsidR="00453623">
        <w:t>(</w:t>
      </w:r>
      <w:r>
        <w:t>referred as C’</w:t>
      </w:r>
      <w:r w:rsidR="00453623">
        <w:t>)</w:t>
      </w:r>
      <w:r>
        <w:t xml:space="preserve"> is</w:t>
      </w:r>
      <w:r w:rsidR="00C90CE6">
        <w:t xml:space="preserve"> the</w:t>
      </w:r>
      <w:r>
        <w:t xml:space="preserve"> update of B’ with</w:t>
      </w:r>
      <w:r w:rsidR="00C90CE6">
        <w:t xml:space="preserve"> delta configuration of</w:t>
      </w:r>
      <w:r>
        <w:t xml:space="preserve"> C where-as the configuration at NW </w:t>
      </w:r>
      <w:r w:rsidR="00453623">
        <w:t>(</w:t>
      </w:r>
      <w:r>
        <w:t>referred as C’’</w:t>
      </w:r>
      <w:r w:rsidR="00453623">
        <w:t>)</w:t>
      </w:r>
      <w:r>
        <w:t xml:space="preserve"> is update of A with C. </w:t>
      </w:r>
    </w:p>
    <w:p w14:paraId="5A2CD421" w14:textId="3612CEBE" w:rsidR="0065774F" w:rsidRDefault="0065774F" w:rsidP="0065774F">
      <w:r>
        <w:t>In the above case C’ and C’’ will be different if the parameter set affected by configuration B and C differs at-</w:t>
      </w:r>
      <w:r w:rsidR="00F011AA">
        <w:t>least by</w:t>
      </w:r>
      <w:r>
        <w:t xml:space="preserve"> one parameter. </w:t>
      </w:r>
    </w:p>
    <w:p w14:paraId="04D2D2AE" w14:textId="7E35435F" w:rsidR="0065774F" w:rsidRDefault="00722DBF" w:rsidP="0065774F">
      <w:pPr>
        <w:rPr>
          <w:b/>
          <w:bCs/>
        </w:rPr>
      </w:pPr>
      <w:r>
        <w:rPr>
          <w:b/>
          <w:bCs/>
        </w:rPr>
        <w:t>O</w:t>
      </w:r>
      <w:r w:rsidR="008F2588">
        <w:rPr>
          <w:b/>
          <w:bCs/>
        </w:rPr>
        <w:t>bservation</w:t>
      </w:r>
      <w:r w:rsidR="0065774F" w:rsidRPr="00364F29">
        <w:rPr>
          <w:b/>
          <w:bCs/>
        </w:rPr>
        <w:t xml:space="preserve"> 1: Use of delta configuration may result in configuration mismatch for selective activation </w:t>
      </w:r>
      <w:r w:rsidR="0085586F">
        <w:rPr>
          <w:b/>
          <w:bCs/>
        </w:rPr>
        <w:t xml:space="preserve">for successive cell-changes </w:t>
      </w:r>
      <w:r w:rsidR="0065774F">
        <w:rPr>
          <w:b/>
          <w:bCs/>
        </w:rPr>
        <w:t>if the affected parameters target</w:t>
      </w:r>
      <w:r w:rsidR="0085586F">
        <w:rPr>
          <w:b/>
          <w:bCs/>
        </w:rPr>
        <w:t xml:space="preserve"> delta</w:t>
      </w:r>
      <w:r w:rsidR="0065774F">
        <w:rPr>
          <w:b/>
          <w:bCs/>
        </w:rPr>
        <w:t xml:space="preserve"> configurations are different.</w:t>
      </w:r>
    </w:p>
    <w:p w14:paraId="1D6DD133" w14:textId="68A162A0" w:rsidR="00D75B77" w:rsidRDefault="0085586F" w:rsidP="0065774F">
      <w:pPr>
        <w:rPr>
          <w:b/>
          <w:bCs/>
        </w:rPr>
      </w:pPr>
      <w:r>
        <w:rPr>
          <w:b/>
          <w:bCs/>
        </w:rPr>
        <w:t>Observation 2</w:t>
      </w:r>
      <w:r w:rsidR="00D75B77">
        <w:rPr>
          <w:b/>
          <w:bCs/>
        </w:rPr>
        <w:t xml:space="preserve">: </w:t>
      </w:r>
      <w:r>
        <w:rPr>
          <w:b/>
          <w:bCs/>
        </w:rPr>
        <w:t>The configuration mismatch during successive cell-change should be resolved to support delta-configuration for SAPC.</w:t>
      </w:r>
    </w:p>
    <w:p w14:paraId="69AE6D82" w14:textId="63ABF508" w:rsidR="008F2588" w:rsidRDefault="008F2588" w:rsidP="0065774F">
      <w:pPr>
        <w:rPr>
          <w:b/>
          <w:bCs/>
        </w:rPr>
      </w:pPr>
      <w:r>
        <w:t>This problem can be solved in multiple ways as described below.</w:t>
      </w:r>
    </w:p>
    <w:p w14:paraId="59B8D272" w14:textId="0FCE5509" w:rsidR="0065774F" w:rsidRPr="00862909" w:rsidRDefault="0065774F" w:rsidP="0065774F">
      <w:pPr>
        <w:rPr>
          <w:b/>
          <w:bCs/>
        </w:rPr>
      </w:pPr>
      <w:r w:rsidRPr="00862909">
        <w:rPr>
          <w:b/>
          <w:bCs/>
        </w:rPr>
        <w:t xml:space="preserve">Candidate Solution 1: Target configurations as </w:t>
      </w:r>
      <w:r>
        <w:rPr>
          <w:b/>
          <w:bCs/>
        </w:rPr>
        <w:t xml:space="preserve">a </w:t>
      </w:r>
      <w:r w:rsidRPr="00862909">
        <w:rPr>
          <w:b/>
          <w:bCs/>
        </w:rPr>
        <w:t xml:space="preserve">combination of common reference configuration and </w:t>
      </w:r>
      <w:r w:rsidR="0013523A">
        <w:rPr>
          <w:b/>
          <w:bCs/>
        </w:rPr>
        <w:t>cell-specific</w:t>
      </w:r>
      <w:r w:rsidRPr="00862909">
        <w:rPr>
          <w:b/>
          <w:bCs/>
        </w:rPr>
        <w:t xml:space="preserve"> </w:t>
      </w:r>
      <w:r>
        <w:rPr>
          <w:b/>
          <w:bCs/>
        </w:rPr>
        <w:t>delta configuration.</w:t>
      </w:r>
    </w:p>
    <w:p w14:paraId="226E3ECD" w14:textId="6D4008D0" w:rsidR="0065774F" w:rsidRDefault="0065774F" w:rsidP="0065774F">
      <w:r>
        <w:t xml:space="preserve">From the above observation, it is clear that if </w:t>
      </w:r>
      <w:r w:rsidR="0013523A">
        <w:t>all the</w:t>
      </w:r>
      <w:r>
        <w:t xml:space="preserve"> delta configurations </w:t>
      </w:r>
      <w:r w:rsidR="0013523A">
        <w:t xml:space="preserve">of target cells </w:t>
      </w:r>
      <w:r>
        <w:t xml:space="preserve">are </w:t>
      </w:r>
      <w:r w:rsidR="0013523A">
        <w:t>modifying</w:t>
      </w:r>
      <w:r>
        <w:t xml:space="preserve"> the same set of parameters it is possible to use them for consecutive CPAC executions. This can be </w:t>
      </w:r>
      <w:r w:rsidR="0013523A">
        <w:t>realized</w:t>
      </w:r>
      <w:r>
        <w:t xml:space="preserve"> by identifying the parameters whose values are common across </w:t>
      </w:r>
      <w:r w:rsidR="0013523A">
        <w:t xml:space="preserve">a </w:t>
      </w:r>
      <w:r>
        <w:t xml:space="preserve">set of target cells and dividing the target configuration into two parts namely reference configuration and cell-specific delta configurations. </w:t>
      </w:r>
    </w:p>
    <w:p w14:paraId="7A6BFAB6" w14:textId="33706342" w:rsidR="0065774F" w:rsidRDefault="0065774F" w:rsidP="0065774F">
      <w:r>
        <w:t xml:space="preserve">The </w:t>
      </w:r>
      <w:r w:rsidR="0013523A">
        <w:t>signal</w:t>
      </w:r>
      <w:r w:rsidR="00306FD3">
        <w:t>l</w:t>
      </w:r>
      <w:r w:rsidR="0013523A">
        <w:t>ing</w:t>
      </w:r>
      <w:r>
        <w:t xml:space="preserve"> procedure of this solution consists of </w:t>
      </w:r>
      <w:r w:rsidR="0013523A">
        <w:t xml:space="preserve">the </w:t>
      </w:r>
      <w:r>
        <w:t>following key steps.</w:t>
      </w:r>
    </w:p>
    <w:p w14:paraId="1B7E19D2" w14:textId="319C026F" w:rsidR="0065774F" w:rsidRDefault="0065774F" w:rsidP="00963F83">
      <w:pPr>
        <w:pStyle w:val="ListParagraph"/>
        <w:numPr>
          <w:ilvl w:val="0"/>
          <w:numId w:val="12"/>
        </w:numPr>
      </w:pPr>
      <w:r>
        <w:t xml:space="preserve">When target cells are prepared for selective activation, the target SN may prepare multiple target cells using common reference configuration and delta configuration containing </w:t>
      </w:r>
      <w:r w:rsidR="0013523A">
        <w:t>cell-specific</w:t>
      </w:r>
      <w:r>
        <w:t xml:space="preserve"> and </w:t>
      </w:r>
      <w:r w:rsidR="0013523A">
        <w:t>UE-specific</w:t>
      </w:r>
      <w:r>
        <w:t xml:space="preserve"> parameters.</w:t>
      </w:r>
    </w:p>
    <w:p w14:paraId="4FB150F3" w14:textId="147F811B" w:rsidR="0065774F" w:rsidRDefault="0065774F" w:rsidP="00963F83">
      <w:pPr>
        <w:pStyle w:val="ListParagraph"/>
        <w:numPr>
          <w:ilvl w:val="0"/>
          <w:numId w:val="12"/>
        </w:numPr>
      </w:pPr>
      <w:r>
        <w:t xml:space="preserve">In case if the target cells </w:t>
      </w:r>
      <w:r w:rsidR="0013523A">
        <w:t>belong</w:t>
      </w:r>
      <w:r>
        <w:t xml:space="preserve"> to </w:t>
      </w:r>
      <w:r w:rsidR="0013523A">
        <w:t xml:space="preserve">a </w:t>
      </w:r>
      <w:r>
        <w:t xml:space="preserve">different SN, the reference configuration used by different SN should be </w:t>
      </w:r>
      <w:r w:rsidR="0013523A">
        <w:t xml:space="preserve">the </w:t>
      </w:r>
      <w:r>
        <w:t>same for this procedure to work. This will require coordination of reference configuration for selective activation across involved Secondary nodes.</w:t>
      </w:r>
    </w:p>
    <w:p w14:paraId="607B54F0" w14:textId="7997330D" w:rsidR="0065774F" w:rsidRDefault="0065774F" w:rsidP="00963F83">
      <w:pPr>
        <w:pStyle w:val="ListParagraph"/>
        <w:numPr>
          <w:ilvl w:val="0"/>
          <w:numId w:val="12"/>
        </w:numPr>
      </w:pPr>
      <w:r>
        <w:t xml:space="preserve">The RRC Reconfiguration message sent </w:t>
      </w:r>
      <w:r w:rsidR="0013523A">
        <w:t>to</w:t>
      </w:r>
      <w:r>
        <w:t xml:space="preserve"> UE will contain one reference configuration and multiple conditional configurations which are </w:t>
      </w:r>
      <w:r w:rsidR="0013523A">
        <w:t>delta configurations</w:t>
      </w:r>
      <w:r>
        <w:t xml:space="preserve">. These delta configurations should contain </w:t>
      </w:r>
      <w:r w:rsidR="0013523A">
        <w:t xml:space="preserve">the </w:t>
      </w:r>
      <w:r>
        <w:t xml:space="preserve">same set of parameters and the values will be set for all these parameters. </w:t>
      </w:r>
    </w:p>
    <w:p w14:paraId="76767325" w14:textId="002DAE4F" w:rsidR="0065774F" w:rsidRPr="004155D3" w:rsidRDefault="0065774F" w:rsidP="0065774F">
      <w:r>
        <w:t xml:space="preserve">When UE switches across cells when configured with reference and delta configurations, UE </w:t>
      </w:r>
      <w:r w:rsidR="0013523A">
        <w:t>needs</w:t>
      </w:r>
      <w:r>
        <w:t xml:space="preserve"> to only swap the </w:t>
      </w:r>
      <w:r w:rsidR="0013523A">
        <w:t>delta configuration</w:t>
      </w:r>
      <w:r>
        <w:t xml:space="preserve"> of the target cell.  As all the configurations are consistently made up of reference and delta </w:t>
      </w:r>
      <w:r w:rsidR="0013523A">
        <w:t>configurations</w:t>
      </w:r>
      <w:r>
        <w:t xml:space="preserve"> based on the common template</w:t>
      </w:r>
      <w:r w:rsidR="007516FE">
        <w:t>.</w:t>
      </w:r>
      <w:r>
        <w:t xml:space="preserve"> </w:t>
      </w:r>
      <w:r w:rsidR="007516FE">
        <w:t>T</w:t>
      </w:r>
      <w:r>
        <w:t xml:space="preserve">he configuration mismatch issue indicated in the observation will not happen. </w:t>
      </w:r>
    </w:p>
    <w:p w14:paraId="392C4B3A" w14:textId="57994019" w:rsidR="0065774F" w:rsidRDefault="0065774F" w:rsidP="0065774F">
      <w:pPr>
        <w:rPr>
          <w:b/>
          <w:bCs/>
        </w:rPr>
      </w:pPr>
      <w:r w:rsidRPr="00862909">
        <w:rPr>
          <w:b/>
          <w:bCs/>
        </w:rPr>
        <w:t xml:space="preserve">Candidate Solution </w:t>
      </w:r>
      <w:r>
        <w:rPr>
          <w:b/>
          <w:bCs/>
        </w:rPr>
        <w:t>2</w:t>
      </w:r>
      <w:r w:rsidRPr="00862909">
        <w:rPr>
          <w:b/>
          <w:bCs/>
        </w:rPr>
        <w:t>:</w:t>
      </w:r>
      <w:r w:rsidR="008F2588">
        <w:rPr>
          <w:b/>
          <w:bCs/>
        </w:rPr>
        <w:t xml:space="preserve"> </w:t>
      </w:r>
      <w:r w:rsidR="002028F9">
        <w:rPr>
          <w:b/>
          <w:bCs/>
        </w:rPr>
        <w:t>Generation of modified delta configuration which can be used after successive cell changes based on current configuration</w:t>
      </w:r>
    </w:p>
    <w:p w14:paraId="734EC26A" w14:textId="29C1710F" w:rsidR="0065774F" w:rsidRDefault="00F95B31" w:rsidP="0065774F">
      <w:r>
        <w:lastRenderedPageBreak/>
        <w:t>T</w:t>
      </w:r>
      <w:r w:rsidR="002028F9">
        <w:t>he UE stores the current cell configuration</w:t>
      </w:r>
      <w:r w:rsidR="00705A25">
        <w:t xml:space="preserve"> (at the time of SAS configuration)</w:t>
      </w:r>
      <w:r w:rsidR="002028F9">
        <w:t xml:space="preserve"> as a baseline configuration for the delta configuration. In this case for every successive cell change, the UE can first restore the baseline configuration and apply the delta configuration over this baseline configuration over this configuration. This two-step procedure at UE will </w:t>
      </w:r>
      <w:r w:rsidR="005314A4">
        <w:t>enable application of</w:t>
      </w:r>
      <w:r w:rsidR="002028F9">
        <w:t xml:space="preserve"> the </w:t>
      </w:r>
      <w:r w:rsidR="005314A4">
        <w:t>correct</w:t>
      </w:r>
      <w:r w:rsidR="002028F9">
        <w:t xml:space="preserve"> target cell configuration after mobility. But the UE need to restore to the baseline configuration as a ‘Full-configuration’. This </w:t>
      </w:r>
      <w:r w:rsidR="00705A25">
        <w:t>may</w:t>
      </w:r>
      <w:r w:rsidR="002028F9">
        <w:t xml:space="preserve"> lead to additional interruption and delay in switching to new configuration which is equivalent to </w:t>
      </w:r>
      <w:r w:rsidR="00075777">
        <w:t>applying the</w:t>
      </w:r>
      <w:r w:rsidR="002028F9">
        <w:t xml:space="preserve"> </w:t>
      </w:r>
      <w:r w:rsidR="00075777">
        <w:t>fu</w:t>
      </w:r>
      <w:r w:rsidR="002028F9">
        <w:t>ll</w:t>
      </w:r>
      <w:r w:rsidR="00075777">
        <w:t xml:space="preserve"> </w:t>
      </w:r>
      <w:r w:rsidR="002028F9">
        <w:t>configuration of target cell.</w:t>
      </w:r>
    </w:p>
    <w:p w14:paraId="520A449E" w14:textId="1E7E9A0D" w:rsidR="002028F9" w:rsidRDefault="002028F9" w:rsidP="0065774F">
      <w:r>
        <w:t xml:space="preserve">It is possible to avoid above problem of applying </w:t>
      </w:r>
      <w:r w:rsidR="00075777">
        <w:t>f</w:t>
      </w:r>
      <w:r>
        <w:t>ull</w:t>
      </w:r>
      <w:r w:rsidR="00075777">
        <w:t xml:space="preserve"> </w:t>
      </w:r>
      <w:r>
        <w:t xml:space="preserve">configuration of baseline configuration, if the UE can generate </w:t>
      </w:r>
      <w:r w:rsidR="00075777">
        <w:t xml:space="preserve">a </w:t>
      </w:r>
      <w:r>
        <w:t>modified delta</w:t>
      </w:r>
      <w:r w:rsidR="00075777">
        <w:t xml:space="preserve"> </w:t>
      </w:r>
      <w:r>
        <w:t xml:space="preserve">configuration of all target cells </w:t>
      </w:r>
      <w:r w:rsidR="00075777">
        <w:t xml:space="preserve">that </w:t>
      </w:r>
      <w:r>
        <w:t xml:space="preserve">consists of </w:t>
      </w:r>
      <w:r w:rsidR="00EA00B1">
        <w:t>all the parameters affected by all the delta configuration when it receives the delta</w:t>
      </w:r>
      <w:r w:rsidR="00075777">
        <w:t xml:space="preserve"> </w:t>
      </w:r>
      <w:r w:rsidR="00EA00B1">
        <w:t xml:space="preserve">configurations. </w:t>
      </w:r>
      <w:r w:rsidR="00B01B1A">
        <w:t xml:space="preserve">The modified delta configuration would be source cell specific and can be applied directly on the current cell configuration at the time of SAS execution. </w:t>
      </w:r>
      <w:r w:rsidR="00EA00B1">
        <w:t>This solution is illustrated using the following example.</w:t>
      </w:r>
    </w:p>
    <w:p w14:paraId="2F854E40" w14:textId="79E8974C" w:rsidR="0065774F" w:rsidRDefault="0065774F" w:rsidP="0065774F">
      <w:r>
        <w:t xml:space="preserve">Example </w:t>
      </w:r>
      <w:r w:rsidR="00B01B1A">
        <w:t>scenario:</w:t>
      </w:r>
    </w:p>
    <w:p w14:paraId="2817BCE7" w14:textId="77777777" w:rsidR="0065774F" w:rsidRDefault="0065774F" w:rsidP="00963F83">
      <w:pPr>
        <w:pStyle w:val="ListParagraph"/>
        <w:numPr>
          <w:ilvl w:val="0"/>
          <w:numId w:val="13"/>
        </w:numPr>
      </w:pPr>
      <w:r>
        <w:t>UE is in dual connectivity with serving PSCell A.</w:t>
      </w:r>
    </w:p>
    <w:p w14:paraId="31B6A09E" w14:textId="2791BD61" w:rsidR="0065774F" w:rsidRDefault="0065774F" w:rsidP="00963F83">
      <w:pPr>
        <w:pStyle w:val="ListParagraph"/>
        <w:numPr>
          <w:ilvl w:val="0"/>
          <w:numId w:val="13"/>
        </w:numPr>
      </w:pPr>
      <w:r>
        <w:t xml:space="preserve">Based on measurement report, the target </w:t>
      </w:r>
      <w:r w:rsidR="00167326">
        <w:t>PSC</w:t>
      </w:r>
      <w:r>
        <w:t>ells B</w:t>
      </w:r>
      <w:r w:rsidR="00093FB9">
        <w:t xml:space="preserve">, </w:t>
      </w:r>
      <w:r>
        <w:t xml:space="preserve">C and D are prepared as delta configuration as per current specifications. </w:t>
      </w:r>
    </w:p>
    <w:p w14:paraId="463C97CD" w14:textId="77777777" w:rsidR="0065774F" w:rsidRDefault="0065774F" w:rsidP="00963F83">
      <w:pPr>
        <w:pStyle w:val="ListParagraph"/>
        <w:numPr>
          <w:ilvl w:val="0"/>
          <w:numId w:val="13"/>
        </w:numPr>
      </w:pPr>
      <w:r>
        <w:t>The parameter list of each delta-configurations is given here as example</w:t>
      </w:r>
    </w:p>
    <w:p w14:paraId="1D987B7A" w14:textId="1D1B09FB" w:rsidR="0065774F" w:rsidRDefault="0065774F" w:rsidP="00963F83">
      <w:pPr>
        <w:pStyle w:val="ListParagraph"/>
        <w:numPr>
          <w:ilvl w:val="1"/>
          <w:numId w:val="13"/>
        </w:numPr>
      </w:pPr>
      <w:r>
        <w:t xml:space="preserve">Target cell B: Modifies parameter X and Y with value X1 and Y1. </w:t>
      </w:r>
    </w:p>
    <w:p w14:paraId="7DC5AF4A" w14:textId="77777777" w:rsidR="0065774F" w:rsidRDefault="0065774F" w:rsidP="00963F83">
      <w:pPr>
        <w:pStyle w:val="ListParagraph"/>
        <w:numPr>
          <w:ilvl w:val="2"/>
          <w:numId w:val="13"/>
        </w:numPr>
      </w:pPr>
      <w:r>
        <w:t>The current value in source configuration is X0 and Y0.</w:t>
      </w:r>
    </w:p>
    <w:p w14:paraId="23E29E06" w14:textId="7F3437A3" w:rsidR="0065774F" w:rsidRDefault="0065774F" w:rsidP="00963F83">
      <w:pPr>
        <w:pStyle w:val="ListParagraph"/>
        <w:numPr>
          <w:ilvl w:val="1"/>
          <w:numId w:val="13"/>
        </w:numPr>
      </w:pPr>
      <w:r>
        <w:t xml:space="preserve">Target cell C: Modifies parameter U and V with value U1 and V1. </w:t>
      </w:r>
    </w:p>
    <w:p w14:paraId="47D514A3" w14:textId="782DA8B1" w:rsidR="0065774F" w:rsidRDefault="0065774F" w:rsidP="00963F83">
      <w:pPr>
        <w:pStyle w:val="ListParagraph"/>
        <w:numPr>
          <w:ilvl w:val="2"/>
          <w:numId w:val="13"/>
        </w:numPr>
      </w:pPr>
      <w:r>
        <w:t xml:space="preserve">The current value in source configuration is </w:t>
      </w:r>
      <w:r w:rsidR="0042400E">
        <w:t>U</w:t>
      </w:r>
      <w:r>
        <w:t xml:space="preserve">0 and </w:t>
      </w:r>
      <w:r w:rsidR="0042400E">
        <w:t>V</w:t>
      </w:r>
      <w:r>
        <w:t>0.</w:t>
      </w:r>
    </w:p>
    <w:p w14:paraId="54857D7E" w14:textId="0AAD8225" w:rsidR="0065774F" w:rsidRDefault="0065774F" w:rsidP="00963F83">
      <w:pPr>
        <w:pStyle w:val="ListParagraph"/>
        <w:numPr>
          <w:ilvl w:val="1"/>
          <w:numId w:val="13"/>
        </w:numPr>
      </w:pPr>
      <w:r>
        <w:t>Target cell D:  Modifies parameter M and N with value M1 and N1.</w:t>
      </w:r>
    </w:p>
    <w:p w14:paraId="202C212B" w14:textId="77777777" w:rsidR="0065774F" w:rsidRDefault="0065774F" w:rsidP="00963F83">
      <w:pPr>
        <w:pStyle w:val="ListParagraph"/>
        <w:numPr>
          <w:ilvl w:val="2"/>
          <w:numId w:val="13"/>
        </w:numPr>
      </w:pPr>
      <w:r>
        <w:t>The current value in source configuration is M0 and N0.</w:t>
      </w:r>
    </w:p>
    <w:p w14:paraId="26D5DC1D" w14:textId="62C59D58" w:rsidR="008372D4" w:rsidRDefault="0065774F" w:rsidP="0065774F">
      <w:r>
        <w:t>Based on the affected parameters of each delta configuration, UE can generate set of parameters to be used for generating new delta-configuration which can be referred as delta-configuration-sel-activation as below.  The delta-configuration-sel-act will consists of parameters X,</w:t>
      </w:r>
      <w:r w:rsidR="00167326">
        <w:t xml:space="preserve"> </w:t>
      </w:r>
      <w:r>
        <w:t>Y,</w:t>
      </w:r>
      <w:r w:rsidR="00167326">
        <w:t xml:space="preserve"> </w:t>
      </w:r>
      <w:r>
        <w:t>U,</w:t>
      </w:r>
      <w:r w:rsidR="00167326">
        <w:t xml:space="preserve"> </w:t>
      </w:r>
      <w:r>
        <w:t xml:space="preserve">V, M and N.  </w:t>
      </w:r>
    </w:p>
    <w:p w14:paraId="52747262" w14:textId="2528ABF4" w:rsidR="008372D4" w:rsidRDefault="008372D4" w:rsidP="008372D4">
      <w:pPr>
        <w:pStyle w:val="ListParagraph"/>
        <w:numPr>
          <w:ilvl w:val="0"/>
          <w:numId w:val="13"/>
        </w:numPr>
      </w:pPr>
      <w:r>
        <w:t>The parameter list of each delta-configuration-sel-act is given here as example</w:t>
      </w:r>
    </w:p>
    <w:p w14:paraId="3914CCC3" w14:textId="77777777" w:rsidR="008372D4" w:rsidRDefault="008372D4" w:rsidP="008372D4">
      <w:pPr>
        <w:pStyle w:val="ListParagraph"/>
        <w:numPr>
          <w:ilvl w:val="1"/>
          <w:numId w:val="13"/>
        </w:numPr>
      </w:pPr>
      <w:r>
        <w:t xml:space="preserve">Delta for Target cell B: </w:t>
      </w:r>
    </w:p>
    <w:p w14:paraId="5854F982" w14:textId="2586A280" w:rsidR="008372D4" w:rsidRDefault="008372D4" w:rsidP="0085586F">
      <w:pPr>
        <w:pStyle w:val="ListParagraph"/>
        <w:numPr>
          <w:ilvl w:val="2"/>
          <w:numId w:val="13"/>
        </w:numPr>
      </w:pPr>
      <w:r>
        <w:t xml:space="preserve">Modifies parameter X and Y with value X1 and Y1. </w:t>
      </w:r>
    </w:p>
    <w:p w14:paraId="203C72CB" w14:textId="77777777" w:rsidR="008372D4" w:rsidRDefault="008372D4" w:rsidP="008372D4">
      <w:pPr>
        <w:pStyle w:val="ListParagraph"/>
        <w:numPr>
          <w:ilvl w:val="2"/>
          <w:numId w:val="13"/>
        </w:numPr>
      </w:pPr>
      <w:r>
        <w:t>Modifies parameter U and V with value U0 and V0.</w:t>
      </w:r>
    </w:p>
    <w:p w14:paraId="75468861" w14:textId="5E1999ED" w:rsidR="008372D4" w:rsidRDefault="008372D4" w:rsidP="0085586F">
      <w:pPr>
        <w:pStyle w:val="ListParagraph"/>
        <w:numPr>
          <w:ilvl w:val="2"/>
          <w:numId w:val="13"/>
        </w:numPr>
      </w:pPr>
      <w:r>
        <w:t xml:space="preserve">Modifies parameter M and N with value M0 and N0.  </w:t>
      </w:r>
    </w:p>
    <w:p w14:paraId="7EFE90C8" w14:textId="77777777" w:rsidR="008372D4" w:rsidRDefault="008372D4" w:rsidP="008372D4">
      <w:pPr>
        <w:pStyle w:val="ListParagraph"/>
        <w:numPr>
          <w:ilvl w:val="1"/>
          <w:numId w:val="13"/>
        </w:numPr>
      </w:pPr>
      <w:r>
        <w:t xml:space="preserve">Delta for Target cell C: </w:t>
      </w:r>
    </w:p>
    <w:p w14:paraId="07053E86" w14:textId="46E95F09" w:rsidR="008372D4" w:rsidRDefault="008372D4" w:rsidP="008372D4">
      <w:pPr>
        <w:pStyle w:val="ListParagraph"/>
        <w:numPr>
          <w:ilvl w:val="2"/>
          <w:numId w:val="13"/>
        </w:numPr>
      </w:pPr>
      <w:r>
        <w:t xml:space="preserve">Modifies parameter X and Y with value X0 and Y0. </w:t>
      </w:r>
    </w:p>
    <w:p w14:paraId="6F3C4383" w14:textId="7B6BDFEE" w:rsidR="008372D4" w:rsidRDefault="008372D4" w:rsidP="008372D4">
      <w:pPr>
        <w:pStyle w:val="ListParagraph"/>
        <w:numPr>
          <w:ilvl w:val="2"/>
          <w:numId w:val="13"/>
        </w:numPr>
      </w:pPr>
      <w:r>
        <w:t>Modifies parameter U and V with value U1 and V1.</w:t>
      </w:r>
    </w:p>
    <w:p w14:paraId="75F6F890" w14:textId="77777777" w:rsidR="008372D4" w:rsidRDefault="008372D4" w:rsidP="008372D4">
      <w:pPr>
        <w:pStyle w:val="ListParagraph"/>
        <w:numPr>
          <w:ilvl w:val="2"/>
          <w:numId w:val="13"/>
        </w:numPr>
      </w:pPr>
      <w:r>
        <w:t xml:space="preserve">Modifies parameter M and N with value M0 and N0.  </w:t>
      </w:r>
    </w:p>
    <w:p w14:paraId="211787EC" w14:textId="3252D369" w:rsidR="008372D4" w:rsidRDefault="008372D4" w:rsidP="008372D4">
      <w:pPr>
        <w:pStyle w:val="ListParagraph"/>
        <w:numPr>
          <w:ilvl w:val="1"/>
          <w:numId w:val="13"/>
        </w:numPr>
      </w:pPr>
      <w:r>
        <w:t xml:space="preserve">Delta for Target cell D:  </w:t>
      </w:r>
    </w:p>
    <w:p w14:paraId="1EC63E61" w14:textId="387FF9A8" w:rsidR="008372D4" w:rsidRDefault="008372D4" w:rsidP="008372D4">
      <w:pPr>
        <w:pStyle w:val="ListParagraph"/>
        <w:numPr>
          <w:ilvl w:val="2"/>
          <w:numId w:val="13"/>
        </w:numPr>
      </w:pPr>
      <w:r>
        <w:t xml:space="preserve">Modifies parameter X and Y with value X0 and Y0. </w:t>
      </w:r>
    </w:p>
    <w:p w14:paraId="3653DA51" w14:textId="77777777" w:rsidR="008372D4" w:rsidRDefault="008372D4" w:rsidP="008372D4">
      <w:pPr>
        <w:pStyle w:val="ListParagraph"/>
        <w:numPr>
          <w:ilvl w:val="2"/>
          <w:numId w:val="13"/>
        </w:numPr>
      </w:pPr>
      <w:r>
        <w:t>Modifies parameter U and V with value U0 and V0.</w:t>
      </w:r>
    </w:p>
    <w:p w14:paraId="49EB2F6A" w14:textId="2DBC7694" w:rsidR="008372D4" w:rsidRDefault="008372D4" w:rsidP="008372D4">
      <w:pPr>
        <w:pStyle w:val="ListParagraph"/>
        <w:numPr>
          <w:ilvl w:val="2"/>
          <w:numId w:val="13"/>
        </w:numPr>
      </w:pPr>
      <w:r>
        <w:t xml:space="preserve">Modifies parameter M and N with value M1 and N1.  </w:t>
      </w:r>
    </w:p>
    <w:p w14:paraId="580132A8" w14:textId="633948B2" w:rsidR="0065774F" w:rsidRDefault="0065774F" w:rsidP="0065774F">
      <w:r>
        <w:t xml:space="preserve">The new values in these parameters are populated from the received delta configurations. Remaining values are taken from the current source configuration. </w:t>
      </w:r>
    </w:p>
    <w:p w14:paraId="41012E2C" w14:textId="1E312CF1" w:rsidR="0065774F" w:rsidRDefault="0065774F" w:rsidP="0065774F">
      <w:r>
        <w:t xml:space="preserve">The </w:t>
      </w:r>
      <w:r w:rsidR="00EA00B1">
        <w:t xml:space="preserve">modified </w:t>
      </w:r>
      <w:r>
        <w:t xml:space="preserve">delta-configurations generated in this approach will contain same set of parameters. Now if the UE applies </w:t>
      </w:r>
      <w:r w:rsidR="008F2588">
        <w:t>this configuration</w:t>
      </w:r>
      <w:r>
        <w:t xml:space="preserve"> after initial cell-change, there will not be </w:t>
      </w:r>
      <w:r w:rsidR="008F2588">
        <w:t xml:space="preserve">a </w:t>
      </w:r>
      <w:r>
        <w:t xml:space="preserve">mismatch because the source configuration parameters which are over-written due to cell change is restored in the new </w:t>
      </w:r>
      <w:r w:rsidR="0013523A">
        <w:t>delta configuration</w:t>
      </w:r>
      <w:r>
        <w:t xml:space="preserve"> containing the source configuration values.</w:t>
      </w:r>
    </w:p>
    <w:p w14:paraId="2C5F87FA" w14:textId="1CDD4B3B" w:rsidR="0013523A" w:rsidRDefault="0013523A" w:rsidP="0013523A">
      <w:pPr>
        <w:rPr>
          <w:b/>
          <w:bCs/>
        </w:rPr>
      </w:pPr>
      <w:r w:rsidRPr="00862909">
        <w:rPr>
          <w:b/>
          <w:bCs/>
        </w:rPr>
        <w:t xml:space="preserve">Candidate Solution </w:t>
      </w:r>
      <w:r>
        <w:rPr>
          <w:b/>
          <w:bCs/>
        </w:rPr>
        <w:t>3</w:t>
      </w:r>
      <w:r w:rsidRPr="00862909">
        <w:rPr>
          <w:b/>
          <w:bCs/>
        </w:rPr>
        <w:t xml:space="preserve">: </w:t>
      </w:r>
      <w:r>
        <w:rPr>
          <w:b/>
          <w:bCs/>
        </w:rPr>
        <w:t>Nested CPAC configuration.</w:t>
      </w:r>
    </w:p>
    <w:p w14:paraId="709BC76F" w14:textId="59E5395D" w:rsidR="00EA00B1" w:rsidRDefault="00722DBF" w:rsidP="0013523A">
      <w:r>
        <w:t>The use</w:t>
      </w:r>
      <w:r w:rsidR="00EA00B1">
        <w:t xml:space="preserve"> of delta configuration for selective activation can also be supported if each Target cell prepares another CPAC configuration containing </w:t>
      </w:r>
      <w:r>
        <w:t>delta configurations</w:t>
      </w:r>
      <w:r w:rsidR="00EA00B1">
        <w:t xml:space="preserve"> with the target cell as reference configuration. In this case towards UE there will be</w:t>
      </w:r>
      <w:r w:rsidR="00C63653">
        <w:t xml:space="preserve"> at least</w:t>
      </w:r>
      <w:r w:rsidR="00EA00B1">
        <w:t xml:space="preserve"> N*N target configurations</w:t>
      </w:r>
      <w:r w:rsidR="002A4359">
        <w:t xml:space="preserve"> </w:t>
      </w:r>
      <w:r w:rsidR="00EA00B1">
        <w:t xml:space="preserve">assuming all the target cells are maintained for selective activation for each target cell. This increases the signalling </w:t>
      </w:r>
      <w:r w:rsidR="000E5CC1">
        <w:t>overhead</w:t>
      </w:r>
      <w:r w:rsidR="00EA00B1">
        <w:t xml:space="preserve"> and also storage overhead at UE for selective activation.  Within network, for Inter-SN scenario the nested configuration approach requires multiple preparation triggered from each target cell towards other cells. Network also need</w:t>
      </w:r>
      <w:r w:rsidR="00D84506">
        <w:t>s</w:t>
      </w:r>
      <w:r w:rsidR="00EA00B1">
        <w:t xml:space="preserve"> to maintain multiple configurations at each SN for incoming mobility from all other target cells. </w:t>
      </w:r>
    </w:p>
    <w:p w14:paraId="1B104A21" w14:textId="56FDE78B" w:rsidR="00EA00B1" w:rsidRDefault="00EA00B1" w:rsidP="0013523A">
      <w:r>
        <w:t>The pros and cons including specification impacts of the candidate solutions are captured in below Table.</w:t>
      </w:r>
    </w:p>
    <w:tbl>
      <w:tblPr>
        <w:tblStyle w:val="TableGrid"/>
        <w:tblW w:w="0" w:type="auto"/>
        <w:tblLook w:val="04A0" w:firstRow="1" w:lastRow="0" w:firstColumn="1" w:lastColumn="0" w:noHBand="0" w:noVBand="1"/>
      </w:tblPr>
      <w:tblGrid>
        <w:gridCol w:w="1413"/>
        <w:gridCol w:w="3402"/>
        <w:gridCol w:w="2408"/>
        <w:gridCol w:w="2408"/>
      </w:tblGrid>
      <w:tr w:rsidR="00776CBA" w14:paraId="06939808" w14:textId="77777777" w:rsidTr="0085586F">
        <w:tc>
          <w:tcPr>
            <w:tcW w:w="1413" w:type="dxa"/>
          </w:tcPr>
          <w:p w14:paraId="27F8AD60" w14:textId="77777777" w:rsidR="00776CBA" w:rsidRPr="00722DBF" w:rsidRDefault="00776CBA" w:rsidP="0013523A"/>
        </w:tc>
        <w:tc>
          <w:tcPr>
            <w:tcW w:w="3402" w:type="dxa"/>
          </w:tcPr>
          <w:p w14:paraId="0A2006E2" w14:textId="127A3821" w:rsidR="00776CBA" w:rsidRPr="00722DBF" w:rsidRDefault="00776CBA" w:rsidP="0013523A">
            <w:r w:rsidRPr="00722DBF">
              <w:t>Advantages</w:t>
            </w:r>
          </w:p>
        </w:tc>
        <w:tc>
          <w:tcPr>
            <w:tcW w:w="2408" w:type="dxa"/>
          </w:tcPr>
          <w:p w14:paraId="09B4B8C3" w14:textId="0A0FA1BA" w:rsidR="00776CBA" w:rsidRPr="00722DBF" w:rsidRDefault="00776CBA" w:rsidP="0013523A">
            <w:r w:rsidRPr="00722DBF">
              <w:t>Challenges</w:t>
            </w:r>
          </w:p>
        </w:tc>
        <w:tc>
          <w:tcPr>
            <w:tcW w:w="2408" w:type="dxa"/>
          </w:tcPr>
          <w:p w14:paraId="7520CE34" w14:textId="3A4FB92B" w:rsidR="00776CBA" w:rsidRPr="00722DBF" w:rsidRDefault="00776CBA" w:rsidP="0013523A">
            <w:r w:rsidRPr="00722DBF">
              <w:t>Specification Impacts</w:t>
            </w:r>
          </w:p>
        </w:tc>
      </w:tr>
      <w:tr w:rsidR="00776CBA" w14:paraId="1805B65D" w14:textId="77777777" w:rsidTr="0085586F">
        <w:tc>
          <w:tcPr>
            <w:tcW w:w="1413" w:type="dxa"/>
          </w:tcPr>
          <w:p w14:paraId="3C77B605" w14:textId="025A6C02" w:rsidR="00776CBA" w:rsidRPr="00722DBF" w:rsidRDefault="00776CBA" w:rsidP="0013523A">
            <w:r w:rsidRPr="00722DBF">
              <w:t>Solution 1</w:t>
            </w:r>
          </w:p>
        </w:tc>
        <w:tc>
          <w:tcPr>
            <w:tcW w:w="3402" w:type="dxa"/>
          </w:tcPr>
          <w:p w14:paraId="578EBF39" w14:textId="45418B15" w:rsidR="00776CBA" w:rsidRPr="00722DBF" w:rsidRDefault="00776CBA" w:rsidP="0013523A">
            <w:r w:rsidRPr="00722DBF">
              <w:t>The simple solution for successive execution for selective activation as UE only modifies the delta configuration during cell switching</w:t>
            </w:r>
          </w:p>
        </w:tc>
        <w:tc>
          <w:tcPr>
            <w:tcW w:w="2408" w:type="dxa"/>
          </w:tcPr>
          <w:p w14:paraId="67627F51" w14:textId="77777777" w:rsidR="00776CBA" w:rsidRPr="00722DBF" w:rsidRDefault="00776CBA" w:rsidP="0013523A">
            <w:r w:rsidRPr="00722DBF">
              <w:t>For Inter-SN scenario, the common reference configuration needs to be coordinated across nodes.</w:t>
            </w:r>
          </w:p>
          <w:p w14:paraId="1A4ACCA5" w14:textId="02B0D9D4" w:rsidR="00776CBA" w:rsidRPr="00722DBF" w:rsidRDefault="00776CBA" w:rsidP="0013523A">
            <w:r w:rsidRPr="00722DBF">
              <w:t>Restriction in configuration changes</w:t>
            </w:r>
          </w:p>
        </w:tc>
        <w:tc>
          <w:tcPr>
            <w:tcW w:w="2408" w:type="dxa"/>
          </w:tcPr>
          <w:p w14:paraId="42998EBD" w14:textId="03A353F1" w:rsidR="00776CBA" w:rsidRPr="00722DBF" w:rsidRDefault="00776CBA" w:rsidP="0013523A">
            <w:r w:rsidRPr="00722DBF">
              <w:t>Inter-node coordination for reference configuration. Mi</w:t>
            </w:r>
            <w:r w:rsidR="00722DBF" w:rsidRPr="00722DBF">
              <w:t>nor changes to RAN2 specification on use of reference configuration</w:t>
            </w:r>
          </w:p>
        </w:tc>
      </w:tr>
      <w:tr w:rsidR="00776CBA" w14:paraId="0E6C4C66" w14:textId="77777777" w:rsidTr="00776CBA">
        <w:tc>
          <w:tcPr>
            <w:tcW w:w="1413" w:type="dxa"/>
          </w:tcPr>
          <w:p w14:paraId="0947F7B7" w14:textId="6A5D06FA" w:rsidR="00776CBA" w:rsidRPr="00722DBF" w:rsidRDefault="00776CBA" w:rsidP="0013523A">
            <w:r w:rsidRPr="00722DBF">
              <w:t>Solution 2</w:t>
            </w:r>
          </w:p>
        </w:tc>
        <w:tc>
          <w:tcPr>
            <w:tcW w:w="3402" w:type="dxa"/>
          </w:tcPr>
          <w:p w14:paraId="28F6D5CA" w14:textId="7916D14F" w:rsidR="00776CBA" w:rsidRPr="00722DBF" w:rsidRDefault="00776CBA" w:rsidP="0013523A">
            <w:r w:rsidRPr="00722DBF">
              <w:t>Minimum or no impact to network as the preparation is similar to CPAC</w:t>
            </w:r>
          </w:p>
        </w:tc>
        <w:tc>
          <w:tcPr>
            <w:tcW w:w="2408" w:type="dxa"/>
          </w:tcPr>
          <w:p w14:paraId="2074639A" w14:textId="6CFB6A4F" w:rsidR="00776CBA" w:rsidRPr="00722DBF" w:rsidRDefault="00776CBA" w:rsidP="0013523A">
            <w:r w:rsidRPr="00722DBF">
              <w:t>UE need</w:t>
            </w:r>
            <w:r w:rsidR="004A1614">
              <w:t>s</w:t>
            </w:r>
            <w:r w:rsidRPr="00722DBF">
              <w:t xml:space="preserve"> to generate modified delta configuration which can be used for successive cell-changes. Only minor impacts to UE specification</w:t>
            </w:r>
          </w:p>
        </w:tc>
        <w:tc>
          <w:tcPr>
            <w:tcW w:w="2408" w:type="dxa"/>
          </w:tcPr>
          <w:p w14:paraId="2C1DCDC8" w14:textId="007B9D84" w:rsidR="00776CBA" w:rsidRPr="00722DBF" w:rsidRDefault="00776CBA" w:rsidP="0013523A">
            <w:r w:rsidRPr="00722DBF">
              <w:t>UE specification impacts</w:t>
            </w:r>
          </w:p>
        </w:tc>
      </w:tr>
      <w:tr w:rsidR="00722DBF" w14:paraId="0F7C63A2" w14:textId="77777777" w:rsidTr="00776CBA">
        <w:tc>
          <w:tcPr>
            <w:tcW w:w="1413" w:type="dxa"/>
          </w:tcPr>
          <w:p w14:paraId="1B033778" w14:textId="4E827146" w:rsidR="00722DBF" w:rsidRPr="00722DBF" w:rsidRDefault="00722DBF" w:rsidP="0013523A">
            <w:r w:rsidRPr="00722DBF">
              <w:t>Solution 3</w:t>
            </w:r>
          </w:p>
        </w:tc>
        <w:tc>
          <w:tcPr>
            <w:tcW w:w="3402" w:type="dxa"/>
          </w:tcPr>
          <w:p w14:paraId="6573AC2A" w14:textId="51B41E08" w:rsidR="00722DBF" w:rsidRPr="00722DBF" w:rsidRDefault="00722DBF" w:rsidP="0013523A">
            <w:r w:rsidRPr="00722DBF">
              <w:t>Reuse of existing CPAC signalling procedure.</w:t>
            </w:r>
          </w:p>
        </w:tc>
        <w:tc>
          <w:tcPr>
            <w:tcW w:w="2408" w:type="dxa"/>
          </w:tcPr>
          <w:p w14:paraId="7ADAB1AD" w14:textId="77777777" w:rsidR="00722DBF" w:rsidRPr="00722DBF" w:rsidRDefault="00722DBF" w:rsidP="00722DBF">
            <w:r w:rsidRPr="00722DBF">
              <w:t>Nested preparations needed within network for selective activation. Increases the signaling procedures and delay in preparation of target cell configurations.</w:t>
            </w:r>
          </w:p>
          <w:p w14:paraId="1A6B3626" w14:textId="77777777" w:rsidR="00722DBF" w:rsidRPr="00722DBF" w:rsidRDefault="00722DBF" w:rsidP="00722DBF">
            <w:r w:rsidRPr="00722DBF">
              <w:t>UE storage impacts as large number of configurations needed for same target-cell.</w:t>
            </w:r>
          </w:p>
          <w:p w14:paraId="21A0C298" w14:textId="358D994A" w:rsidR="00722DBF" w:rsidRPr="00722DBF" w:rsidRDefault="00722DBF">
            <w:r w:rsidRPr="00722DBF">
              <w:t>Change of RRC-Reconfiguration requires significant change in repreparing the nested configurations.</w:t>
            </w:r>
          </w:p>
        </w:tc>
        <w:tc>
          <w:tcPr>
            <w:tcW w:w="2408" w:type="dxa"/>
          </w:tcPr>
          <w:p w14:paraId="2F55F3F2" w14:textId="7530005C" w:rsidR="00722DBF" w:rsidRPr="00722DBF" w:rsidRDefault="00722DBF" w:rsidP="0013523A">
            <w:r>
              <w:t>Minor changes to RAN2. RAN3 spec impacts to enable multiple preparation of same target cells.</w:t>
            </w:r>
          </w:p>
        </w:tc>
      </w:tr>
    </w:tbl>
    <w:p w14:paraId="65A8A28D" w14:textId="4D8AB611" w:rsidR="00EA00B1" w:rsidRDefault="00EA00B1" w:rsidP="0013523A"/>
    <w:p w14:paraId="5D7792B3" w14:textId="0F8F7F05" w:rsidR="00722DBF" w:rsidRDefault="00722DBF" w:rsidP="0013523A">
      <w:r>
        <w:t>As per the above analysis the functionality and performance impacts of nested configuration is very high compared to other two solutions, we propose to exclude the nested CPAC configuration as solution for supporting delta-configuration.</w:t>
      </w:r>
    </w:p>
    <w:p w14:paraId="0F08A488" w14:textId="5F52B4F0" w:rsidR="00722DBF" w:rsidRPr="00722DBF" w:rsidRDefault="00722DBF" w:rsidP="0013523A">
      <w:pPr>
        <w:rPr>
          <w:b/>
          <w:bCs/>
        </w:rPr>
      </w:pPr>
      <w:r w:rsidRPr="0085586F">
        <w:rPr>
          <w:b/>
          <w:bCs/>
        </w:rPr>
        <w:t xml:space="preserve">Proposal </w:t>
      </w:r>
      <w:r w:rsidR="0085586F">
        <w:rPr>
          <w:b/>
          <w:bCs/>
        </w:rPr>
        <w:t>1</w:t>
      </w:r>
      <w:r w:rsidRPr="0085586F">
        <w:rPr>
          <w:b/>
          <w:bCs/>
        </w:rPr>
        <w:t>: Nested CPAC configuration is not considered for selective activation</w:t>
      </w:r>
    </w:p>
    <w:p w14:paraId="4E2BEF1A" w14:textId="77777777" w:rsidR="00987D03" w:rsidRDefault="00987D03" w:rsidP="00987D03">
      <w:pPr>
        <w:rPr>
          <w:b/>
          <w:bCs/>
        </w:rPr>
      </w:pPr>
      <w:r>
        <w:rPr>
          <w:b/>
          <w:bCs/>
        </w:rPr>
        <w:t>Proposal 2: RAN2 to down-select between the use of common reference configuration (Solutio-1) and UE-modification of delta-configuration (Solution-2) as the solution for using delta configurations for successive cell changes.</w:t>
      </w:r>
    </w:p>
    <w:p w14:paraId="745EF33E" w14:textId="397A7AB5" w:rsidR="0013523A" w:rsidRDefault="0013523A" w:rsidP="0013523A">
      <w:pPr>
        <w:pStyle w:val="Heading2"/>
      </w:pPr>
      <w:r>
        <w:t>2.2 Maintenance of candidate cells of selective activation</w:t>
      </w:r>
      <w:r w:rsidR="00963F83">
        <w:t xml:space="preserve"> </w:t>
      </w:r>
    </w:p>
    <w:p w14:paraId="38C3DD55" w14:textId="77777777" w:rsidR="00D3133A" w:rsidRDefault="00722DBF" w:rsidP="00722DBF">
      <w:r>
        <w:t xml:space="preserve">The target cells for selective activation are selected based on UE measurement report. For SN initiated </w:t>
      </w:r>
      <w:r w:rsidR="00D3133A">
        <w:t xml:space="preserve">case, the measurement report provides suitable target cells which are better than the source cell (based on A3 event) suitable for selective activation. In case of MN-initiated selective activation, the target cells are derived based on measurement-reports received at MN.  In either case, all these initial list of cells need not be maintained for selective activation after initial cell-change. Only sub-set of these target cells are required for successive cell changes. </w:t>
      </w:r>
    </w:p>
    <w:p w14:paraId="5840B107" w14:textId="4D0ED54D" w:rsidR="00722DBF" w:rsidRDefault="00D3133A" w:rsidP="00722DBF">
      <w:r>
        <w:t xml:space="preserve">Each target cells prepared for CPAC can indicate the potential target cells needs to be maintained for immediate cell change as part of preparation. The target cells can provide this assistance information based on the mobility history related to PSCell changes and also the measurements of other target cells compared to its own radio condition reported in the measurements. </w:t>
      </w:r>
    </w:p>
    <w:p w14:paraId="4D19D97E" w14:textId="7C64A62B" w:rsidR="00D3133A" w:rsidRDefault="00D3133A" w:rsidP="00722DBF">
      <w:pPr>
        <w:rPr>
          <w:b/>
          <w:bCs/>
        </w:rPr>
      </w:pPr>
      <w:r w:rsidRPr="0085586F">
        <w:rPr>
          <w:b/>
          <w:bCs/>
        </w:rPr>
        <w:t xml:space="preserve">Observation </w:t>
      </w:r>
      <w:r w:rsidR="0085586F">
        <w:rPr>
          <w:b/>
          <w:bCs/>
        </w:rPr>
        <w:t>3</w:t>
      </w:r>
      <w:r w:rsidRPr="0085586F">
        <w:rPr>
          <w:b/>
          <w:bCs/>
        </w:rPr>
        <w:t>: The target cells for selective activation after initial CPAC can be different from the CPAC target cells</w:t>
      </w:r>
      <w:r>
        <w:rPr>
          <w:b/>
          <w:bCs/>
        </w:rPr>
        <w:t>.</w:t>
      </w:r>
    </w:p>
    <w:p w14:paraId="3129B813" w14:textId="29266180" w:rsidR="00D3133A" w:rsidRDefault="00D3133A" w:rsidP="00D3133A">
      <w:pPr>
        <w:rPr>
          <w:b/>
          <w:bCs/>
        </w:rPr>
      </w:pPr>
      <w:r w:rsidRPr="009A341E">
        <w:rPr>
          <w:b/>
          <w:bCs/>
        </w:rPr>
        <w:lastRenderedPageBreak/>
        <w:t xml:space="preserve">Observation </w:t>
      </w:r>
      <w:r w:rsidR="0085586F">
        <w:rPr>
          <w:b/>
          <w:bCs/>
        </w:rPr>
        <w:t>4</w:t>
      </w:r>
      <w:r w:rsidRPr="009A341E">
        <w:rPr>
          <w:b/>
          <w:bCs/>
        </w:rPr>
        <w:t xml:space="preserve">: </w:t>
      </w:r>
      <w:r>
        <w:rPr>
          <w:b/>
          <w:bCs/>
        </w:rPr>
        <w:t xml:space="preserve">Each Target cell of CPAC preparation can provide assistance information on their preferred </w:t>
      </w:r>
      <w:r w:rsidR="00425143">
        <w:rPr>
          <w:b/>
          <w:bCs/>
        </w:rPr>
        <w:t>target cells</w:t>
      </w:r>
      <w:r>
        <w:rPr>
          <w:b/>
          <w:bCs/>
        </w:rPr>
        <w:t xml:space="preserve"> for selective activation based on mobility history and measurement results.</w:t>
      </w:r>
    </w:p>
    <w:p w14:paraId="519E8D58" w14:textId="0E2103BD" w:rsidR="00D3133A" w:rsidRDefault="00D3133A" w:rsidP="00D3133A">
      <w:pPr>
        <w:rPr>
          <w:b/>
          <w:bCs/>
        </w:rPr>
      </w:pPr>
      <w:r>
        <w:rPr>
          <w:b/>
          <w:bCs/>
        </w:rPr>
        <w:t xml:space="preserve">Proposal </w:t>
      </w:r>
      <w:r w:rsidR="0085586F">
        <w:rPr>
          <w:b/>
          <w:bCs/>
        </w:rPr>
        <w:t>3</w:t>
      </w:r>
      <w:r>
        <w:rPr>
          <w:b/>
          <w:bCs/>
        </w:rPr>
        <w:t xml:space="preserve">: Assistance information of preferred </w:t>
      </w:r>
      <w:r w:rsidR="00425143">
        <w:rPr>
          <w:b/>
          <w:bCs/>
        </w:rPr>
        <w:t>cells for selective activation from each target-cell is indicated from SN to MN for selective activation.</w:t>
      </w:r>
    </w:p>
    <w:p w14:paraId="7455CCF8" w14:textId="5E92EDE4" w:rsidR="00D3133A" w:rsidRDefault="00425143" w:rsidP="00722DBF">
      <w:r>
        <w:t xml:space="preserve">Based on the assistance information received on the preferred cells for selective activation from each target cell, MN can indicate the list of configurations to be maintained after the first CPAC execution against each Target cell. When UE executes the first cell change from the current serving cell to new cell, the UE only </w:t>
      </w:r>
      <w:r w:rsidR="00987D03">
        <w:t>maintains</w:t>
      </w:r>
      <w:r>
        <w:t xml:space="preserve"> the configurations of target cells given for this cell as </w:t>
      </w:r>
      <w:r w:rsidR="00987D03">
        <w:t xml:space="preserve">a </w:t>
      </w:r>
      <w:r>
        <w:t>selective activation set and releases other target cell configurations.</w:t>
      </w:r>
    </w:p>
    <w:p w14:paraId="4294C570" w14:textId="2DD98214" w:rsidR="00425143" w:rsidRDefault="00425143" w:rsidP="00425143">
      <w:pPr>
        <w:rPr>
          <w:b/>
          <w:bCs/>
        </w:rPr>
      </w:pPr>
      <w:r>
        <w:rPr>
          <w:b/>
          <w:bCs/>
        </w:rPr>
        <w:t xml:space="preserve">Proposal </w:t>
      </w:r>
      <w:r w:rsidR="0085586F">
        <w:rPr>
          <w:b/>
          <w:bCs/>
        </w:rPr>
        <w:t>4</w:t>
      </w:r>
      <w:r>
        <w:rPr>
          <w:b/>
          <w:bCs/>
        </w:rPr>
        <w:t>: The selective activation set to be maintained after initial CPAC is indicated to UE for each Target-cell.</w:t>
      </w:r>
    </w:p>
    <w:p w14:paraId="0330FAEE" w14:textId="4272EB3C" w:rsidR="0013523A" w:rsidRDefault="0013523A" w:rsidP="0013523A">
      <w:pPr>
        <w:pStyle w:val="Heading2"/>
      </w:pPr>
      <w:r>
        <w:t>2.3 Measurements and Evaluation for selective activation</w:t>
      </w:r>
      <w:r w:rsidR="00963F83">
        <w:t xml:space="preserve"> </w:t>
      </w:r>
    </w:p>
    <w:p w14:paraId="5F2D78B3" w14:textId="38BEA228" w:rsidR="00F04DE4" w:rsidRPr="00A40F83" w:rsidRDefault="00F04DE4" w:rsidP="00F04DE4">
      <w:r>
        <w:t>The execution condition for PSCell change differs across the cells based on the coverage radius, overlapping region</w:t>
      </w:r>
      <w:r w:rsidR="00987D03">
        <w:t>,</w:t>
      </w:r>
      <w:r>
        <w:t xml:space="preserve"> and interference situations. For example, one cell may not have much interference in the </w:t>
      </w:r>
      <w:r w:rsidR="00987D03">
        <w:t>cell edges</w:t>
      </w:r>
      <w:r>
        <w:t xml:space="preserve"> and </w:t>
      </w:r>
      <w:r w:rsidR="00987D03">
        <w:t>RSRP-based</w:t>
      </w:r>
      <w:r>
        <w:t xml:space="preserve"> measurements will be sufficient for mobility whereas in </w:t>
      </w:r>
      <w:r w:rsidR="00987D03">
        <w:t>another cell</w:t>
      </w:r>
      <w:r>
        <w:t xml:space="preserve"> which </w:t>
      </w:r>
      <w:r w:rsidR="00987D03">
        <w:t>has</w:t>
      </w:r>
      <w:r>
        <w:t xml:space="preserve"> higher inter-cell interference at cell-edges RSRQ based measurements may be required. Even the threshold for conditional events and priority for execution may differ in each cell. </w:t>
      </w:r>
    </w:p>
    <w:p w14:paraId="6E7C4504" w14:textId="007ECC8D" w:rsidR="00F04DE4" w:rsidRDefault="00F04DE4" w:rsidP="00F04DE4">
      <w:r>
        <w:rPr>
          <w:b/>
          <w:bCs/>
        </w:rPr>
        <w:t xml:space="preserve">Observation </w:t>
      </w:r>
      <w:r w:rsidR="0085586F">
        <w:rPr>
          <w:b/>
          <w:bCs/>
        </w:rPr>
        <w:t>5</w:t>
      </w:r>
      <w:r w:rsidRPr="00944275">
        <w:rPr>
          <w:b/>
          <w:bCs/>
        </w:rPr>
        <w:t>:</w:t>
      </w:r>
      <w:r>
        <w:rPr>
          <w:b/>
          <w:bCs/>
        </w:rPr>
        <w:t xml:space="preserve"> </w:t>
      </w:r>
      <w:r w:rsidRPr="00AC425D">
        <w:rPr>
          <w:b/>
          <w:bCs/>
        </w:rPr>
        <w:t xml:space="preserve"> The CPC execution conditions for the prepared target cells can be different depending on the serving PSCell.</w:t>
      </w:r>
    </w:p>
    <w:p w14:paraId="30708A10" w14:textId="770FC5E6" w:rsidR="00F04DE4" w:rsidRDefault="00F04DE4" w:rsidP="00F04DE4">
      <w:pPr>
        <w:rPr>
          <w:b/>
          <w:bCs/>
        </w:rPr>
      </w:pPr>
      <w:r>
        <w:t xml:space="preserve">For changing evaluation </w:t>
      </w:r>
      <w:r w:rsidR="00987D03">
        <w:t>conditions</w:t>
      </w:r>
      <w:r>
        <w:t xml:space="preserve"> after UE switches to new cell, another RRC Reconfiguration to modify the measurement configuration will be needed. This will delay the consecutive execution until this new configuration is enabled at UE.  Additional mechanisms may be required to pre-configure these </w:t>
      </w:r>
      <w:r w:rsidR="00987D03">
        <w:t>cell-specific</w:t>
      </w:r>
      <w:r>
        <w:t xml:space="preserve"> execution conditions for SAS.</w:t>
      </w:r>
    </w:p>
    <w:p w14:paraId="686D58F5" w14:textId="6C4F9A1E" w:rsidR="00F04DE4" w:rsidRDefault="00F04DE4" w:rsidP="00F04DE4">
      <w:pPr>
        <w:rPr>
          <w:b/>
          <w:bCs/>
        </w:rPr>
      </w:pPr>
      <w:r w:rsidRPr="00FB00C4">
        <w:rPr>
          <w:b/>
          <w:bCs/>
        </w:rPr>
        <w:t xml:space="preserve">Proposal </w:t>
      </w:r>
      <w:r w:rsidR="0085586F">
        <w:rPr>
          <w:b/>
          <w:bCs/>
        </w:rPr>
        <w:t>5</w:t>
      </w:r>
      <w:r w:rsidRPr="00FB00C4">
        <w:rPr>
          <w:b/>
          <w:bCs/>
        </w:rPr>
        <w:t xml:space="preserve">: </w:t>
      </w:r>
      <w:r w:rsidRPr="00AC5C67">
        <w:rPr>
          <w:b/>
          <w:bCs/>
        </w:rPr>
        <w:t xml:space="preserve">For </w:t>
      </w:r>
      <w:r w:rsidRPr="00CE0AFC">
        <w:rPr>
          <w:b/>
          <w:bCs/>
        </w:rPr>
        <w:t xml:space="preserve">SAS </w:t>
      </w:r>
      <w:r w:rsidRPr="00AC5C67">
        <w:rPr>
          <w:b/>
          <w:bCs/>
        </w:rPr>
        <w:t xml:space="preserve">target </w:t>
      </w:r>
      <w:r w:rsidR="00987D03">
        <w:rPr>
          <w:b/>
          <w:bCs/>
        </w:rPr>
        <w:t>cell-specific</w:t>
      </w:r>
      <w:r w:rsidRPr="00AC5C67">
        <w:rPr>
          <w:b/>
          <w:bCs/>
        </w:rPr>
        <w:t xml:space="preserve"> execution conditions should be considered. FFS the details on enabling it without reconfiguration of the conditions after </w:t>
      </w:r>
      <w:r>
        <w:rPr>
          <w:b/>
          <w:bCs/>
        </w:rPr>
        <w:t>cell change</w:t>
      </w:r>
      <w:r w:rsidRPr="00AC5C67">
        <w:rPr>
          <w:b/>
          <w:bCs/>
        </w:rPr>
        <w:t>.</w:t>
      </w:r>
    </w:p>
    <w:p w14:paraId="74CE25DA" w14:textId="0CC16DC6" w:rsidR="00264B5B" w:rsidRDefault="00264B5B" w:rsidP="00264B5B">
      <w:r>
        <w:t xml:space="preserve">In Rel-17 CPAC, the source SCG configuration is replaced by the target configuration as part of CPAC execution and it is not preserved. In </w:t>
      </w:r>
      <w:r w:rsidR="00987D03">
        <w:t xml:space="preserve">the </w:t>
      </w:r>
      <w:r>
        <w:t xml:space="preserve">case of selective activation, the target cell configurations for which subsequent CPAC execution is possible should be maintained after initial execution. As the initial serving cell can also be a potential candidate cell for consecutive CPAC execution in some mobility scenarios, the UE should maintain the source configuration also for selective activation after initial execution. </w:t>
      </w:r>
      <w:r w:rsidR="00402529">
        <w:t>While UE keeps the source</w:t>
      </w:r>
      <w:r w:rsidR="00BD54E7">
        <w:t xml:space="preserve"> SCG for SAS the UE shouldn’t do any extra measurements to evaluate this SAS configuration. </w:t>
      </w:r>
    </w:p>
    <w:p w14:paraId="562E11BF" w14:textId="746479C2" w:rsidR="00923754" w:rsidRDefault="008A28AC" w:rsidP="00264B5B">
      <w:r>
        <w:t>For SAS</w:t>
      </w:r>
      <w:r w:rsidR="0009712C">
        <w:t xml:space="preserve"> UE </w:t>
      </w:r>
      <w:r>
        <w:t>might be</w:t>
      </w:r>
      <w:r w:rsidR="006C4BB7">
        <w:t xml:space="preserve"> configured with</w:t>
      </w:r>
      <w:r>
        <w:t xml:space="preserve"> all</w:t>
      </w:r>
      <w:r w:rsidR="006C4BB7">
        <w:t xml:space="preserve"> SAS </w:t>
      </w:r>
      <w:r>
        <w:t xml:space="preserve">candidate </w:t>
      </w:r>
      <w:r w:rsidR="006C4BB7">
        <w:t>cell</w:t>
      </w:r>
      <w:r>
        <w:t>s under the same PCell. Some of the configured cells may not be</w:t>
      </w:r>
      <w:r w:rsidR="006C4BB7">
        <w:t xml:space="preserve"> a direct neighbour to the </w:t>
      </w:r>
      <w:r w:rsidR="00C80963">
        <w:t>serving PSCell</w:t>
      </w:r>
      <w:r>
        <w:t xml:space="preserve">. Thus, </w:t>
      </w:r>
      <w:r w:rsidR="00C80963">
        <w:t>UE will never execute PSCell change to that PSCe</w:t>
      </w:r>
      <w:r>
        <w:t>ll from the current PSCell. From a</w:t>
      </w:r>
      <w:r w:rsidR="004C3307">
        <w:t xml:space="preserve">n energy efficiency point of view, UE </w:t>
      </w:r>
      <w:r w:rsidR="00217769">
        <w:t>might not have a</w:t>
      </w:r>
      <w:r w:rsidR="00AB060E">
        <w:t>n</w:t>
      </w:r>
      <w:r w:rsidR="00217769">
        <w:t xml:space="preserve"> </w:t>
      </w:r>
      <w:r w:rsidR="00AB060E">
        <w:t>execution condition for such cells.</w:t>
      </w:r>
    </w:p>
    <w:p w14:paraId="238F21DF" w14:textId="7BC5E887" w:rsidR="00264B5B" w:rsidRDefault="00264B5B" w:rsidP="00264B5B">
      <w:r w:rsidRPr="0085586F">
        <w:rPr>
          <w:b/>
          <w:bCs/>
        </w:rPr>
        <w:t xml:space="preserve">Proposal </w:t>
      </w:r>
      <w:r w:rsidR="0085586F">
        <w:rPr>
          <w:b/>
          <w:bCs/>
        </w:rPr>
        <w:t>6</w:t>
      </w:r>
      <w:r w:rsidRPr="0085586F">
        <w:rPr>
          <w:b/>
          <w:bCs/>
        </w:rPr>
        <w:t>:</w:t>
      </w:r>
      <w:r>
        <w:t xml:space="preserve"> </w:t>
      </w:r>
      <w:r w:rsidR="00DD2616" w:rsidRPr="0085586F">
        <w:rPr>
          <w:b/>
          <w:bCs/>
        </w:rPr>
        <w:t>T</w:t>
      </w:r>
      <w:r w:rsidR="008B5130" w:rsidRPr="00AC5C67">
        <w:rPr>
          <w:b/>
          <w:bCs/>
        </w:rPr>
        <w:t xml:space="preserve">arget </w:t>
      </w:r>
      <w:r w:rsidR="00987D03">
        <w:rPr>
          <w:b/>
          <w:bCs/>
        </w:rPr>
        <w:t>cell-specific</w:t>
      </w:r>
      <w:r w:rsidR="008B5130" w:rsidRPr="00AC5C67">
        <w:rPr>
          <w:b/>
          <w:bCs/>
        </w:rPr>
        <w:t xml:space="preserve"> execution condition</w:t>
      </w:r>
      <w:r w:rsidR="009535CA">
        <w:rPr>
          <w:b/>
          <w:bCs/>
        </w:rPr>
        <w:t xml:space="preserve"> can indicate </w:t>
      </w:r>
      <w:r w:rsidR="00B26ED2">
        <w:rPr>
          <w:b/>
          <w:bCs/>
        </w:rPr>
        <w:t>no execution condition</w:t>
      </w:r>
      <w:r w:rsidR="007A6153">
        <w:rPr>
          <w:b/>
          <w:bCs/>
        </w:rPr>
        <w:t>, i.e., for the source SCG configuration</w:t>
      </w:r>
      <w:r w:rsidR="00B26ED2">
        <w:rPr>
          <w:b/>
          <w:bCs/>
        </w:rPr>
        <w:t xml:space="preserve">. </w:t>
      </w:r>
      <w:r w:rsidR="00F675CD">
        <w:rPr>
          <w:b/>
          <w:bCs/>
        </w:rPr>
        <w:t>FFS if no execution condition can be configured as part of target cell specific execution condition</w:t>
      </w:r>
      <w:r w:rsidR="00DC6C64">
        <w:rPr>
          <w:b/>
          <w:bCs/>
        </w:rPr>
        <w:t xml:space="preserve"> for any SAS configuration. </w:t>
      </w:r>
      <w:r w:rsidR="00F675CD">
        <w:rPr>
          <w:b/>
          <w:bCs/>
        </w:rPr>
        <w:t xml:space="preserve">  </w:t>
      </w:r>
    </w:p>
    <w:p w14:paraId="1EB3CE55" w14:textId="3E059F35" w:rsidR="0013523A" w:rsidRDefault="0013523A" w:rsidP="0013523A">
      <w:pPr>
        <w:pStyle w:val="Heading2"/>
      </w:pPr>
      <w:r>
        <w:t>2.4 Security Key management for selective activation</w:t>
      </w:r>
      <w:r w:rsidR="00963F83">
        <w:t xml:space="preserve"> </w:t>
      </w:r>
    </w:p>
    <w:p w14:paraId="319AD232" w14:textId="31DE249B" w:rsidR="00425143" w:rsidRDefault="00425143" w:rsidP="00425143">
      <w:r>
        <w:t>On the security key management for selective activation following agreement is made in RAN2-119bis-e.</w:t>
      </w:r>
    </w:p>
    <w:p w14:paraId="5238D89C" w14:textId="77777777" w:rsidR="00425143" w:rsidRPr="0085586F" w:rsidRDefault="00425143" w:rsidP="0085586F">
      <w:pPr>
        <w:pStyle w:val="ListParagraph"/>
        <w:rPr>
          <w:bCs/>
          <w:i/>
          <w:iCs/>
          <w:lang w:val="en-US"/>
        </w:rPr>
      </w:pPr>
      <w:r w:rsidRPr="0085586F">
        <w:rPr>
          <w:bCs/>
          <w:i/>
          <w:iCs/>
          <w:lang w:val="en-US"/>
        </w:rPr>
        <w:t>RAN2 aim to support selective activation of cell groups without RRC reconfiguration with respect to security (FFS, need to consult with SA3 at some point in time).</w:t>
      </w:r>
    </w:p>
    <w:p w14:paraId="322F0E00" w14:textId="0244BE7F" w:rsidR="00425143" w:rsidRDefault="00425143" w:rsidP="00425143">
      <w:r>
        <w:t>As per the above agreement the SN counter value which needs to be changed as part of successive cell changes of selective activation is pre-configured at the time of preparation for selective activation.  The pre-configured values of SN counters needs to ensure the following criteria of SN key changes.</w:t>
      </w:r>
    </w:p>
    <w:p w14:paraId="224CADFC" w14:textId="5340C45C" w:rsidR="00425143" w:rsidRDefault="00425143" w:rsidP="00425143">
      <w:pPr>
        <w:pStyle w:val="ListParagraph"/>
        <w:numPr>
          <w:ilvl w:val="0"/>
          <w:numId w:val="16"/>
        </w:numPr>
      </w:pPr>
      <w:r>
        <w:t xml:space="preserve">The SN counter value </w:t>
      </w:r>
      <w:r w:rsidR="00396447">
        <w:t>is not reused across successive SN change scenarios. This is needed to avoid security re-keying issue during PSCell change scenario.</w:t>
      </w:r>
    </w:p>
    <w:p w14:paraId="76B9EC63" w14:textId="00DA820F" w:rsidR="00396447" w:rsidRDefault="00396447" w:rsidP="00425143">
      <w:pPr>
        <w:pStyle w:val="ListParagraph"/>
        <w:numPr>
          <w:ilvl w:val="0"/>
          <w:numId w:val="16"/>
        </w:numPr>
      </w:pPr>
      <w:r>
        <w:t>The SN counter values are increased in monotonous way across cell changes. The SN counter value used for Nth cell change should be larger than the SN counter value used in the previous cell-changes upto N-1.</w:t>
      </w:r>
    </w:p>
    <w:p w14:paraId="59BC28E1" w14:textId="588FAA1C" w:rsidR="00396447" w:rsidRDefault="00396447" w:rsidP="00396447">
      <w:r>
        <w:lastRenderedPageBreak/>
        <w:t xml:space="preserve">It is possible to achieve the above </w:t>
      </w:r>
      <w:r w:rsidR="00987D03">
        <w:t>criteria</w:t>
      </w:r>
      <w:r>
        <w:t xml:space="preserve"> for SN counter change for selective activation if list of SN counter values are a range of SN counter values are configured along with the configuration for selective activation. Whenever the UE changes across SN it uses the first un-used counter value from the list. After configuring the new security keys using this counter value UE marks this value as used and points to </w:t>
      </w:r>
      <w:r w:rsidR="00CE4229">
        <w:t xml:space="preserve">the </w:t>
      </w:r>
      <w:r>
        <w:t xml:space="preserve">next value in the list for </w:t>
      </w:r>
      <w:r w:rsidR="00CE4229">
        <w:t xml:space="preserve">the </w:t>
      </w:r>
      <w:r>
        <w:t xml:space="preserve">next cell change.  MN can modify the SN counter list depending on the </w:t>
      </w:r>
      <w:r w:rsidR="00987D03">
        <w:t>remaining counter values</w:t>
      </w:r>
      <w:r>
        <w:t xml:space="preserve"> via </w:t>
      </w:r>
      <w:r w:rsidR="00CE4229">
        <w:t xml:space="preserve">the </w:t>
      </w:r>
      <w:r>
        <w:t xml:space="preserve">RRC Reconfiguration message to extend the selective activation for </w:t>
      </w:r>
      <w:r w:rsidR="00CE4229">
        <w:t xml:space="preserve">a </w:t>
      </w:r>
      <w:r>
        <w:t>longer time.</w:t>
      </w:r>
    </w:p>
    <w:p w14:paraId="390F365E" w14:textId="128445BE" w:rsidR="00396447" w:rsidRDefault="00396447" w:rsidP="00396447">
      <w:pPr>
        <w:rPr>
          <w:b/>
          <w:bCs/>
        </w:rPr>
      </w:pPr>
      <w:r>
        <w:rPr>
          <w:b/>
          <w:bCs/>
        </w:rPr>
        <w:t xml:space="preserve">Proposal </w:t>
      </w:r>
      <w:r w:rsidR="0085586F">
        <w:rPr>
          <w:b/>
          <w:bCs/>
        </w:rPr>
        <w:t>7</w:t>
      </w:r>
      <w:r>
        <w:rPr>
          <w:b/>
          <w:bCs/>
        </w:rPr>
        <w:t xml:space="preserve">: </w:t>
      </w:r>
      <w:r w:rsidR="00CE4229">
        <w:rPr>
          <w:b/>
          <w:bCs/>
        </w:rPr>
        <w:t xml:space="preserve">The RRC configuration for selective activation includes SN-counter-list for security key management.  The selection of SN counter value from this list for cell change will be specified.  </w:t>
      </w:r>
      <w:r>
        <w:rPr>
          <w:b/>
          <w:bCs/>
        </w:rPr>
        <w:t xml:space="preserve"> </w:t>
      </w:r>
    </w:p>
    <w:p w14:paraId="057372FE" w14:textId="77777777" w:rsidR="00396447" w:rsidRPr="005B27C1" w:rsidRDefault="00396447" w:rsidP="0085586F"/>
    <w:p w14:paraId="7E8BEADE" w14:textId="5C81C597" w:rsidR="0013523A" w:rsidRDefault="0013523A" w:rsidP="0013523A">
      <w:pPr>
        <w:pStyle w:val="Heading2"/>
      </w:pPr>
      <w:r>
        <w:t>2.5 Other issues</w:t>
      </w:r>
      <w:r w:rsidR="00963F83">
        <w:t xml:space="preserve"> </w:t>
      </w:r>
    </w:p>
    <w:p w14:paraId="34381FC2" w14:textId="798628EA" w:rsidR="0013523A" w:rsidRDefault="002B5C5D" w:rsidP="002B5C5D">
      <w:pPr>
        <w:pStyle w:val="Heading3"/>
      </w:pPr>
      <w:r>
        <w:t xml:space="preserve">2.5.1 </w:t>
      </w:r>
      <w:r w:rsidR="0013523A">
        <w:t>Selective activation for CPA</w:t>
      </w:r>
      <w:r w:rsidR="002859E9">
        <w:t xml:space="preserve"> </w:t>
      </w:r>
    </w:p>
    <w:p w14:paraId="04336EC0" w14:textId="757B78F0" w:rsidR="002B5C5D" w:rsidRDefault="002B5C5D" w:rsidP="002B5C5D">
      <w:r>
        <w:t xml:space="preserve">Support for selective activation for CPA is confirmed in RAN2-119bis-e.  This means when multiple target cells are prepared for CPA for adding SCG for single connectivity UE, these target cell configurations (all of them or sub-set) can be maintained for selective activation for successive </w:t>
      </w:r>
      <w:r w:rsidR="00AE02E0">
        <w:t>cell changes</w:t>
      </w:r>
      <w:r>
        <w:t xml:space="preserve"> after initial CPA execution to one of the prepared cells. </w:t>
      </w:r>
      <w:r w:rsidR="5F0BCFCE" w:rsidRPr="1AA17CD7">
        <w:t xml:space="preserve">The CPA measurement configuration of other candidate cells can be reused for CPC. So that after SCG addition (by CPA) the preserved measurement configuration can be reused for consequent CPC without additional signalling towards candidate cells. </w:t>
      </w:r>
      <w:r w:rsidR="00EF6973">
        <w:t xml:space="preserve">In case the CPC execution condition needs to consider the </w:t>
      </w:r>
      <w:r w:rsidR="009A25B9">
        <w:t xml:space="preserve">state of the current serving PSCell, UE can be configured to switch to a CPC specific execution condition for the same conditional configuration. </w:t>
      </w:r>
    </w:p>
    <w:p w14:paraId="638301E6" w14:textId="4DD1F710" w:rsidR="002B5C5D" w:rsidRDefault="002B5C5D" w:rsidP="002B5C5D">
      <w:r>
        <w:t xml:space="preserve">As the target cell configurations are prepared with Full configurations for CPA, if the UE can maintain them after initial CPA these full configurations of target cells can be used as such for successive cell changes. But the successive cell changes are not optimum compared to the case where the target cells for selective activation are prepared after </w:t>
      </w:r>
      <w:r w:rsidR="00AE02E0">
        <w:t xml:space="preserve">the </w:t>
      </w:r>
      <w:r>
        <w:t xml:space="preserve">first CPA as delta configurations.  Because the configuration changes and impacts to user plane interruption with delta configuration is lesser compared to full configuration. </w:t>
      </w:r>
      <w:r w:rsidR="00AE02E0">
        <w:t xml:space="preserve"> This issue can be mitigated if the target configurations for CPA is prepared as a combination of reference and cell-specific delta configurations. With this change after the first CPA, the UE only needs to replace the delta configuration for subsequent cell changes.</w:t>
      </w:r>
    </w:p>
    <w:p w14:paraId="0AFFF855" w14:textId="2B1BA8E0" w:rsidR="00A50AC8" w:rsidRDefault="00A50AC8" w:rsidP="002B5C5D">
      <w:r>
        <w:t xml:space="preserve">For UE based solution, it is possible to support selective activation for CPA if the UE </w:t>
      </w:r>
      <w:r w:rsidR="00987D03">
        <w:t>generates</w:t>
      </w:r>
      <w:r>
        <w:t xml:space="preserve"> the modified </w:t>
      </w:r>
      <w:r w:rsidR="00987D03">
        <w:t>delta configurations</w:t>
      </w:r>
      <w:r>
        <w:t xml:space="preserve"> based on the </w:t>
      </w:r>
      <w:r w:rsidR="00987D03">
        <w:t>full configuration</w:t>
      </w:r>
      <w:r>
        <w:t xml:space="preserve"> after first CPAC execution.</w:t>
      </w:r>
    </w:p>
    <w:p w14:paraId="4B201EF3" w14:textId="39D4B8B8" w:rsidR="00AE02E0" w:rsidRDefault="00AE02E0" w:rsidP="00AE02E0">
      <w:pPr>
        <w:rPr>
          <w:b/>
          <w:bCs/>
        </w:rPr>
      </w:pPr>
      <w:r>
        <w:rPr>
          <w:b/>
          <w:bCs/>
        </w:rPr>
        <w:t xml:space="preserve">Proposal </w:t>
      </w:r>
      <w:r w:rsidR="0085586F">
        <w:rPr>
          <w:b/>
          <w:bCs/>
        </w:rPr>
        <w:t>8</w:t>
      </w:r>
      <w:r>
        <w:rPr>
          <w:b/>
          <w:bCs/>
        </w:rPr>
        <w:t xml:space="preserve">: </w:t>
      </w:r>
      <w:r w:rsidR="00987D03">
        <w:rPr>
          <w:b/>
          <w:bCs/>
        </w:rPr>
        <w:t>The</w:t>
      </w:r>
      <w:r w:rsidR="00A50AC8">
        <w:rPr>
          <w:b/>
          <w:bCs/>
        </w:rPr>
        <w:t xml:space="preserve"> solution </w:t>
      </w:r>
      <w:r w:rsidR="00987D03">
        <w:rPr>
          <w:b/>
          <w:bCs/>
        </w:rPr>
        <w:t>selected for</w:t>
      </w:r>
      <w:r w:rsidR="00A50AC8">
        <w:rPr>
          <w:b/>
          <w:bCs/>
        </w:rPr>
        <w:t xml:space="preserve"> delta-configuration management </w:t>
      </w:r>
      <w:r w:rsidR="00987D03">
        <w:rPr>
          <w:b/>
          <w:bCs/>
        </w:rPr>
        <w:t xml:space="preserve">for successive cell changes </w:t>
      </w:r>
      <w:r w:rsidR="00A50AC8">
        <w:rPr>
          <w:b/>
          <w:bCs/>
        </w:rPr>
        <w:t>is also considered for CPA selective activation</w:t>
      </w:r>
      <w:r>
        <w:rPr>
          <w:b/>
          <w:bCs/>
        </w:rPr>
        <w:t xml:space="preserve">.   </w:t>
      </w:r>
    </w:p>
    <w:p w14:paraId="76B64FCB" w14:textId="74A0A936" w:rsidR="00AE02E0" w:rsidRDefault="00AE02E0" w:rsidP="002B5C5D">
      <w:r>
        <w:t xml:space="preserve">When the MN releases the SCG for UE configured with selective activation for SCG, the stored configurations for selective activations are released if the existing principles of CPAC is followed. But the UE may need to restart the complete procedure of CPA and selective activation when it is later configured for CPA from the same </w:t>
      </w:r>
      <w:r w:rsidR="002859E9">
        <w:t>radio coverage of the target cells of selective activation. It is beneficial to extend the preservation of selective activation at UE and MN after SCG release with certain conditions such as a timer or measurement reports. If the UE supports SCG deactivation, the configurations for selective activation can be maintained after SCG deactivation for the same benefits.</w:t>
      </w:r>
    </w:p>
    <w:p w14:paraId="30AF1CC2" w14:textId="4F085163" w:rsidR="002859E9" w:rsidRDefault="002859E9" w:rsidP="002859E9">
      <w:pPr>
        <w:rPr>
          <w:b/>
          <w:bCs/>
        </w:rPr>
      </w:pPr>
      <w:r>
        <w:rPr>
          <w:b/>
          <w:bCs/>
        </w:rPr>
        <w:t xml:space="preserve">Proposal </w:t>
      </w:r>
      <w:r w:rsidR="0085586F">
        <w:rPr>
          <w:b/>
          <w:bCs/>
        </w:rPr>
        <w:t>9</w:t>
      </w:r>
      <w:r>
        <w:rPr>
          <w:b/>
          <w:bCs/>
        </w:rPr>
        <w:t>: RAN2 to consider maintaining the selective activation configuration after SCG Release or SCG Deactivation</w:t>
      </w:r>
    </w:p>
    <w:p w14:paraId="45719006" w14:textId="77777777" w:rsidR="002859E9" w:rsidRPr="002B5C5D" w:rsidRDefault="002859E9" w:rsidP="0085586F"/>
    <w:p w14:paraId="0F35F5B0" w14:textId="4586CF8D" w:rsidR="0013523A" w:rsidRDefault="002B5C5D" w:rsidP="002B5C5D">
      <w:pPr>
        <w:pStyle w:val="Heading3"/>
      </w:pPr>
      <w:r>
        <w:t xml:space="preserve">2.5.2 </w:t>
      </w:r>
      <w:r w:rsidR="0013523A">
        <w:t>Number of consecutive cell changes for selective activation for PSCell-change (SAPC)</w:t>
      </w:r>
    </w:p>
    <w:p w14:paraId="6D268AEF" w14:textId="77777777" w:rsidR="002B5C5D" w:rsidRDefault="002B5C5D" w:rsidP="002B5C5D">
      <w:r>
        <w:t xml:space="preserve">The last meeting has made the following agreement with respect to the number of subsequent CPC executions: </w:t>
      </w:r>
    </w:p>
    <w:tbl>
      <w:tblPr>
        <w:tblStyle w:val="TableGrid"/>
        <w:tblW w:w="9771" w:type="dxa"/>
        <w:tblInd w:w="-5" w:type="dxa"/>
        <w:tblLook w:val="04A0" w:firstRow="1" w:lastRow="0" w:firstColumn="1" w:lastColumn="0" w:noHBand="0" w:noVBand="1"/>
      </w:tblPr>
      <w:tblGrid>
        <w:gridCol w:w="9771"/>
      </w:tblGrid>
      <w:tr w:rsidR="002B5C5D" w14:paraId="1BA03CE3" w14:textId="77777777" w:rsidTr="001F76FE">
        <w:trPr>
          <w:trHeight w:val="1080"/>
        </w:trPr>
        <w:tc>
          <w:tcPr>
            <w:tcW w:w="9771" w:type="dxa"/>
          </w:tcPr>
          <w:p w14:paraId="7AACDB6C" w14:textId="77777777" w:rsidR="002B5C5D" w:rsidRPr="008A0640" w:rsidRDefault="002B5C5D" w:rsidP="00804EEF">
            <w:pPr>
              <w:rPr>
                <w:b/>
                <w:bCs/>
                <w:lang w:val="en-US"/>
              </w:rPr>
            </w:pPr>
            <w:r w:rsidRPr="5CDF10FD">
              <w:rPr>
                <w:b/>
                <w:bCs/>
                <w:lang w:val="en-US"/>
              </w:rPr>
              <w:t>Agreement</w:t>
            </w:r>
            <w:r>
              <w:rPr>
                <w:b/>
                <w:bCs/>
                <w:lang w:val="en-US"/>
              </w:rPr>
              <w:t xml:space="preserve"> 6</w:t>
            </w:r>
            <w:r w:rsidRPr="5CDF10FD">
              <w:rPr>
                <w:b/>
                <w:bCs/>
                <w:lang w:val="en-US"/>
              </w:rPr>
              <w:t xml:space="preserve">: </w:t>
            </w:r>
          </w:p>
          <w:p w14:paraId="546AADF4" w14:textId="77777777" w:rsidR="002B5C5D" w:rsidRPr="5CDF10FD" w:rsidRDefault="002B5C5D" w:rsidP="00804EEF">
            <w:pPr>
              <w:rPr>
                <w:b/>
                <w:lang w:val="en-US"/>
              </w:rPr>
            </w:pPr>
            <w:r w:rsidRPr="3ECAE357">
              <w:rPr>
                <w:lang w:val="en-US"/>
              </w:rPr>
              <w:t>FFS how many subsequent conditional changes are targeted (and what is the impact of such assumption).</w:t>
            </w:r>
          </w:p>
        </w:tc>
      </w:tr>
    </w:tbl>
    <w:p w14:paraId="6D4CA2BC" w14:textId="77777777" w:rsidR="002B5C5D" w:rsidDel="00517321" w:rsidRDefault="002B5C5D" w:rsidP="002B5C5D">
      <w:pPr>
        <w:pStyle w:val="ListParagraph"/>
        <w:rPr>
          <w:bCs/>
          <w:lang w:val="en-US"/>
        </w:rPr>
      </w:pPr>
    </w:p>
    <w:p w14:paraId="300BF112" w14:textId="77777777" w:rsidR="002B5C5D" w:rsidRDefault="002B5C5D" w:rsidP="002B5C5D">
      <w:pPr>
        <w:rPr>
          <w:lang w:val="en-US"/>
        </w:rPr>
      </w:pPr>
      <w:r>
        <w:rPr>
          <w:lang w:val="en-US"/>
        </w:rPr>
        <w:lastRenderedPageBreak/>
        <w:t xml:space="preserve">We assume that the </w:t>
      </w:r>
      <w:r>
        <w:t>SAS</w:t>
      </w:r>
      <w:r w:rsidDel="00E41858">
        <w:rPr>
          <w:lang w:val="en-US"/>
        </w:rPr>
        <w:t xml:space="preserve"> </w:t>
      </w:r>
      <w:r>
        <w:rPr>
          <w:lang w:val="en-US"/>
        </w:rPr>
        <w:t>configurations are maintained at the UE side unless explicitly indicated by the network to be de-configured. Thus, it is not relevant to discuss the number of allowed subsequent changes, i.e., the UE can perform CPC executions until the CPC configurations are released by the network.</w:t>
      </w:r>
    </w:p>
    <w:p w14:paraId="552C133C" w14:textId="77777777" w:rsidR="002B5C5D" w:rsidRDefault="002B5C5D" w:rsidP="002B5C5D">
      <w:r>
        <w:t>As the CPC configurations are kept by the UE after CPC execution for SAS, the resources are reserved at the target nodes for longer time than Rel. 17 CPC procedure. In such cases, the specific target cells may pre-empt or release the resources reserved from CPAC for some high priority admission control. When the target node releases the configuration, UE should be notified via RRC-Reconfiguration to release the corresponding stored configuration. Whenever the UE moves outside the initial list of cells for selective activation, new target cells can be added and earlier cells can be released dynamically using existing procedures.</w:t>
      </w:r>
    </w:p>
    <w:p w14:paraId="16EABA85" w14:textId="5463E0E9" w:rsidR="002B5C5D" w:rsidRDefault="002B5C5D" w:rsidP="002B5C5D">
      <w:r w:rsidRPr="00EB7235">
        <w:rPr>
          <w:b/>
          <w:bCs/>
        </w:rPr>
        <w:t xml:space="preserve">Observation </w:t>
      </w:r>
      <w:r w:rsidR="0085586F">
        <w:rPr>
          <w:b/>
          <w:bCs/>
        </w:rPr>
        <w:t>6</w:t>
      </w:r>
      <w:r w:rsidRPr="00EB7235">
        <w:rPr>
          <w:b/>
          <w:bCs/>
        </w:rPr>
        <w:t xml:space="preserve">: </w:t>
      </w:r>
      <w:r w:rsidRPr="00E47677">
        <w:rPr>
          <w:b/>
          <w:bCs/>
        </w:rPr>
        <w:t>SAS</w:t>
      </w:r>
      <w:r>
        <w:rPr>
          <w:b/>
          <w:bCs/>
        </w:rPr>
        <w:t xml:space="preserve"> </w:t>
      </w:r>
      <w:r w:rsidRPr="00EB7235">
        <w:rPr>
          <w:b/>
          <w:bCs/>
        </w:rPr>
        <w:t xml:space="preserve">configurations can be added and released depending on resource situation at prepared target cells using mechanisms for </w:t>
      </w:r>
      <w:r w:rsidR="00F04DE4">
        <w:rPr>
          <w:b/>
          <w:bCs/>
        </w:rPr>
        <w:t xml:space="preserve">the </w:t>
      </w:r>
      <w:r w:rsidRPr="00EB7235">
        <w:rPr>
          <w:b/>
          <w:bCs/>
        </w:rPr>
        <w:t>addition/release of configuration similar to conditional configuration</w:t>
      </w:r>
      <w:r>
        <w:t>.</w:t>
      </w:r>
    </w:p>
    <w:p w14:paraId="46022C00" w14:textId="77777777" w:rsidR="002B5C5D" w:rsidRDefault="002B5C5D" w:rsidP="002B5C5D">
      <w:r>
        <w:t>Based on the above observations we don’t foresee the number of subsequent changes have impact on the selective activation functionality.</w:t>
      </w:r>
    </w:p>
    <w:p w14:paraId="6124D8C0" w14:textId="6936BECE" w:rsidR="007451A6" w:rsidRPr="007451A6" w:rsidRDefault="002B5C5D" w:rsidP="007451A6">
      <w:r w:rsidRPr="00FB00C4">
        <w:rPr>
          <w:b/>
          <w:bCs/>
        </w:rPr>
        <w:t xml:space="preserve">Proposal </w:t>
      </w:r>
      <w:r w:rsidR="0085586F">
        <w:rPr>
          <w:b/>
          <w:bCs/>
        </w:rPr>
        <w:t>10</w:t>
      </w:r>
      <w:r w:rsidRPr="00FB00C4">
        <w:rPr>
          <w:b/>
          <w:bCs/>
        </w:rPr>
        <w:t>:</w:t>
      </w:r>
      <w:r w:rsidRPr="00843E7F">
        <w:rPr>
          <w:b/>
          <w:bCs/>
        </w:rPr>
        <w:t xml:space="preserve"> </w:t>
      </w:r>
      <w:r>
        <w:rPr>
          <w:b/>
          <w:bCs/>
        </w:rPr>
        <w:t>The number</w:t>
      </w:r>
      <w:r w:rsidRPr="00843E7F">
        <w:rPr>
          <w:b/>
          <w:bCs/>
        </w:rPr>
        <w:t xml:space="preserve"> of subsequent conditional changes is not restricted for </w:t>
      </w:r>
      <w:r w:rsidRPr="00E47677">
        <w:rPr>
          <w:b/>
          <w:bCs/>
        </w:rPr>
        <w:t>SAS</w:t>
      </w:r>
      <w:r w:rsidRPr="00843E7F">
        <w:rPr>
          <w:b/>
          <w:bCs/>
        </w:rPr>
        <w:t>. Existing mechanisms of target cell configuration management can be used to release the prepared cells.</w:t>
      </w:r>
    </w:p>
    <w:p w14:paraId="35FB8C03" w14:textId="77777777" w:rsidR="009F5E99" w:rsidRPr="009F5E99" w:rsidRDefault="009F5E99" w:rsidP="009F5E99"/>
    <w:p w14:paraId="69B7B8E6" w14:textId="568C3688" w:rsidR="009339CB" w:rsidRPr="006E13D1" w:rsidRDefault="00C2288C" w:rsidP="009339CB">
      <w:pPr>
        <w:pStyle w:val="Heading1"/>
      </w:pPr>
      <w:r>
        <w:t>3</w:t>
      </w:r>
      <w:r w:rsidR="009339CB" w:rsidRPr="006E13D1">
        <w:tab/>
      </w:r>
      <w:r w:rsidR="009339CB">
        <w:t>Conclusion</w:t>
      </w:r>
    </w:p>
    <w:p w14:paraId="298FBBF6" w14:textId="396FBF82" w:rsidR="00C37A11" w:rsidRDefault="0085586F" w:rsidP="00C37A11">
      <w:r>
        <w:t>In this document we analyse the configuration management and signalling procedures of selective activation. Following are the observations proposals based on the same.</w:t>
      </w:r>
    </w:p>
    <w:p w14:paraId="0F12B0A7" w14:textId="395E0EC4" w:rsidR="00A50AC8" w:rsidRPr="00A50AC8" w:rsidRDefault="00A50AC8" w:rsidP="00C37A11">
      <w:pPr>
        <w:rPr>
          <w:b/>
          <w:bCs/>
          <w:u w:val="single"/>
        </w:rPr>
      </w:pPr>
      <w:r w:rsidRPr="00A50AC8">
        <w:rPr>
          <w:b/>
          <w:bCs/>
          <w:u w:val="single"/>
        </w:rPr>
        <w:t>Support of Delta-configuration for SAPC</w:t>
      </w:r>
    </w:p>
    <w:p w14:paraId="7B2A18F3" w14:textId="4C14D102" w:rsidR="00A50AC8" w:rsidRPr="00A50AC8" w:rsidRDefault="00A50AC8" w:rsidP="00A50AC8">
      <w:r w:rsidRPr="00A50AC8">
        <w:t xml:space="preserve">Observation 1: Use of delta configuration may result in configuration mismatch for selective activation for successive cell-changes if the affected </w:t>
      </w:r>
      <w:r w:rsidR="00987D03">
        <w:t>parameters’</w:t>
      </w:r>
      <w:r w:rsidRPr="00A50AC8">
        <w:t xml:space="preserve"> target delta configurations are different.</w:t>
      </w:r>
    </w:p>
    <w:p w14:paraId="190C18AB" w14:textId="6395C748" w:rsidR="00A50AC8" w:rsidRPr="00A50AC8" w:rsidRDefault="00A50AC8" w:rsidP="00A50AC8">
      <w:r w:rsidRPr="00A50AC8">
        <w:t xml:space="preserve">Observation 2 : The configuration mismatch during successive </w:t>
      </w:r>
      <w:r w:rsidR="00987D03">
        <w:t>cell changes</w:t>
      </w:r>
      <w:r w:rsidRPr="00A50AC8">
        <w:t xml:space="preserve"> should be resolved to support </w:t>
      </w:r>
      <w:r w:rsidR="00987D03">
        <w:t>delta configuration</w:t>
      </w:r>
      <w:r w:rsidRPr="00A50AC8">
        <w:t xml:space="preserve"> for SAPC.</w:t>
      </w:r>
    </w:p>
    <w:p w14:paraId="4DADF571" w14:textId="77777777" w:rsidR="00A50AC8" w:rsidRPr="00722DBF" w:rsidRDefault="00A50AC8" w:rsidP="00A50AC8">
      <w:pPr>
        <w:rPr>
          <w:b/>
          <w:bCs/>
        </w:rPr>
      </w:pPr>
      <w:r w:rsidRPr="0085586F">
        <w:rPr>
          <w:b/>
          <w:bCs/>
        </w:rPr>
        <w:t xml:space="preserve">Proposal </w:t>
      </w:r>
      <w:r>
        <w:rPr>
          <w:b/>
          <w:bCs/>
        </w:rPr>
        <w:t>1</w:t>
      </w:r>
      <w:r w:rsidRPr="0085586F">
        <w:rPr>
          <w:b/>
          <w:bCs/>
        </w:rPr>
        <w:t>: Nested CPAC configuration is not considered for selective activation</w:t>
      </w:r>
    </w:p>
    <w:p w14:paraId="25ADCB2A" w14:textId="1CD9E782" w:rsidR="00A50AC8" w:rsidRDefault="00A50AC8" w:rsidP="00A50AC8">
      <w:pPr>
        <w:rPr>
          <w:b/>
          <w:bCs/>
        </w:rPr>
      </w:pPr>
      <w:r>
        <w:rPr>
          <w:b/>
          <w:bCs/>
        </w:rPr>
        <w:t xml:space="preserve">Proposal 2: RAN2 to down-select between </w:t>
      </w:r>
      <w:r w:rsidR="00987D03">
        <w:rPr>
          <w:b/>
          <w:bCs/>
        </w:rPr>
        <w:t xml:space="preserve">the </w:t>
      </w:r>
      <w:r>
        <w:rPr>
          <w:b/>
          <w:bCs/>
        </w:rPr>
        <w:t xml:space="preserve">use of common reference configuration </w:t>
      </w:r>
      <w:r w:rsidR="00987D03">
        <w:rPr>
          <w:b/>
          <w:bCs/>
        </w:rPr>
        <w:t xml:space="preserve">(Solutio-1) </w:t>
      </w:r>
      <w:r>
        <w:rPr>
          <w:b/>
          <w:bCs/>
        </w:rPr>
        <w:t xml:space="preserve">and UE-modification of delta-configuration </w:t>
      </w:r>
      <w:r w:rsidR="00987D03">
        <w:rPr>
          <w:b/>
          <w:bCs/>
        </w:rPr>
        <w:t xml:space="preserve">(Solution-2) as the </w:t>
      </w:r>
      <w:r>
        <w:rPr>
          <w:b/>
          <w:bCs/>
        </w:rPr>
        <w:t xml:space="preserve">solution </w:t>
      </w:r>
      <w:r w:rsidR="00987D03">
        <w:rPr>
          <w:b/>
          <w:bCs/>
        </w:rPr>
        <w:t>for using delta configurations for successive cell changes.</w:t>
      </w:r>
    </w:p>
    <w:p w14:paraId="4E9F2B1C" w14:textId="77777777" w:rsidR="00A50AC8" w:rsidRPr="00A50AC8" w:rsidRDefault="00A50AC8" w:rsidP="00A50AC8">
      <w:r w:rsidRPr="00A50AC8">
        <w:t>Observation 3: The target cells for selective activation after initial CPAC can be different from the CPAC target cells.</w:t>
      </w:r>
    </w:p>
    <w:p w14:paraId="4B45BE7E" w14:textId="77777777" w:rsidR="00A50AC8" w:rsidRPr="00A50AC8" w:rsidRDefault="00A50AC8" w:rsidP="00A50AC8">
      <w:r w:rsidRPr="00A50AC8">
        <w:t>Observation 4: Each Target cell of CPAC preparation can provide assistance information on their preferred target cells for selective activation based on mobility history and measurement results.</w:t>
      </w:r>
    </w:p>
    <w:p w14:paraId="139E6DC2" w14:textId="5420C173" w:rsidR="00A50AC8" w:rsidRPr="00A50AC8" w:rsidRDefault="00A50AC8" w:rsidP="00A50AC8">
      <w:pPr>
        <w:rPr>
          <w:b/>
          <w:bCs/>
          <w:u w:val="single"/>
        </w:rPr>
      </w:pPr>
      <w:r>
        <w:rPr>
          <w:b/>
          <w:bCs/>
          <w:u w:val="single"/>
        </w:rPr>
        <w:t xml:space="preserve">Candidate cells </w:t>
      </w:r>
      <w:r w:rsidRPr="00A50AC8">
        <w:rPr>
          <w:b/>
          <w:bCs/>
          <w:u w:val="single"/>
        </w:rPr>
        <w:t>for SAPC</w:t>
      </w:r>
    </w:p>
    <w:p w14:paraId="4DA9C223" w14:textId="44F7D9DD" w:rsidR="00A50AC8" w:rsidRDefault="00A50AC8" w:rsidP="00A50AC8">
      <w:pPr>
        <w:rPr>
          <w:b/>
          <w:bCs/>
        </w:rPr>
      </w:pPr>
      <w:r>
        <w:rPr>
          <w:b/>
          <w:bCs/>
        </w:rPr>
        <w:t xml:space="preserve">Proposal 3: Assistance information of preferred cells for selective activation from each </w:t>
      </w:r>
      <w:r w:rsidR="00A93A17">
        <w:rPr>
          <w:b/>
          <w:bCs/>
        </w:rPr>
        <w:t>target cell</w:t>
      </w:r>
      <w:r>
        <w:rPr>
          <w:b/>
          <w:bCs/>
        </w:rPr>
        <w:t xml:space="preserve"> is indicated from SN to MN for selective activation.</w:t>
      </w:r>
    </w:p>
    <w:p w14:paraId="2D1E5F61" w14:textId="77777777" w:rsidR="00A50AC8" w:rsidRDefault="00A50AC8" w:rsidP="00A50AC8">
      <w:pPr>
        <w:rPr>
          <w:b/>
          <w:bCs/>
        </w:rPr>
      </w:pPr>
      <w:r>
        <w:rPr>
          <w:b/>
          <w:bCs/>
        </w:rPr>
        <w:t>Proposal 4: The selective activation set to be maintained after initial CPAC is indicated to UE for each Target-cell.</w:t>
      </w:r>
    </w:p>
    <w:p w14:paraId="3D576E75" w14:textId="29029673" w:rsidR="00A50AC8" w:rsidRDefault="00A50AC8" w:rsidP="00A50AC8">
      <w:r w:rsidRPr="00A50AC8">
        <w:t>Observation 5:  The CPC execution conditions for the prepared target cells can be different depending on the serving PSCell.</w:t>
      </w:r>
    </w:p>
    <w:p w14:paraId="6F32C5E2" w14:textId="1F919D1F" w:rsidR="00A50AC8" w:rsidRPr="00A50AC8" w:rsidRDefault="00A50AC8" w:rsidP="00A50AC8">
      <w:pPr>
        <w:rPr>
          <w:b/>
          <w:bCs/>
          <w:u w:val="single"/>
        </w:rPr>
      </w:pPr>
      <w:r>
        <w:rPr>
          <w:b/>
          <w:bCs/>
          <w:u w:val="single"/>
        </w:rPr>
        <w:t xml:space="preserve">Measurements and Evaluations </w:t>
      </w:r>
      <w:r w:rsidRPr="00A50AC8">
        <w:rPr>
          <w:b/>
          <w:bCs/>
          <w:u w:val="single"/>
        </w:rPr>
        <w:t>for SAPC</w:t>
      </w:r>
    </w:p>
    <w:p w14:paraId="3ED8CD20" w14:textId="1B70EAF9" w:rsidR="00A50AC8" w:rsidRDefault="00A50AC8" w:rsidP="00A50AC8">
      <w:pPr>
        <w:rPr>
          <w:b/>
          <w:bCs/>
        </w:rPr>
      </w:pPr>
      <w:r w:rsidRPr="00FB00C4">
        <w:rPr>
          <w:b/>
          <w:bCs/>
        </w:rPr>
        <w:t xml:space="preserve">Proposal </w:t>
      </w:r>
      <w:r>
        <w:rPr>
          <w:b/>
          <w:bCs/>
        </w:rPr>
        <w:t>5</w:t>
      </w:r>
      <w:r w:rsidRPr="00FB00C4">
        <w:rPr>
          <w:b/>
          <w:bCs/>
        </w:rPr>
        <w:t xml:space="preserve">: </w:t>
      </w:r>
      <w:r w:rsidRPr="00AC5C67">
        <w:rPr>
          <w:b/>
          <w:bCs/>
        </w:rPr>
        <w:t xml:space="preserve">For </w:t>
      </w:r>
      <w:r w:rsidRPr="00CE0AFC">
        <w:rPr>
          <w:b/>
          <w:bCs/>
        </w:rPr>
        <w:t>SA</w:t>
      </w:r>
      <w:r w:rsidR="006F7093">
        <w:rPr>
          <w:b/>
          <w:bCs/>
        </w:rPr>
        <w:t>PC</w:t>
      </w:r>
      <w:r w:rsidRPr="00CE0AFC">
        <w:rPr>
          <w:b/>
          <w:bCs/>
        </w:rPr>
        <w:t xml:space="preserve"> </w:t>
      </w:r>
      <w:r w:rsidRPr="00AC5C67">
        <w:rPr>
          <w:b/>
          <w:bCs/>
        </w:rPr>
        <w:t xml:space="preserve">target </w:t>
      </w:r>
      <w:r w:rsidR="00E22C32">
        <w:rPr>
          <w:b/>
          <w:bCs/>
        </w:rPr>
        <w:t>cell-specific</w:t>
      </w:r>
      <w:r w:rsidRPr="00AC5C67">
        <w:rPr>
          <w:b/>
          <w:bCs/>
        </w:rPr>
        <w:t xml:space="preserve"> execution conditions should be considered. FFS the details on enabling it without reconfiguration of the conditions after </w:t>
      </w:r>
      <w:r>
        <w:rPr>
          <w:b/>
          <w:bCs/>
        </w:rPr>
        <w:t>cell change</w:t>
      </w:r>
      <w:r w:rsidRPr="00AC5C67">
        <w:rPr>
          <w:b/>
          <w:bCs/>
        </w:rPr>
        <w:t>.</w:t>
      </w:r>
    </w:p>
    <w:p w14:paraId="12CBE1BC" w14:textId="2E0919E6" w:rsidR="00A50AC8" w:rsidRDefault="00A50AC8" w:rsidP="00A50AC8">
      <w:pPr>
        <w:rPr>
          <w:b/>
          <w:bCs/>
        </w:rPr>
      </w:pPr>
      <w:r w:rsidRPr="0085586F">
        <w:rPr>
          <w:b/>
          <w:bCs/>
        </w:rPr>
        <w:t xml:space="preserve">Proposal </w:t>
      </w:r>
      <w:r>
        <w:rPr>
          <w:b/>
          <w:bCs/>
        </w:rPr>
        <w:t>6</w:t>
      </w:r>
      <w:r w:rsidRPr="0085586F">
        <w:rPr>
          <w:b/>
          <w:bCs/>
        </w:rPr>
        <w:t>:</w:t>
      </w:r>
      <w:r>
        <w:t xml:space="preserve"> </w:t>
      </w:r>
      <w:r w:rsidRPr="0085586F">
        <w:rPr>
          <w:b/>
          <w:bCs/>
        </w:rPr>
        <w:t>T</w:t>
      </w:r>
      <w:r w:rsidRPr="00AC5C67">
        <w:rPr>
          <w:b/>
          <w:bCs/>
        </w:rPr>
        <w:t xml:space="preserve">arget </w:t>
      </w:r>
      <w:r w:rsidR="006F7093">
        <w:rPr>
          <w:b/>
          <w:bCs/>
        </w:rPr>
        <w:t>cell-specific</w:t>
      </w:r>
      <w:r w:rsidRPr="00AC5C67">
        <w:rPr>
          <w:b/>
          <w:bCs/>
        </w:rPr>
        <w:t xml:space="preserve"> execution condition</w:t>
      </w:r>
      <w:r>
        <w:rPr>
          <w:b/>
          <w:bCs/>
        </w:rPr>
        <w:t xml:space="preserve"> can indicate no execution condition, i.e., for the source SCG configuration. FFS if no execution condition can be configured as part of </w:t>
      </w:r>
      <w:r w:rsidR="006F7093">
        <w:rPr>
          <w:b/>
          <w:bCs/>
        </w:rPr>
        <w:t xml:space="preserve">the </w:t>
      </w:r>
      <w:r>
        <w:rPr>
          <w:b/>
          <w:bCs/>
        </w:rPr>
        <w:t xml:space="preserve">target </w:t>
      </w:r>
      <w:r w:rsidR="00A93A17">
        <w:rPr>
          <w:b/>
          <w:bCs/>
        </w:rPr>
        <w:t>cell-specific</w:t>
      </w:r>
      <w:r>
        <w:rPr>
          <w:b/>
          <w:bCs/>
        </w:rPr>
        <w:t xml:space="preserve"> execution condition for any SAS configuration.   </w:t>
      </w:r>
    </w:p>
    <w:p w14:paraId="1C394A85" w14:textId="154DCBE2" w:rsidR="00A50AC8" w:rsidRPr="00A50AC8" w:rsidRDefault="00A50AC8" w:rsidP="00A50AC8">
      <w:pPr>
        <w:rPr>
          <w:b/>
          <w:bCs/>
          <w:u w:val="single"/>
        </w:rPr>
      </w:pPr>
      <w:r>
        <w:rPr>
          <w:b/>
          <w:bCs/>
          <w:u w:val="single"/>
        </w:rPr>
        <w:lastRenderedPageBreak/>
        <w:t xml:space="preserve">Security Key Management </w:t>
      </w:r>
      <w:r w:rsidRPr="00A50AC8">
        <w:rPr>
          <w:b/>
          <w:bCs/>
          <w:u w:val="single"/>
        </w:rPr>
        <w:t>for SAPC</w:t>
      </w:r>
    </w:p>
    <w:p w14:paraId="60B0893C" w14:textId="712B9097" w:rsidR="00A50AC8" w:rsidRDefault="00A50AC8" w:rsidP="00A50AC8">
      <w:pPr>
        <w:rPr>
          <w:b/>
          <w:bCs/>
        </w:rPr>
      </w:pPr>
      <w:r>
        <w:rPr>
          <w:b/>
          <w:bCs/>
        </w:rPr>
        <w:t xml:space="preserve">Proposal 7: The RRC configuration for selective activation includes SN-counter-list for security key management.  The selection of SN counter value from this list for cell change will be specified.   </w:t>
      </w:r>
    </w:p>
    <w:p w14:paraId="2F56E5D2" w14:textId="03A1EAE4" w:rsidR="00A50AC8" w:rsidRPr="00A50AC8" w:rsidRDefault="00A50AC8" w:rsidP="00A50AC8">
      <w:pPr>
        <w:rPr>
          <w:b/>
          <w:bCs/>
          <w:u w:val="single"/>
        </w:rPr>
      </w:pPr>
      <w:r w:rsidRPr="00A50AC8">
        <w:rPr>
          <w:b/>
          <w:bCs/>
          <w:u w:val="single"/>
        </w:rPr>
        <w:t>Other Issues for SAPC</w:t>
      </w:r>
    </w:p>
    <w:p w14:paraId="3292D814" w14:textId="77777777" w:rsidR="00987D03" w:rsidRDefault="00987D03" w:rsidP="00987D03">
      <w:pPr>
        <w:rPr>
          <w:b/>
          <w:bCs/>
        </w:rPr>
      </w:pPr>
      <w:r>
        <w:rPr>
          <w:b/>
          <w:bCs/>
        </w:rPr>
        <w:t xml:space="preserve">Proposal 8: The solution selected for delta-configuration management for successive cell changes is also considered for CPA selective activation.   </w:t>
      </w:r>
    </w:p>
    <w:p w14:paraId="61585D2E" w14:textId="0A088910" w:rsidR="00A50AC8" w:rsidRDefault="00A50AC8" w:rsidP="00A50AC8">
      <w:pPr>
        <w:rPr>
          <w:b/>
          <w:bCs/>
        </w:rPr>
      </w:pPr>
      <w:r>
        <w:rPr>
          <w:b/>
          <w:bCs/>
        </w:rPr>
        <w:t>Proposal 9: RAN2 to consider maintaining the selective activation configuration after SCG Release or SCG Deactivation</w:t>
      </w:r>
      <w:r w:rsidR="00F94825">
        <w:rPr>
          <w:b/>
          <w:bCs/>
        </w:rPr>
        <w:t>.</w:t>
      </w:r>
    </w:p>
    <w:p w14:paraId="0EF2AF7E" w14:textId="72911F86" w:rsidR="00A50AC8" w:rsidRPr="00A50AC8" w:rsidRDefault="00A50AC8" w:rsidP="00A50AC8">
      <w:r w:rsidRPr="00A50AC8">
        <w:t xml:space="preserve">Observation 6: SAS configurations can be added and released depending on </w:t>
      </w:r>
      <w:r w:rsidR="00987D03">
        <w:t xml:space="preserve">the </w:t>
      </w:r>
      <w:r w:rsidRPr="00A50AC8">
        <w:t xml:space="preserve">resource situation at prepared target cells using mechanisms for the addition /release of </w:t>
      </w:r>
      <w:r w:rsidR="00987D03">
        <w:t xml:space="preserve">a </w:t>
      </w:r>
      <w:r w:rsidRPr="00A50AC8">
        <w:t>configuration similar to conditional configuration.</w:t>
      </w:r>
    </w:p>
    <w:p w14:paraId="56EEE39D" w14:textId="558C2DA3" w:rsidR="009339CB" w:rsidRDefault="00A50AC8" w:rsidP="009339CB">
      <w:r w:rsidRPr="00FB00C4">
        <w:rPr>
          <w:b/>
          <w:bCs/>
        </w:rPr>
        <w:t xml:space="preserve">Proposal </w:t>
      </w:r>
      <w:r>
        <w:rPr>
          <w:b/>
          <w:bCs/>
        </w:rPr>
        <w:t>10</w:t>
      </w:r>
      <w:r w:rsidRPr="00FB00C4">
        <w:rPr>
          <w:b/>
          <w:bCs/>
        </w:rPr>
        <w:t>:</w:t>
      </w:r>
      <w:r w:rsidRPr="00843E7F">
        <w:rPr>
          <w:b/>
          <w:bCs/>
        </w:rPr>
        <w:t xml:space="preserve"> </w:t>
      </w:r>
      <w:r>
        <w:rPr>
          <w:b/>
          <w:bCs/>
        </w:rPr>
        <w:t>The number</w:t>
      </w:r>
      <w:r w:rsidRPr="00843E7F">
        <w:rPr>
          <w:b/>
          <w:bCs/>
        </w:rPr>
        <w:t xml:space="preserve"> of subsequent conditional changes is not restricted for </w:t>
      </w:r>
      <w:r w:rsidRPr="00E47677">
        <w:rPr>
          <w:b/>
          <w:bCs/>
        </w:rPr>
        <w:t>SA</w:t>
      </w:r>
      <w:r w:rsidR="00987D03">
        <w:rPr>
          <w:b/>
          <w:bCs/>
        </w:rPr>
        <w:t>PC</w:t>
      </w:r>
      <w:r w:rsidRPr="00843E7F">
        <w:rPr>
          <w:b/>
          <w:bCs/>
        </w:rPr>
        <w:t>. Existing mechanisms of target cell configuration management can be used to release the prepared cells</w:t>
      </w:r>
      <w:r w:rsidR="00987D03">
        <w:rPr>
          <w:b/>
          <w:bCs/>
        </w:rPr>
        <w:t xml:space="preserve"> whenever needed.</w:t>
      </w:r>
    </w:p>
    <w:p w14:paraId="6CB07A6D" w14:textId="77777777" w:rsidR="005726D6" w:rsidRPr="006E13D1" w:rsidRDefault="005726D6" w:rsidP="005726D6">
      <w:pPr>
        <w:pStyle w:val="Heading1"/>
      </w:pPr>
      <w:r>
        <w:t>References</w:t>
      </w:r>
    </w:p>
    <w:p w14:paraId="4955A208" w14:textId="1C478111" w:rsidR="005726D6" w:rsidRDefault="64A98643" w:rsidP="00963F83">
      <w:pPr>
        <w:numPr>
          <w:ilvl w:val="0"/>
          <w:numId w:val="1"/>
        </w:numPr>
        <w:overflowPunct w:val="0"/>
        <w:autoSpaceDE w:val="0"/>
        <w:autoSpaceDN w:val="0"/>
        <w:adjustRightInd w:val="0"/>
        <w:textAlignment w:val="baseline"/>
      </w:pPr>
      <w:bookmarkStart w:id="1" w:name="_Ref108624858"/>
      <w:r>
        <w:t>TS 3</w:t>
      </w:r>
      <w:r w:rsidR="43443C86">
        <w:t>7</w:t>
      </w:r>
      <w:r>
        <w:t>.3</w:t>
      </w:r>
      <w:r w:rsidR="43443C86">
        <w:t>4</w:t>
      </w:r>
      <w:r>
        <w:t xml:space="preserve">0, </w:t>
      </w:r>
      <w:r w:rsidR="23398663">
        <w:t xml:space="preserve">E-UTRA and </w:t>
      </w:r>
      <w:r>
        <w:t xml:space="preserve">NR; </w:t>
      </w:r>
      <w:r w:rsidR="23398663">
        <w:t>Multi-Connectivity</w:t>
      </w:r>
      <w:r>
        <w:t>; Stage 2 (Release 17).</w:t>
      </w:r>
      <w:bookmarkEnd w:id="1"/>
    </w:p>
    <w:p w14:paraId="407E88C5" w14:textId="77777777" w:rsidR="00BE3021" w:rsidRDefault="00BE3021" w:rsidP="00963F83">
      <w:pPr>
        <w:numPr>
          <w:ilvl w:val="0"/>
          <w:numId w:val="1"/>
        </w:numPr>
        <w:overflowPunct w:val="0"/>
        <w:autoSpaceDE w:val="0"/>
        <w:autoSpaceDN w:val="0"/>
        <w:adjustRightInd w:val="0"/>
        <w:textAlignment w:val="baseline"/>
      </w:pPr>
      <w:bookmarkStart w:id="2" w:name="_Ref109217143"/>
      <w:r>
        <w:t>TS 38.300, NR; NR and NG-RAN Overall Description; Stage 2 (Release 17).</w:t>
      </w:r>
    </w:p>
    <w:p w14:paraId="2EC28BFE" w14:textId="7AF5F882" w:rsidR="005726D6" w:rsidRDefault="005726D6" w:rsidP="00963F83">
      <w:pPr>
        <w:numPr>
          <w:ilvl w:val="0"/>
          <w:numId w:val="1"/>
        </w:numPr>
        <w:overflowPunct w:val="0"/>
        <w:autoSpaceDE w:val="0"/>
        <w:autoSpaceDN w:val="0"/>
        <w:adjustRightInd w:val="0"/>
        <w:textAlignment w:val="baseline"/>
      </w:pPr>
      <w:r>
        <w:t>RP-221799</w:t>
      </w:r>
      <w:bookmarkEnd w:id="2"/>
      <w:r>
        <w:t xml:space="preserve"> </w:t>
      </w:r>
      <w:r w:rsidRPr="000C4FE3">
        <w:rPr>
          <w:i/>
          <w:iCs/>
          <w:color w:val="2B579A"/>
        </w:rPr>
        <w:t xml:space="preserve">Revised WID on Further NR mobility enhancements </w:t>
      </w:r>
      <w:r>
        <w:t>3GPP TSG RAN Meeting #96 Budapest, Hungary, June 6-9, 2022</w:t>
      </w:r>
    </w:p>
    <w:p w14:paraId="7241BDDF" w14:textId="0545CDE2" w:rsidR="00AD1B3D" w:rsidRDefault="00AD1B3D" w:rsidP="00963F83">
      <w:pPr>
        <w:numPr>
          <w:ilvl w:val="0"/>
          <w:numId w:val="1"/>
        </w:numPr>
        <w:overflowPunct w:val="0"/>
        <w:autoSpaceDE w:val="0"/>
        <w:autoSpaceDN w:val="0"/>
        <w:adjustRightInd w:val="0"/>
        <w:textAlignment w:val="baseline"/>
      </w:pPr>
      <w:r>
        <w:rPr>
          <w:rFonts w:cs="Arial"/>
        </w:rPr>
        <w:t xml:space="preserve">R2-220XXX, </w:t>
      </w:r>
      <w:r w:rsidRPr="00347BC6">
        <w:rPr>
          <w:rFonts w:cs="Arial"/>
        </w:rPr>
        <w:t>Report of 3GPP TSG RAN WG2 meeting #119-e, Online</w:t>
      </w:r>
      <w:r>
        <w:rPr>
          <w:rFonts w:cs="Arial"/>
        </w:rPr>
        <w:t xml:space="preserve">, </w:t>
      </w:r>
      <w:r>
        <w:t>. clause 8.4.2</w:t>
      </w:r>
    </w:p>
    <w:p w14:paraId="42FEAB37" w14:textId="61F8052E" w:rsidR="00AC18A6" w:rsidRDefault="00AC18A6" w:rsidP="00963F83">
      <w:pPr>
        <w:numPr>
          <w:ilvl w:val="0"/>
          <w:numId w:val="1"/>
        </w:numPr>
        <w:overflowPunct w:val="0"/>
        <w:autoSpaceDE w:val="0"/>
        <w:autoSpaceDN w:val="0"/>
        <w:adjustRightInd w:val="0"/>
        <w:textAlignment w:val="baseline"/>
      </w:pPr>
      <w:r>
        <w:rPr>
          <w:rFonts w:cs="Arial"/>
        </w:rPr>
        <w:t xml:space="preserve">R2-220XXX, </w:t>
      </w:r>
      <w:r w:rsidRPr="00347BC6">
        <w:rPr>
          <w:rFonts w:cs="Arial"/>
        </w:rPr>
        <w:t>Report of 3GPP TSG RAN WG2 meeting #119</w:t>
      </w:r>
      <w:r>
        <w:rPr>
          <w:rFonts w:cs="Arial"/>
        </w:rPr>
        <w:t>bis</w:t>
      </w:r>
      <w:r w:rsidRPr="00347BC6">
        <w:rPr>
          <w:rFonts w:cs="Arial"/>
        </w:rPr>
        <w:t>-e, Online</w:t>
      </w:r>
      <w:r>
        <w:rPr>
          <w:rFonts w:cs="Arial"/>
        </w:rPr>
        <w:t xml:space="preserve">, </w:t>
      </w:r>
      <w:r>
        <w:t>. clause 8.4.3</w:t>
      </w:r>
    </w:p>
    <w:p w14:paraId="17B2D76A" w14:textId="77777777" w:rsidR="00AC18A6" w:rsidRDefault="00AC18A6" w:rsidP="00AC18A6">
      <w:pPr>
        <w:overflowPunct w:val="0"/>
        <w:autoSpaceDE w:val="0"/>
        <w:autoSpaceDN w:val="0"/>
        <w:adjustRightInd w:val="0"/>
        <w:ind w:left="357"/>
        <w:textAlignment w:val="baseline"/>
      </w:pPr>
    </w:p>
    <w:p w14:paraId="4C31342F" w14:textId="5AC737FF" w:rsidR="00DB1996" w:rsidRPr="00A209D6" w:rsidRDefault="00DB1996" w:rsidP="00A97AF2">
      <w:pPr>
        <w:overflowPunct w:val="0"/>
        <w:autoSpaceDE w:val="0"/>
        <w:autoSpaceDN w:val="0"/>
        <w:adjustRightInd w:val="0"/>
        <w:ind w:left="357"/>
        <w:textAlignment w:val="baseline"/>
      </w:pPr>
    </w:p>
    <w:sectPr w:rsidR="00DB1996"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7BC00" w14:textId="77777777" w:rsidR="00A83D2E" w:rsidRDefault="00A83D2E">
      <w:r>
        <w:separator/>
      </w:r>
    </w:p>
  </w:endnote>
  <w:endnote w:type="continuationSeparator" w:id="0">
    <w:p w14:paraId="7E0323C8" w14:textId="77777777" w:rsidR="00A83D2E" w:rsidRDefault="00A83D2E">
      <w:r>
        <w:continuationSeparator/>
      </w:r>
    </w:p>
  </w:endnote>
  <w:endnote w:type="continuationNotice" w:id="1">
    <w:p w14:paraId="37662E00" w14:textId="77777777" w:rsidR="00A83D2E" w:rsidRDefault="00A83D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7028C" w14:textId="77777777" w:rsidR="00A83D2E" w:rsidRDefault="00A83D2E">
      <w:r>
        <w:separator/>
      </w:r>
    </w:p>
  </w:footnote>
  <w:footnote w:type="continuationSeparator" w:id="0">
    <w:p w14:paraId="5C1B9B16" w14:textId="77777777" w:rsidR="00A83D2E" w:rsidRDefault="00A83D2E">
      <w:r>
        <w:continuationSeparator/>
      </w:r>
    </w:p>
  </w:footnote>
  <w:footnote w:type="continuationNotice" w:id="1">
    <w:p w14:paraId="2F6CEC7D" w14:textId="77777777" w:rsidR="00A83D2E" w:rsidRDefault="00A83D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E10CC"/>
    <w:multiLevelType w:val="hybridMultilevel"/>
    <w:tmpl w:val="C35662BE"/>
    <w:lvl w:ilvl="0" w:tplc="0DC832A8">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D242540"/>
    <w:multiLevelType w:val="hybridMultilevel"/>
    <w:tmpl w:val="0E2ADD5C"/>
    <w:lvl w:ilvl="0" w:tplc="E3C20B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A52CE8"/>
    <w:multiLevelType w:val="hybridMultilevel"/>
    <w:tmpl w:val="D3889C0A"/>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C4C669F"/>
    <w:multiLevelType w:val="hybridMultilevel"/>
    <w:tmpl w:val="E834A80A"/>
    <w:lvl w:ilvl="0" w:tplc="4820481C">
      <w:start w:val="1"/>
      <w:numFmt w:val="decimal"/>
      <w:lvlText w:val="%1"/>
      <w:lvlJc w:val="left"/>
      <w:pPr>
        <w:ind w:left="1414" w:hanging="113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3CF41EC7"/>
    <w:multiLevelType w:val="hybridMultilevel"/>
    <w:tmpl w:val="D22A4DD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46DB085E"/>
    <w:multiLevelType w:val="hybridMultilevel"/>
    <w:tmpl w:val="5F720B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58C2472A"/>
    <w:multiLevelType w:val="hybridMultilevel"/>
    <w:tmpl w:val="A606D7A8"/>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 w15:restartNumberingAfterBreak="0">
    <w:nsid w:val="5D6E0A7F"/>
    <w:multiLevelType w:val="hybridMultilevel"/>
    <w:tmpl w:val="16D8DD6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27A3395"/>
    <w:multiLevelType w:val="hybridMultilevel"/>
    <w:tmpl w:val="047E93C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6826413D"/>
    <w:multiLevelType w:val="hybridMultilevel"/>
    <w:tmpl w:val="088E999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68624D53"/>
    <w:multiLevelType w:val="hybridMultilevel"/>
    <w:tmpl w:val="39721D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9F72FB"/>
    <w:multiLevelType w:val="hybridMultilevel"/>
    <w:tmpl w:val="D06402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CA7ED5"/>
    <w:multiLevelType w:val="hybridMultilevel"/>
    <w:tmpl w:val="16D8DD6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BA181C"/>
    <w:multiLevelType w:val="hybridMultilevel"/>
    <w:tmpl w:val="195C65B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77AA1517"/>
    <w:multiLevelType w:val="hybridMultilevel"/>
    <w:tmpl w:val="16D8DD6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16"/>
  </w:num>
  <w:num w:numId="4">
    <w:abstractNumId w:val="0"/>
  </w:num>
  <w:num w:numId="5">
    <w:abstractNumId w:val="5"/>
  </w:num>
  <w:num w:numId="6">
    <w:abstractNumId w:val="11"/>
  </w:num>
  <w:num w:numId="7">
    <w:abstractNumId w:val="8"/>
  </w:num>
  <w:num w:numId="8">
    <w:abstractNumId w:val="13"/>
  </w:num>
  <w:num w:numId="9">
    <w:abstractNumId w:val="12"/>
  </w:num>
  <w:num w:numId="10">
    <w:abstractNumId w:val="14"/>
  </w:num>
  <w:num w:numId="11">
    <w:abstractNumId w:val="2"/>
  </w:num>
  <w:num w:numId="12">
    <w:abstractNumId w:val="6"/>
  </w:num>
  <w:num w:numId="13">
    <w:abstractNumId w:val="9"/>
  </w:num>
  <w:num w:numId="14">
    <w:abstractNumId w:val="10"/>
  </w:num>
  <w:num w:numId="15">
    <w:abstractNumId w:val="7"/>
  </w:num>
  <w:num w:numId="16">
    <w:abstractNumId w:val="15"/>
  </w:num>
  <w:num w:numId="17">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B6"/>
    <w:rsid w:val="00000E96"/>
    <w:rsid w:val="00002CB0"/>
    <w:rsid w:val="00006C10"/>
    <w:rsid w:val="00007496"/>
    <w:rsid w:val="000074FA"/>
    <w:rsid w:val="00010302"/>
    <w:rsid w:val="00010B97"/>
    <w:rsid w:val="00012A97"/>
    <w:rsid w:val="000139B1"/>
    <w:rsid w:val="00015F2A"/>
    <w:rsid w:val="00016557"/>
    <w:rsid w:val="00020B71"/>
    <w:rsid w:val="00021133"/>
    <w:rsid w:val="000211D5"/>
    <w:rsid w:val="00023C40"/>
    <w:rsid w:val="00026A4B"/>
    <w:rsid w:val="00027654"/>
    <w:rsid w:val="00030CA8"/>
    <w:rsid w:val="00030E5B"/>
    <w:rsid w:val="00031D21"/>
    <w:rsid w:val="00033317"/>
    <w:rsid w:val="00033397"/>
    <w:rsid w:val="00033525"/>
    <w:rsid w:val="000343AD"/>
    <w:rsid w:val="00034735"/>
    <w:rsid w:val="00035001"/>
    <w:rsid w:val="00035B59"/>
    <w:rsid w:val="0003606B"/>
    <w:rsid w:val="000368B8"/>
    <w:rsid w:val="00036D55"/>
    <w:rsid w:val="00040095"/>
    <w:rsid w:val="00040647"/>
    <w:rsid w:val="00040936"/>
    <w:rsid w:val="000409DC"/>
    <w:rsid w:val="000409F1"/>
    <w:rsid w:val="00040B2C"/>
    <w:rsid w:val="000412CD"/>
    <w:rsid w:val="000416FA"/>
    <w:rsid w:val="000439F6"/>
    <w:rsid w:val="00043A77"/>
    <w:rsid w:val="00043B1A"/>
    <w:rsid w:val="00044A96"/>
    <w:rsid w:val="00045919"/>
    <w:rsid w:val="00045C51"/>
    <w:rsid w:val="00046C16"/>
    <w:rsid w:val="000477C5"/>
    <w:rsid w:val="00047891"/>
    <w:rsid w:val="000500B3"/>
    <w:rsid w:val="000504B2"/>
    <w:rsid w:val="00050ECA"/>
    <w:rsid w:val="0005161B"/>
    <w:rsid w:val="0005264F"/>
    <w:rsid w:val="00053219"/>
    <w:rsid w:val="00054AC6"/>
    <w:rsid w:val="0005589C"/>
    <w:rsid w:val="000558B5"/>
    <w:rsid w:val="00055EF1"/>
    <w:rsid w:val="000576BC"/>
    <w:rsid w:val="00057A62"/>
    <w:rsid w:val="00060E13"/>
    <w:rsid w:val="00060F1D"/>
    <w:rsid w:val="0006207D"/>
    <w:rsid w:val="00063111"/>
    <w:rsid w:val="00064AE3"/>
    <w:rsid w:val="00064D5C"/>
    <w:rsid w:val="00064EFA"/>
    <w:rsid w:val="00065268"/>
    <w:rsid w:val="00065396"/>
    <w:rsid w:val="0006670A"/>
    <w:rsid w:val="00066EE2"/>
    <w:rsid w:val="00067EDD"/>
    <w:rsid w:val="00067F31"/>
    <w:rsid w:val="00071CE6"/>
    <w:rsid w:val="00072A56"/>
    <w:rsid w:val="00073C9C"/>
    <w:rsid w:val="00075777"/>
    <w:rsid w:val="00076412"/>
    <w:rsid w:val="000773D6"/>
    <w:rsid w:val="000802AC"/>
    <w:rsid w:val="00080512"/>
    <w:rsid w:val="00080649"/>
    <w:rsid w:val="00082D44"/>
    <w:rsid w:val="00085BE1"/>
    <w:rsid w:val="000876B6"/>
    <w:rsid w:val="00087C35"/>
    <w:rsid w:val="00090468"/>
    <w:rsid w:val="00090FDA"/>
    <w:rsid w:val="00091446"/>
    <w:rsid w:val="00092C66"/>
    <w:rsid w:val="00093FB9"/>
    <w:rsid w:val="00094568"/>
    <w:rsid w:val="00096B6E"/>
    <w:rsid w:val="0009712C"/>
    <w:rsid w:val="0009755E"/>
    <w:rsid w:val="00097659"/>
    <w:rsid w:val="000A036D"/>
    <w:rsid w:val="000A11F7"/>
    <w:rsid w:val="000A1210"/>
    <w:rsid w:val="000A3CFB"/>
    <w:rsid w:val="000A3E77"/>
    <w:rsid w:val="000A4E7F"/>
    <w:rsid w:val="000A5A09"/>
    <w:rsid w:val="000B0AE8"/>
    <w:rsid w:val="000B109D"/>
    <w:rsid w:val="000B2716"/>
    <w:rsid w:val="000B3A11"/>
    <w:rsid w:val="000B45A4"/>
    <w:rsid w:val="000B55E8"/>
    <w:rsid w:val="000B5EF4"/>
    <w:rsid w:val="000B709A"/>
    <w:rsid w:val="000B7444"/>
    <w:rsid w:val="000B7BCF"/>
    <w:rsid w:val="000C1374"/>
    <w:rsid w:val="000C17F8"/>
    <w:rsid w:val="000C28AB"/>
    <w:rsid w:val="000C2B8D"/>
    <w:rsid w:val="000C2D16"/>
    <w:rsid w:val="000C2DFD"/>
    <w:rsid w:val="000C3916"/>
    <w:rsid w:val="000C4B4E"/>
    <w:rsid w:val="000C522B"/>
    <w:rsid w:val="000C5D07"/>
    <w:rsid w:val="000C635F"/>
    <w:rsid w:val="000C742E"/>
    <w:rsid w:val="000C7922"/>
    <w:rsid w:val="000D0463"/>
    <w:rsid w:val="000D1A01"/>
    <w:rsid w:val="000D1D3A"/>
    <w:rsid w:val="000D2687"/>
    <w:rsid w:val="000D26C5"/>
    <w:rsid w:val="000D2C2F"/>
    <w:rsid w:val="000D35A9"/>
    <w:rsid w:val="000D58AB"/>
    <w:rsid w:val="000D5F6D"/>
    <w:rsid w:val="000D6756"/>
    <w:rsid w:val="000D6BE5"/>
    <w:rsid w:val="000E0B77"/>
    <w:rsid w:val="000E0FF9"/>
    <w:rsid w:val="000E30BC"/>
    <w:rsid w:val="000E3276"/>
    <w:rsid w:val="000E44E0"/>
    <w:rsid w:val="000E5CC1"/>
    <w:rsid w:val="000E6DCF"/>
    <w:rsid w:val="000E7501"/>
    <w:rsid w:val="000F07EA"/>
    <w:rsid w:val="000F15B5"/>
    <w:rsid w:val="000F4B01"/>
    <w:rsid w:val="000F5F17"/>
    <w:rsid w:val="000F7873"/>
    <w:rsid w:val="000F79E5"/>
    <w:rsid w:val="000F7CB6"/>
    <w:rsid w:val="00101266"/>
    <w:rsid w:val="00101481"/>
    <w:rsid w:val="0010292F"/>
    <w:rsid w:val="00102A62"/>
    <w:rsid w:val="0010369D"/>
    <w:rsid w:val="00103A7D"/>
    <w:rsid w:val="0010555B"/>
    <w:rsid w:val="001059EB"/>
    <w:rsid w:val="00105A29"/>
    <w:rsid w:val="00107CB3"/>
    <w:rsid w:val="0011043F"/>
    <w:rsid w:val="0011083B"/>
    <w:rsid w:val="001119FE"/>
    <w:rsid w:val="00112B2A"/>
    <w:rsid w:val="00112D08"/>
    <w:rsid w:val="00112F1A"/>
    <w:rsid w:val="00113EB2"/>
    <w:rsid w:val="00115538"/>
    <w:rsid w:val="0011619E"/>
    <w:rsid w:val="00117406"/>
    <w:rsid w:val="001179A5"/>
    <w:rsid w:val="001203B8"/>
    <w:rsid w:val="001215F6"/>
    <w:rsid w:val="00121972"/>
    <w:rsid w:val="00122309"/>
    <w:rsid w:val="0012233B"/>
    <w:rsid w:val="00122477"/>
    <w:rsid w:val="0012258B"/>
    <w:rsid w:val="001231BB"/>
    <w:rsid w:val="001235E6"/>
    <w:rsid w:val="00125E94"/>
    <w:rsid w:val="00126251"/>
    <w:rsid w:val="00126909"/>
    <w:rsid w:val="00126F96"/>
    <w:rsid w:val="00127EF0"/>
    <w:rsid w:val="0013142D"/>
    <w:rsid w:val="00131627"/>
    <w:rsid w:val="001327BD"/>
    <w:rsid w:val="001337C9"/>
    <w:rsid w:val="00134043"/>
    <w:rsid w:val="001349C8"/>
    <w:rsid w:val="00134A8B"/>
    <w:rsid w:val="00134D94"/>
    <w:rsid w:val="0013523A"/>
    <w:rsid w:val="00136146"/>
    <w:rsid w:val="00140C90"/>
    <w:rsid w:val="00141D11"/>
    <w:rsid w:val="0014291F"/>
    <w:rsid w:val="001433D5"/>
    <w:rsid w:val="00145075"/>
    <w:rsid w:val="0014538E"/>
    <w:rsid w:val="00147480"/>
    <w:rsid w:val="00151975"/>
    <w:rsid w:val="00152401"/>
    <w:rsid w:val="00153CDC"/>
    <w:rsid w:val="00155008"/>
    <w:rsid w:val="0015736D"/>
    <w:rsid w:val="00157520"/>
    <w:rsid w:val="0015794C"/>
    <w:rsid w:val="0016270F"/>
    <w:rsid w:val="0016311B"/>
    <w:rsid w:val="00164744"/>
    <w:rsid w:val="00166D53"/>
    <w:rsid w:val="00167326"/>
    <w:rsid w:val="00167431"/>
    <w:rsid w:val="001700D2"/>
    <w:rsid w:val="00170A10"/>
    <w:rsid w:val="001741A0"/>
    <w:rsid w:val="00175FA0"/>
    <w:rsid w:val="0017647F"/>
    <w:rsid w:val="00181643"/>
    <w:rsid w:val="001832D1"/>
    <w:rsid w:val="00185FF4"/>
    <w:rsid w:val="00186865"/>
    <w:rsid w:val="00187741"/>
    <w:rsid w:val="00190B63"/>
    <w:rsid w:val="00190F79"/>
    <w:rsid w:val="001926AA"/>
    <w:rsid w:val="00192BCB"/>
    <w:rsid w:val="00194CD0"/>
    <w:rsid w:val="001953E7"/>
    <w:rsid w:val="00195C3A"/>
    <w:rsid w:val="00196A1B"/>
    <w:rsid w:val="00197214"/>
    <w:rsid w:val="00197540"/>
    <w:rsid w:val="00197E60"/>
    <w:rsid w:val="001A07AF"/>
    <w:rsid w:val="001A1E1E"/>
    <w:rsid w:val="001A23EE"/>
    <w:rsid w:val="001A3357"/>
    <w:rsid w:val="001A387C"/>
    <w:rsid w:val="001A4756"/>
    <w:rsid w:val="001A55D1"/>
    <w:rsid w:val="001A5D91"/>
    <w:rsid w:val="001A66F5"/>
    <w:rsid w:val="001B0C1B"/>
    <w:rsid w:val="001B283B"/>
    <w:rsid w:val="001B3A9E"/>
    <w:rsid w:val="001B3BCA"/>
    <w:rsid w:val="001B4121"/>
    <w:rsid w:val="001B4233"/>
    <w:rsid w:val="001B49C9"/>
    <w:rsid w:val="001B6EA7"/>
    <w:rsid w:val="001B6EFA"/>
    <w:rsid w:val="001B7A65"/>
    <w:rsid w:val="001B7AE3"/>
    <w:rsid w:val="001C007D"/>
    <w:rsid w:val="001C019F"/>
    <w:rsid w:val="001C23F4"/>
    <w:rsid w:val="001C276D"/>
    <w:rsid w:val="001C3B4D"/>
    <w:rsid w:val="001C3CF1"/>
    <w:rsid w:val="001C434A"/>
    <w:rsid w:val="001C4F79"/>
    <w:rsid w:val="001C62D1"/>
    <w:rsid w:val="001C6F44"/>
    <w:rsid w:val="001C7B94"/>
    <w:rsid w:val="001C92BB"/>
    <w:rsid w:val="001D09AB"/>
    <w:rsid w:val="001D0C8B"/>
    <w:rsid w:val="001D0CEB"/>
    <w:rsid w:val="001D20C3"/>
    <w:rsid w:val="001D2D6D"/>
    <w:rsid w:val="001D4228"/>
    <w:rsid w:val="001D5877"/>
    <w:rsid w:val="001D5EFB"/>
    <w:rsid w:val="001D7A4E"/>
    <w:rsid w:val="001E2D0C"/>
    <w:rsid w:val="001E3292"/>
    <w:rsid w:val="001E38CC"/>
    <w:rsid w:val="001E4B4B"/>
    <w:rsid w:val="001E5D2A"/>
    <w:rsid w:val="001E7B2E"/>
    <w:rsid w:val="001F12F5"/>
    <w:rsid w:val="001F168B"/>
    <w:rsid w:val="001F1A46"/>
    <w:rsid w:val="001F2484"/>
    <w:rsid w:val="001F3C89"/>
    <w:rsid w:val="001F5054"/>
    <w:rsid w:val="001F51B5"/>
    <w:rsid w:val="001F52B3"/>
    <w:rsid w:val="001F61A3"/>
    <w:rsid w:val="001F6986"/>
    <w:rsid w:val="001F76FE"/>
    <w:rsid w:val="001F77DE"/>
    <w:rsid w:val="001F7831"/>
    <w:rsid w:val="00200747"/>
    <w:rsid w:val="002008B9"/>
    <w:rsid w:val="00200F17"/>
    <w:rsid w:val="00200F77"/>
    <w:rsid w:val="002028F9"/>
    <w:rsid w:val="0020359D"/>
    <w:rsid w:val="002035B5"/>
    <w:rsid w:val="00204045"/>
    <w:rsid w:val="002043A9"/>
    <w:rsid w:val="00204AA1"/>
    <w:rsid w:val="00204BEA"/>
    <w:rsid w:val="00206B43"/>
    <w:rsid w:val="00206CBB"/>
    <w:rsid w:val="0020712B"/>
    <w:rsid w:val="00207133"/>
    <w:rsid w:val="002077B0"/>
    <w:rsid w:val="00207C11"/>
    <w:rsid w:val="00207FD8"/>
    <w:rsid w:val="002103BD"/>
    <w:rsid w:val="00210B33"/>
    <w:rsid w:val="00212467"/>
    <w:rsid w:val="002136AB"/>
    <w:rsid w:val="00213A6F"/>
    <w:rsid w:val="002146DF"/>
    <w:rsid w:val="00214823"/>
    <w:rsid w:val="002157A1"/>
    <w:rsid w:val="002167D1"/>
    <w:rsid w:val="002171E5"/>
    <w:rsid w:val="00217769"/>
    <w:rsid w:val="002205F9"/>
    <w:rsid w:val="00221062"/>
    <w:rsid w:val="002216A4"/>
    <w:rsid w:val="00221BAB"/>
    <w:rsid w:val="002226DA"/>
    <w:rsid w:val="0022274D"/>
    <w:rsid w:val="00224640"/>
    <w:rsid w:val="0022606D"/>
    <w:rsid w:val="00227069"/>
    <w:rsid w:val="002279AE"/>
    <w:rsid w:val="002279DF"/>
    <w:rsid w:val="00227F29"/>
    <w:rsid w:val="00230079"/>
    <w:rsid w:val="00230FE7"/>
    <w:rsid w:val="00231728"/>
    <w:rsid w:val="00232ABB"/>
    <w:rsid w:val="00232F34"/>
    <w:rsid w:val="00234326"/>
    <w:rsid w:val="00235573"/>
    <w:rsid w:val="00236809"/>
    <w:rsid w:val="0024017D"/>
    <w:rsid w:val="00241F1A"/>
    <w:rsid w:val="00242AEF"/>
    <w:rsid w:val="0024467A"/>
    <w:rsid w:val="00244A05"/>
    <w:rsid w:val="00244B83"/>
    <w:rsid w:val="0024549B"/>
    <w:rsid w:val="00246F4C"/>
    <w:rsid w:val="00246FED"/>
    <w:rsid w:val="00247248"/>
    <w:rsid w:val="00247B4F"/>
    <w:rsid w:val="00250404"/>
    <w:rsid w:val="002520A3"/>
    <w:rsid w:val="00252E37"/>
    <w:rsid w:val="00252EBA"/>
    <w:rsid w:val="00253B6C"/>
    <w:rsid w:val="00254083"/>
    <w:rsid w:val="002549FC"/>
    <w:rsid w:val="00254D66"/>
    <w:rsid w:val="002553E6"/>
    <w:rsid w:val="002564D8"/>
    <w:rsid w:val="00256B74"/>
    <w:rsid w:val="00256C85"/>
    <w:rsid w:val="0025786D"/>
    <w:rsid w:val="0026057C"/>
    <w:rsid w:val="002610D8"/>
    <w:rsid w:val="00261978"/>
    <w:rsid w:val="00261D0C"/>
    <w:rsid w:val="00262545"/>
    <w:rsid w:val="00262868"/>
    <w:rsid w:val="00262886"/>
    <w:rsid w:val="00264474"/>
    <w:rsid w:val="00264B5B"/>
    <w:rsid w:val="00267854"/>
    <w:rsid w:val="00271508"/>
    <w:rsid w:val="00271986"/>
    <w:rsid w:val="002723E0"/>
    <w:rsid w:val="002727E4"/>
    <w:rsid w:val="002730D0"/>
    <w:rsid w:val="0027311F"/>
    <w:rsid w:val="00273CBC"/>
    <w:rsid w:val="00274527"/>
    <w:rsid w:val="002747EC"/>
    <w:rsid w:val="00276CF8"/>
    <w:rsid w:val="00276D5E"/>
    <w:rsid w:val="00276FEC"/>
    <w:rsid w:val="002775C5"/>
    <w:rsid w:val="00277BC0"/>
    <w:rsid w:val="00277C97"/>
    <w:rsid w:val="00277E69"/>
    <w:rsid w:val="0028038C"/>
    <w:rsid w:val="002807AE"/>
    <w:rsid w:val="00280D13"/>
    <w:rsid w:val="00281154"/>
    <w:rsid w:val="00281595"/>
    <w:rsid w:val="00281DD5"/>
    <w:rsid w:val="00281E94"/>
    <w:rsid w:val="002838E5"/>
    <w:rsid w:val="0028434F"/>
    <w:rsid w:val="002847CD"/>
    <w:rsid w:val="00284E59"/>
    <w:rsid w:val="00284EE2"/>
    <w:rsid w:val="00285254"/>
    <w:rsid w:val="002855BF"/>
    <w:rsid w:val="002859E9"/>
    <w:rsid w:val="002902F8"/>
    <w:rsid w:val="002912D1"/>
    <w:rsid w:val="00291B36"/>
    <w:rsid w:val="0029246C"/>
    <w:rsid w:val="00292934"/>
    <w:rsid w:val="00293AE9"/>
    <w:rsid w:val="00294126"/>
    <w:rsid w:val="00294DFF"/>
    <w:rsid w:val="00295AE4"/>
    <w:rsid w:val="002968C2"/>
    <w:rsid w:val="00297434"/>
    <w:rsid w:val="002A089A"/>
    <w:rsid w:val="002A1F51"/>
    <w:rsid w:val="002A2A9C"/>
    <w:rsid w:val="002A3736"/>
    <w:rsid w:val="002A4359"/>
    <w:rsid w:val="002A455C"/>
    <w:rsid w:val="002A5B10"/>
    <w:rsid w:val="002A64A6"/>
    <w:rsid w:val="002A6B44"/>
    <w:rsid w:val="002B0080"/>
    <w:rsid w:val="002B0182"/>
    <w:rsid w:val="002B183B"/>
    <w:rsid w:val="002B233D"/>
    <w:rsid w:val="002B2988"/>
    <w:rsid w:val="002B57A0"/>
    <w:rsid w:val="002B5C5D"/>
    <w:rsid w:val="002B7B23"/>
    <w:rsid w:val="002B7EAD"/>
    <w:rsid w:val="002C00BE"/>
    <w:rsid w:val="002C1838"/>
    <w:rsid w:val="002C1C0C"/>
    <w:rsid w:val="002C200E"/>
    <w:rsid w:val="002C43E6"/>
    <w:rsid w:val="002C45F5"/>
    <w:rsid w:val="002C6034"/>
    <w:rsid w:val="002C6EB4"/>
    <w:rsid w:val="002D013E"/>
    <w:rsid w:val="002D01DA"/>
    <w:rsid w:val="002D1903"/>
    <w:rsid w:val="002D3E3B"/>
    <w:rsid w:val="002D5BB4"/>
    <w:rsid w:val="002D6B4F"/>
    <w:rsid w:val="002E05AA"/>
    <w:rsid w:val="002E131C"/>
    <w:rsid w:val="002E1663"/>
    <w:rsid w:val="002E1B5B"/>
    <w:rsid w:val="002E47B9"/>
    <w:rsid w:val="002E50CE"/>
    <w:rsid w:val="002E548C"/>
    <w:rsid w:val="002E5957"/>
    <w:rsid w:val="002E6558"/>
    <w:rsid w:val="002E6B92"/>
    <w:rsid w:val="002F0212"/>
    <w:rsid w:val="002F080F"/>
    <w:rsid w:val="002F0D22"/>
    <w:rsid w:val="002F19B8"/>
    <w:rsid w:val="002F1C8F"/>
    <w:rsid w:val="002F1E50"/>
    <w:rsid w:val="002F2FBF"/>
    <w:rsid w:val="002F39FA"/>
    <w:rsid w:val="002F46ED"/>
    <w:rsid w:val="002F5B62"/>
    <w:rsid w:val="002F5FA5"/>
    <w:rsid w:val="002F62B2"/>
    <w:rsid w:val="002F760E"/>
    <w:rsid w:val="003003D5"/>
    <w:rsid w:val="00301F90"/>
    <w:rsid w:val="00302CAE"/>
    <w:rsid w:val="00303D78"/>
    <w:rsid w:val="003043C5"/>
    <w:rsid w:val="003056D2"/>
    <w:rsid w:val="00306FD3"/>
    <w:rsid w:val="003104A4"/>
    <w:rsid w:val="00310D1E"/>
    <w:rsid w:val="00311619"/>
    <w:rsid w:val="00311B17"/>
    <w:rsid w:val="00312330"/>
    <w:rsid w:val="0031274F"/>
    <w:rsid w:val="003128E8"/>
    <w:rsid w:val="00314273"/>
    <w:rsid w:val="003145CB"/>
    <w:rsid w:val="0031562A"/>
    <w:rsid w:val="00315C09"/>
    <w:rsid w:val="003164FF"/>
    <w:rsid w:val="00316EEF"/>
    <w:rsid w:val="003172DC"/>
    <w:rsid w:val="0031743D"/>
    <w:rsid w:val="00320897"/>
    <w:rsid w:val="0032133A"/>
    <w:rsid w:val="00321E62"/>
    <w:rsid w:val="00322741"/>
    <w:rsid w:val="00324DDE"/>
    <w:rsid w:val="00324F14"/>
    <w:rsid w:val="0032533B"/>
    <w:rsid w:val="00325AE3"/>
    <w:rsid w:val="00326069"/>
    <w:rsid w:val="00327CCC"/>
    <w:rsid w:val="00327F3E"/>
    <w:rsid w:val="003307BA"/>
    <w:rsid w:val="003313AB"/>
    <w:rsid w:val="00331985"/>
    <w:rsid w:val="00334F21"/>
    <w:rsid w:val="00335230"/>
    <w:rsid w:val="00335873"/>
    <w:rsid w:val="00335EB8"/>
    <w:rsid w:val="003368AB"/>
    <w:rsid w:val="0034053F"/>
    <w:rsid w:val="00341CD2"/>
    <w:rsid w:val="0034209C"/>
    <w:rsid w:val="003422E4"/>
    <w:rsid w:val="00342442"/>
    <w:rsid w:val="00343410"/>
    <w:rsid w:val="00343D46"/>
    <w:rsid w:val="00344ACB"/>
    <w:rsid w:val="00344CB7"/>
    <w:rsid w:val="003456AD"/>
    <w:rsid w:val="00345784"/>
    <w:rsid w:val="003478A4"/>
    <w:rsid w:val="00347D2D"/>
    <w:rsid w:val="00351855"/>
    <w:rsid w:val="0035462D"/>
    <w:rsid w:val="0035561B"/>
    <w:rsid w:val="00355B8D"/>
    <w:rsid w:val="003564D8"/>
    <w:rsid w:val="003610CC"/>
    <w:rsid w:val="0036132B"/>
    <w:rsid w:val="00362A0F"/>
    <w:rsid w:val="00362B53"/>
    <w:rsid w:val="0036433E"/>
    <w:rsid w:val="0036459E"/>
    <w:rsid w:val="00364B41"/>
    <w:rsid w:val="00364D34"/>
    <w:rsid w:val="003651E7"/>
    <w:rsid w:val="00365FC5"/>
    <w:rsid w:val="00365FE6"/>
    <w:rsid w:val="00366BA7"/>
    <w:rsid w:val="003670EB"/>
    <w:rsid w:val="00370266"/>
    <w:rsid w:val="003705FE"/>
    <w:rsid w:val="00371100"/>
    <w:rsid w:val="00371247"/>
    <w:rsid w:val="00371B91"/>
    <w:rsid w:val="00372AD3"/>
    <w:rsid w:val="00372B73"/>
    <w:rsid w:val="00372BE1"/>
    <w:rsid w:val="00374736"/>
    <w:rsid w:val="00374ED4"/>
    <w:rsid w:val="00377F3F"/>
    <w:rsid w:val="00380120"/>
    <w:rsid w:val="00381289"/>
    <w:rsid w:val="00381498"/>
    <w:rsid w:val="0038187C"/>
    <w:rsid w:val="00382FEF"/>
    <w:rsid w:val="00383096"/>
    <w:rsid w:val="003831FC"/>
    <w:rsid w:val="00383F26"/>
    <w:rsid w:val="00384B3B"/>
    <w:rsid w:val="00385965"/>
    <w:rsid w:val="003879D3"/>
    <w:rsid w:val="00387E92"/>
    <w:rsid w:val="003900B8"/>
    <w:rsid w:val="00390119"/>
    <w:rsid w:val="00390120"/>
    <w:rsid w:val="00390892"/>
    <w:rsid w:val="003910C6"/>
    <w:rsid w:val="0039238C"/>
    <w:rsid w:val="003923FA"/>
    <w:rsid w:val="00392C79"/>
    <w:rsid w:val="0039346C"/>
    <w:rsid w:val="00394F17"/>
    <w:rsid w:val="0039508E"/>
    <w:rsid w:val="00396447"/>
    <w:rsid w:val="003A41EF"/>
    <w:rsid w:val="003A52FE"/>
    <w:rsid w:val="003A7C8A"/>
    <w:rsid w:val="003B033D"/>
    <w:rsid w:val="003B193B"/>
    <w:rsid w:val="003B1C28"/>
    <w:rsid w:val="003B2128"/>
    <w:rsid w:val="003B2636"/>
    <w:rsid w:val="003B39E4"/>
    <w:rsid w:val="003B40AD"/>
    <w:rsid w:val="003B48FB"/>
    <w:rsid w:val="003B6198"/>
    <w:rsid w:val="003B665C"/>
    <w:rsid w:val="003B6CD0"/>
    <w:rsid w:val="003B73EF"/>
    <w:rsid w:val="003B7571"/>
    <w:rsid w:val="003C0408"/>
    <w:rsid w:val="003C2122"/>
    <w:rsid w:val="003C2623"/>
    <w:rsid w:val="003C455A"/>
    <w:rsid w:val="003C4E37"/>
    <w:rsid w:val="003C52EE"/>
    <w:rsid w:val="003C5564"/>
    <w:rsid w:val="003C68DF"/>
    <w:rsid w:val="003C73A6"/>
    <w:rsid w:val="003D0AC3"/>
    <w:rsid w:val="003D16F9"/>
    <w:rsid w:val="003D22EF"/>
    <w:rsid w:val="003D2AA8"/>
    <w:rsid w:val="003D50F3"/>
    <w:rsid w:val="003D52A0"/>
    <w:rsid w:val="003D54B8"/>
    <w:rsid w:val="003D5ADF"/>
    <w:rsid w:val="003D654B"/>
    <w:rsid w:val="003D6657"/>
    <w:rsid w:val="003D66C7"/>
    <w:rsid w:val="003D68BC"/>
    <w:rsid w:val="003D68F3"/>
    <w:rsid w:val="003D75B3"/>
    <w:rsid w:val="003E05EA"/>
    <w:rsid w:val="003E16BE"/>
    <w:rsid w:val="003E17F5"/>
    <w:rsid w:val="003E2712"/>
    <w:rsid w:val="003E2AFD"/>
    <w:rsid w:val="003E49F3"/>
    <w:rsid w:val="003E51F4"/>
    <w:rsid w:val="003E53E1"/>
    <w:rsid w:val="003E7A83"/>
    <w:rsid w:val="003E7FB0"/>
    <w:rsid w:val="003F0D66"/>
    <w:rsid w:val="003F12B2"/>
    <w:rsid w:val="003F3E84"/>
    <w:rsid w:val="003F4270"/>
    <w:rsid w:val="003F4C6A"/>
    <w:rsid w:val="003F4DDA"/>
    <w:rsid w:val="003F4E28"/>
    <w:rsid w:val="003F7CF5"/>
    <w:rsid w:val="004006E8"/>
    <w:rsid w:val="00400942"/>
    <w:rsid w:val="00400AE3"/>
    <w:rsid w:val="00400E0F"/>
    <w:rsid w:val="004012B0"/>
    <w:rsid w:val="004014DC"/>
    <w:rsid w:val="00401855"/>
    <w:rsid w:val="00402529"/>
    <w:rsid w:val="004049B3"/>
    <w:rsid w:val="00404CF2"/>
    <w:rsid w:val="00404F1D"/>
    <w:rsid w:val="00406274"/>
    <w:rsid w:val="004065BB"/>
    <w:rsid w:val="004066D5"/>
    <w:rsid w:val="004078C5"/>
    <w:rsid w:val="00411D54"/>
    <w:rsid w:val="00411E8A"/>
    <w:rsid w:val="004121F3"/>
    <w:rsid w:val="00412568"/>
    <w:rsid w:val="00412807"/>
    <w:rsid w:val="00412B45"/>
    <w:rsid w:val="004130EF"/>
    <w:rsid w:val="00414826"/>
    <w:rsid w:val="0041688D"/>
    <w:rsid w:val="00416C76"/>
    <w:rsid w:val="00422DFC"/>
    <w:rsid w:val="0042400E"/>
    <w:rsid w:val="004248D9"/>
    <w:rsid w:val="00424E6A"/>
    <w:rsid w:val="00425143"/>
    <w:rsid w:val="0042579B"/>
    <w:rsid w:val="00425AFC"/>
    <w:rsid w:val="00427283"/>
    <w:rsid w:val="00427F4B"/>
    <w:rsid w:val="00431178"/>
    <w:rsid w:val="00431E6D"/>
    <w:rsid w:val="004338E4"/>
    <w:rsid w:val="00433E54"/>
    <w:rsid w:val="00437FBB"/>
    <w:rsid w:val="00441E67"/>
    <w:rsid w:val="00442052"/>
    <w:rsid w:val="004427A6"/>
    <w:rsid w:val="00446C3A"/>
    <w:rsid w:val="004519D1"/>
    <w:rsid w:val="00451F8C"/>
    <w:rsid w:val="00453623"/>
    <w:rsid w:val="00454446"/>
    <w:rsid w:val="0045543B"/>
    <w:rsid w:val="0045597C"/>
    <w:rsid w:val="00455FAA"/>
    <w:rsid w:val="00461294"/>
    <w:rsid w:val="0046163E"/>
    <w:rsid w:val="00462B06"/>
    <w:rsid w:val="00462CCF"/>
    <w:rsid w:val="00465587"/>
    <w:rsid w:val="00465FF1"/>
    <w:rsid w:val="00466B0E"/>
    <w:rsid w:val="00474911"/>
    <w:rsid w:val="00474E05"/>
    <w:rsid w:val="00474F2B"/>
    <w:rsid w:val="004754D4"/>
    <w:rsid w:val="00476484"/>
    <w:rsid w:val="00477455"/>
    <w:rsid w:val="00480886"/>
    <w:rsid w:val="004809A9"/>
    <w:rsid w:val="00482F93"/>
    <w:rsid w:val="00483185"/>
    <w:rsid w:val="00483A78"/>
    <w:rsid w:val="00483A91"/>
    <w:rsid w:val="00484208"/>
    <w:rsid w:val="00484281"/>
    <w:rsid w:val="004843DD"/>
    <w:rsid w:val="00485935"/>
    <w:rsid w:val="00486030"/>
    <w:rsid w:val="00486A43"/>
    <w:rsid w:val="004870FA"/>
    <w:rsid w:val="004876A4"/>
    <w:rsid w:val="0048782E"/>
    <w:rsid w:val="004904D9"/>
    <w:rsid w:val="004916B2"/>
    <w:rsid w:val="00491B12"/>
    <w:rsid w:val="00491C19"/>
    <w:rsid w:val="00492C65"/>
    <w:rsid w:val="0049339D"/>
    <w:rsid w:val="004936EA"/>
    <w:rsid w:val="004939BE"/>
    <w:rsid w:val="00493C38"/>
    <w:rsid w:val="004958DA"/>
    <w:rsid w:val="00495FE7"/>
    <w:rsid w:val="00496B54"/>
    <w:rsid w:val="00497E94"/>
    <w:rsid w:val="004A1614"/>
    <w:rsid w:val="004A1803"/>
    <w:rsid w:val="004A1EEC"/>
    <w:rsid w:val="004A1F7B"/>
    <w:rsid w:val="004A455B"/>
    <w:rsid w:val="004A4966"/>
    <w:rsid w:val="004A52F2"/>
    <w:rsid w:val="004B09FB"/>
    <w:rsid w:val="004B0C26"/>
    <w:rsid w:val="004B1033"/>
    <w:rsid w:val="004B1412"/>
    <w:rsid w:val="004B1BA2"/>
    <w:rsid w:val="004B1ED1"/>
    <w:rsid w:val="004B26DA"/>
    <w:rsid w:val="004B48FB"/>
    <w:rsid w:val="004B491A"/>
    <w:rsid w:val="004B6BAF"/>
    <w:rsid w:val="004C06B2"/>
    <w:rsid w:val="004C0C88"/>
    <w:rsid w:val="004C0F1B"/>
    <w:rsid w:val="004C13D9"/>
    <w:rsid w:val="004C2AA2"/>
    <w:rsid w:val="004C3307"/>
    <w:rsid w:val="004C39E6"/>
    <w:rsid w:val="004C3B0C"/>
    <w:rsid w:val="004C44D2"/>
    <w:rsid w:val="004C525D"/>
    <w:rsid w:val="004C6147"/>
    <w:rsid w:val="004D0786"/>
    <w:rsid w:val="004D0D9B"/>
    <w:rsid w:val="004D0F2B"/>
    <w:rsid w:val="004D250C"/>
    <w:rsid w:val="004D3578"/>
    <w:rsid w:val="004D380D"/>
    <w:rsid w:val="004D38A7"/>
    <w:rsid w:val="004D3A0A"/>
    <w:rsid w:val="004D59EB"/>
    <w:rsid w:val="004D6787"/>
    <w:rsid w:val="004E0C95"/>
    <w:rsid w:val="004E1A01"/>
    <w:rsid w:val="004E213A"/>
    <w:rsid w:val="004E217B"/>
    <w:rsid w:val="004E2367"/>
    <w:rsid w:val="004E3A43"/>
    <w:rsid w:val="004E3F67"/>
    <w:rsid w:val="004E54A6"/>
    <w:rsid w:val="004F1351"/>
    <w:rsid w:val="004F145D"/>
    <w:rsid w:val="004F20A4"/>
    <w:rsid w:val="004F29F3"/>
    <w:rsid w:val="004F361F"/>
    <w:rsid w:val="004F4510"/>
    <w:rsid w:val="004F4540"/>
    <w:rsid w:val="004F73A7"/>
    <w:rsid w:val="004F7C76"/>
    <w:rsid w:val="005025F7"/>
    <w:rsid w:val="0050277A"/>
    <w:rsid w:val="00503171"/>
    <w:rsid w:val="005038F4"/>
    <w:rsid w:val="00503EA3"/>
    <w:rsid w:val="0050406A"/>
    <w:rsid w:val="00506508"/>
    <w:rsid w:val="00506C28"/>
    <w:rsid w:val="0051167B"/>
    <w:rsid w:val="00511ECB"/>
    <w:rsid w:val="00512271"/>
    <w:rsid w:val="00513628"/>
    <w:rsid w:val="00514718"/>
    <w:rsid w:val="00517321"/>
    <w:rsid w:val="0051738E"/>
    <w:rsid w:val="00517A35"/>
    <w:rsid w:val="00521079"/>
    <w:rsid w:val="00524042"/>
    <w:rsid w:val="00524BFB"/>
    <w:rsid w:val="00526E81"/>
    <w:rsid w:val="00527215"/>
    <w:rsid w:val="005314A4"/>
    <w:rsid w:val="00531513"/>
    <w:rsid w:val="00533ACA"/>
    <w:rsid w:val="00534DA0"/>
    <w:rsid w:val="00535565"/>
    <w:rsid w:val="00535A99"/>
    <w:rsid w:val="00536CF8"/>
    <w:rsid w:val="00537A92"/>
    <w:rsid w:val="00540E98"/>
    <w:rsid w:val="005411F1"/>
    <w:rsid w:val="005413C1"/>
    <w:rsid w:val="00541527"/>
    <w:rsid w:val="00541954"/>
    <w:rsid w:val="0054250C"/>
    <w:rsid w:val="00543BA0"/>
    <w:rsid w:val="00543E6C"/>
    <w:rsid w:val="00543F93"/>
    <w:rsid w:val="005445C4"/>
    <w:rsid w:val="00546E8B"/>
    <w:rsid w:val="005472A1"/>
    <w:rsid w:val="0054759C"/>
    <w:rsid w:val="00547D4F"/>
    <w:rsid w:val="00550F06"/>
    <w:rsid w:val="00555144"/>
    <w:rsid w:val="00555BDE"/>
    <w:rsid w:val="005566ED"/>
    <w:rsid w:val="00557A20"/>
    <w:rsid w:val="005611F3"/>
    <w:rsid w:val="005617DF"/>
    <w:rsid w:val="00564C23"/>
    <w:rsid w:val="00565087"/>
    <w:rsid w:val="0056523D"/>
    <w:rsid w:val="00565263"/>
    <w:rsid w:val="0056573F"/>
    <w:rsid w:val="00565FD4"/>
    <w:rsid w:val="00566455"/>
    <w:rsid w:val="005705B3"/>
    <w:rsid w:val="00571279"/>
    <w:rsid w:val="005726D6"/>
    <w:rsid w:val="005730FE"/>
    <w:rsid w:val="00577126"/>
    <w:rsid w:val="00577717"/>
    <w:rsid w:val="00577E89"/>
    <w:rsid w:val="00577FA4"/>
    <w:rsid w:val="00580A19"/>
    <w:rsid w:val="00583C80"/>
    <w:rsid w:val="00585945"/>
    <w:rsid w:val="00585A95"/>
    <w:rsid w:val="00585E0E"/>
    <w:rsid w:val="00587B65"/>
    <w:rsid w:val="00591E97"/>
    <w:rsid w:val="005923F3"/>
    <w:rsid w:val="00594480"/>
    <w:rsid w:val="00594AFB"/>
    <w:rsid w:val="00594D6E"/>
    <w:rsid w:val="00594F9A"/>
    <w:rsid w:val="005951FE"/>
    <w:rsid w:val="00595B1E"/>
    <w:rsid w:val="005A1024"/>
    <w:rsid w:val="005A13AB"/>
    <w:rsid w:val="005A17C4"/>
    <w:rsid w:val="005A1895"/>
    <w:rsid w:val="005A1E82"/>
    <w:rsid w:val="005A21A0"/>
    <w:rsid w:val="005A2AB2"/>
    <w:rsid w:val="005A49C6"/>
    <w:rsid w:val="005A4D9C"/>
    <w:rsid w:val="005B0243"/>
    <w:rsid w:val="005B2715"/>
    <w:rsid w:val="005B27C1"/>
    <w:rsid w:val="005B2A5C"/>
    <w:rsid w:val="005B2B1A"/>
    <w:rsid w:val="005B2E83"/>
    <w:rsid w:val="005B2EF1"/>
    <w:rsid w:val="005B311B"/>
    <w:rsid w:val="005B3725"/>
    <w:rsid w:val="005B37B6"/>
    <w:rsid w:val="005B4450"/>
    <w:rsid w:val="005B477E"/>
    <w:rsid w:val="005B4F84"/>
    <w:rsid w:val="005B58B7"/>
    <w:rsid w:val="005B5EF6"/>
    <w:rsid w:val="005C037E"/>
    <w:rsid w:val="005C1022"/>
    <w:rsid w:val="005C126F"/>
    <w:rsid w:val="005C1509"/>
    <w:rsid w:val="005C1556"/>
    <w:rsid w:val="005C17A9"/>
    <w:rsid w:val="005C19B9"/>
    <w:rsid w:val="005C3091"/>
    <w:rsid w:val="005C328E"/>
    <w:rsid w:val="005C39DA"/>
    <w:rsid w:val="005C434A"/>
    <w:rsid w:val="005C7303"/>
    <w:rsid w:val="005C766E"/>
    <w:rsid w:val="005C7985"/>
    <w:rsid w:val="005C7CD5"/>
    <w:rsid w:val="005D0AB8"/>
    <w:rsid w:val="005D1271"/>
    <w:rsid w:val="005D2167"/>
    <w:rsid w:val="005D44BB"/>
    <w:rsid w:val="005D62FC"/>
    <w:rsid w:val="005D64D3"/>
    <w:rsid w:val="005D7D9C"/>
    <w:rsid w:val="005E0B0F"/>
    <w:rsid w:val="005E11CC"/>
    <w:rsid w:val="005E1671"/>
    <w:rsid w:val="005E1FF6"/>
    <w:rsid w:val="005E285A"/>
    <w:rsid w:val="005E30A8"/>
    <w:rsid w:val="005E3500"/>
    <w:rsid w:val="005E3E38"/>
    <w:rsid w:val="005E5D3C"/>
    <w:rsid w:val="005E65F7"/>
    <w:rsid w:val="005E69DF"/>
    <w:rsid w:val="005E7555"/>
    <w:rsid w:val="005F0175"/>
    <w:rsid w:val="005F0AC5"/>
    <w:rsid w:val="005F0DD3"/>
    <w:rsid w:val="005F0EC3"/>
    <w:rsid w:val="005F131C"/>
    <w:rsid w:val="005F15E7"/>
    <w:rsid w:val="005F19D8"/>
    <w:rsid w:val="005F2CC9"/>
    <w:rsid w:val="005F3E87"/>
    <w:rsid w:val="005F4460"/>
    <w:rsid w:val="005F45F0"/>
    <w:rsid w:val="005F7DBD"/>
    <w:rsid w:val="00600256"/>
    <w:rsid w:val="00600876"/>
    <w:rsid w:val="00600A77"/>
    <w:rsid w:val="00601B80"/>
    <w:rsid w:val="00601C08"/>
    <w:rsid w:val="00602B1B"/>
    <w:rsid w:val="00602C40"/>
    <w:rsid w:val="00603EA6"/>
    <w:rsid w:val="00604314"/>
    <w:rsid w:val="00606948"/>
    <w:rsid w:val="006100B8"/>
    <w:rsid w:val="0061055A"/>
    <w:rsid w:val="0061080A"/>
    <w:rsid w:val="00611566"/>
    <w:rsid w:val="006119C4"/>
    <w:rsid w:val="006139E0"/>
    <w:rsid w:val="00614EEA"/>
    <w:rsid w:val="00617C16"/>
    <w:rsid w:val="0062085D"/>
    <w:rsid w:val="00620985"/>
    <w:rsid w:val="0062098E"/>
    <w:rsid w:val="006212BC"/>
    <w:rsid w:val="00622E0E"/>
    <w:rsid w:val="006241DA"/>
    <w:rsid w:val="0062448E"/>
    <w:rsid w:val="0062499F"/>
    <w:rsid w:val="00627C71"/>
    <w:rsid w:val="0063030D"/>
    <w:rsid w:val="0063190F"/>
    <w:rsid w:val="00632415"/>
    <w:rsid w:val="006327C7"/>
    <w:rsid w:val="00632AFC"/>
    <w:rsid w:val="00632EA0"/>
    <w:rsid w:val="00634102"/>
    <w:rsid w:val="006342BB"/>
    <w:rsid w:val="00634586"/>
    <w:rsid w:val="00634F42"/>
    <w:rsid w:val="00635964"/>
    <w:rsid w:val="00635A44"/>
    <w:rsid w:val="00637659"/>
    <w:rsid w:val="00640B31"/>
    <w:rsid w:val="006415CF"/>
    <w:rsid w:val="00641C35"/>
    <w:rsid w:val="006426C2"/>
    <w:rsid w:val="00642FB1"/>
    <w:rsid w:val="0064422A"/>
    <w:rsid w:val="00646D99"/>
    <w:rsid w:val="00650EDC"/>
    <w:rsid w:val="00651AD1"/>
    <w:rsid w:val="0065399A"/>
    <w:rsid w:val="00654199"/>
    <w:rsid w:val="006544DD"/>
    <w:rsid w:val="00655B59"/>
    <w:rsid w:val="0065681A"/>
    <w:rsid w:val="00656910"/>
    <w:rsid w:val="006574C0"/>
    <w:rsid w:val="0065774F"/>
    <w:rsid w:val="00660B3E"/>
    <w:rsid w:val="0066165E"/>
    <w:rsid w:val="0066245A"/>
    <w:rsid w:val="006634BB"/>
    <w:rsid w:val="00663AE9"/>
    <w:rsid w:val="00663D65"/>
    <w:rsid w:val="006652DD"/>
    <w:rsid w:val="00665EF2"/>
    <w:rsid w:val="006663F2"/>
    <w:rsid w:val="00667953"/>
    <w:rsid w:val="0067093C"/>
    <w:rsid w:val="00671523"/>
    <w:rsid w:val="00671E78"/>
    <w:rsid w:val="0067308A"/>
    <w:rsid w:val="00673314"/>
    <w:rsid w:val="00673340"/>
    <w:rsid w:val="00674766"/>
    <w:rsid w:val="00674A36"/>
    <w:rsid w:val="00674DB5"/>
    <w:rsid w:val="0067607B"/>
    <w:rsid w:val="0067690B"/>
    <w:rsid w:val="0067760F"/>
    <w:rsid w:val="00680C8E"/>
    <w:rsid w:val="00681C7F"/>
    <w:rsid w:val="0068249C"/>
    <w:rsid w:val="00683BA2"/>
    <w:rsid w:val="0069030B"/>
    <w:rsid w:val="0069055C"/>
    <w:rsid w:val="006906CA"/>
    <w:rsid w:val="00690F0A"/>
    <w:rsid w:val="00691977"/>
    <w:rsid w:val="00691D58"/>
    <w:rsid w:val="00692E8E"/>
    <w:rsid w:val="00693F90"/>
    <w:rsid w:val="006951B7"/>
    <w:rsid w:val="00696821"/>
    <w:rsid w:val="006969AB"/>
    <w:rsid w:val="006A0389"/>
    <w:rsid w:val="006A1579"/>
    <w:rsid w:val="006A2261"/>
    <w:rsid w:val="006A2330"/>
    <w:rsid w:val="006A286F"/>
    <w:rsid w:val="006A28AD"/>
    <w:rsid w:val="006A2960"/>
    <w:rsid w:val="006A2F4A"/>
    <w:rsid w:val="006A35EC"/>
    <w:rsid w:val="006A4064"/>
    <w:rsid w:val="006B0166"/>
    <w:rsid w:val="006B03C3"/>
    <w:rsid w:val="006B06ED"/>
    <w:rsid w:val="006B250C"/>
    <w:rsid w:val="006B30F3"/>
    <w:rsid w:val="006B327C"/>
    <w:rsid w:val="006B4178"/>
    <w:rsid w:val="006B559B"/>
    <w:rsid w:val="006B5626"/>
    <w:rsid w:val="006B65A0"/>
    <w:rsid w:val="006C0655"/>
    <w:rsid w:val="006C11B3"/>
    <w:rsid w:val="006C1741"/>
    <w:rsid w:val="006C2B21"/>
    <w:rsid w:val="006C2D22"/>
    <w:rsid w:val="006C35CE"/>
    <w:rsid w:val="006C3FB2"/>
    <w:rsid w:val="006C4112"/>
    <w:rsid w:val="006C4BB7"/>
    <w:rsid w:val="006C4C4A"/>
    <w:rsid w:val="006C6431"/>
    <w:rsid w:val="006C66D8"/>
    <w:rsid w:val="006C69F6"/>
    <w:rsid w:val="006C6E7A"/>
    <w:rsid w:val="006C7157"/>
    <w:rsid w:val="006C7BC5"/>
    <w:rsid w:val="006C7D96"/>
    <w:rsid w:val="006D031C"/>
    <w:rsid w:val="006D0850"/>
    <w:rsid w:val="006D0FD3"/>
    <w:rsid w:val="006D1E24"/>
    <w:rsid w:val="006D240A"/>
    <w:rsid w:val="006D35DE"/>
    <w:rsid w:val="006D3F21"/>
    <w:rsid w:val="006D411A"/>
    <w:rsid w:val="006D6139"/>
    <w:rsid w:val="006D79A6"/>
    <w:rsid w:val="006E1057"/>
    <w:rsid w:val="006E1417"/>
    <w:rsid w:val="006E360A"/>
    <w:rsid w:val="006E389A"/>
    <w:rsid w:val="006F0397"/>
    <w:rsid w:val="006F094A"/>
    <w:rsid w:val="006F1796"/>
    <w:rsid w:val="006F4CAC"/>
    <w:rsid w:val="006F5443"/>
    <w:rsid w:val="006F5E78"/>
    <w:rsid w:val="006F6A2C"/>
    <w:rsid w:val="006F703A"/>
    <w:rsid w:val="006F7093"/>
    <w:rsid w:val="00700EF8"/>
    <w:rsid w:val="00703CD7"/>
    <w:rsid w:val="00704917"/>
    <w:rsid w:val="007049EB"/>
    <w:rsid w:val="00705046"/>
    <w:rsid w:val="00705790"/>
    <w:rsid w:val="00705A25"/>
    <w:rsid w:val="0070673C"/>
    <w:rsid w:val="007068CD"/>
    <w:rsid w:val="007069DC"/>
    <w:rsid w:val="00707C3C"/>
    <w:rsid w:val="00707CD8"/>
    <w:rsid w:val="00710201"/>
    <w:rsid w:val="00712D2C"/>
    <w:rsid w:val="00713B62"/>
    <w:rsid w:val="00713BFC"/>
    <w:rsid w:val="00714D76"/>
    <w:rsid w:val="00714FBA"/>
    <w:rsid w:val="00715D83"/>
    <w:rsid w:val="0071725F"/>
    <w:rsid w:val="007205BF"/>
    <w:rsid w:val="0072073A"/>
    <w:rsid w:val="00720747"/>
    <w:rsid w:val="00722DBF"/>
    <w:rsid w:val="00722F8D"/>
    <w:rsid w:val="00723391"/>
    <w:rsid w:val="007235A2"/>
    <w:rsid w:val="00725F61"/>
    <w:rsid w:val="0072671F"/>
    <w:rsid w:val="00726730"/>
    <w:rsid w:val="00726F69"/>
    <w:rsid w:val="00727831"/>
    <w:rsid w:val="00730763"/>
    <w:rsid w:val="00732809"/>
    <w:rsid w:val="00732DA6"/>
    <w:rsid w:val="00733754"/>
    <w:rsid w:val="007342B5"/>
    <w:rsid w:val="00734A5B"/>
    <w:rsid w:val="007352AD"/>
    <w:rsid w:val="00735AEB"/>
    <w:rsid w:val="00736853"/>
    <w:rsid w:val="0074012E"/>
    <w:rsid w:val="0074198B"/>
    <w:rsid w:val="00743D4B"/>
    <w:rsid w:val="0074442E"/>
    <w:rsid w:val="00744457"/>
    <w:rsid w:val="007445DA"/>
    <w:rsid w:val="007449FA"/>
    <w:rsid w:val="00744C1E"/>
    <w:rsid w:val="00744E76"/>
    <w:rsid w:val="007451A6"/>
    <w:rsid w:val="00745A99"/>
    <w:rsid w:val="00746199"/>
    <w:rsid w:val="007464A6"/>
    <w:rsid w:val="00746DFE"/>
    <w:rsid w:val="0074740A"/>
    <w:rsid w:val="0075049A"/>
    <w:rsid w:val="00750E0B"/>
    <w:rsid w:val="00750F1B"/>
    <w:rsid w:val="00751128"/>
    <w:rsid w:val="007516FE"/>
    <w:rsid w:val="0075185A"/>
    <w:rsid w:val="00751BE5"/>
    <w:rsid w:val="00751D4A"/>
    <w:rsid w:val="00754D60"/>
    <w:rsid w:val="00754FCD"/>
    <w:rsid w:val="00757CD0"/>
    <w:rsid w:val="00757D2A"/>
    <w:rsid w:val="00757D40"/>
    <w:rsid w:val="00760259"/>
    <w:rsid w:val="00760743"/>
    <w:rsid w:val="007638C0"/>
    <w:rsid w:val="007662B5"/>
    <w:rsid w:val="00770C26"/>
    <w:rsid w:val="00772773"/>
    <w:rsid w:val="007727E0"/>
    <w:rsid w:val="00773C02"/>
    <w:rsid w:val="00775BF7"/>
    <w:rsid w:val="00776CBA"/>
    <w:rsid w:val="0077709E"/>
    <w:rsid w:val="007773CA"/>
    <w:rsid w:val="00780742"/>
    <w:rsid w:val="00781F0F"/>
    <w:rsid w:val="0078605B"/>
    <w:rsid w:val="007862C1"/>
    <w:rsid w:val="0078727C"/>
    <w:rsid w:val="00787BB3"/>
    <w:rsid w:val="0079049D"/>
    <w:rsid w:val="00792A24"/>
    <w:rsid w:val="007931C2"/>
    <w:rsid w:val="00793DC5"/>
    <w:rsid w:val="00796823"/>
    <w:rsid w:val="007975EF"/>
    <w:rsid w:val="007A0951"/>
    <w:rsid w:val="007A2076"/>
    <w:rsid w:val="007A2106"/>
    <w:rsid w:val="007A2E55"/>
    <w:rsid w:val="007A30EA"/>
    <w:rsid w:val="007A3878"/>
    <w:rsid w:val="007A42B5"/>
    <w:rsid w:val="007A4D85"/>
    <w:rsid w:val="007A580B"/>
    <w:rsid w:val="007A60E8"/>
    <w:rsid w:val="007A6153"/>
    <w:rsid w:val="007B18D8"/>
    <w:rsid w:val="007B2182"/>
    <w:rsid w:val="007B3046"/>
    <w:rsid w:val="007B33ED"/>
    <w:rsid w:val="007B4777"/>
    <w:rsid w:val="007B47DB"/>
    <w:rsid w:val="007B4942"/>
    <w:rsid w:val="007B53E1"/>
    <w:rsid w:val="007B5918"/>
    <w:rsid w:val="007B70EC"/>
    <w:rsid w:val="007C095F"/>
    <w:rsid w:val="007C0FD9"/>
    <w:rsid w:val="007C210D"/>
    <w:rsid w:val="007C2285"/>
    <w:rsid w:val="007C24B0"/>
    <w:rsid w:val="007C2DD0"/>
    <w:rsid w:val="007C456C"/>
    <w:rsid w:val="007C45C0"/>
    <w:rsid w:val="007C4AF0"/>
    <w:rsid w:val="007C6627"/>
    <w:rsid w:val="007C7B98"/>
    <w:rsid w:val="007D1600"/>
    <w:rsid w:val="007D23B5"/>
    <w:rsid w:val="007D2D4D"/>
    <w:rsid w:val="007D34C5"/>
    <w:rsid w:val="007D3C0E"/>
    <w:rsid w:val="007D426C"/>
    <w:rsid w:val="007D443E"/>
    <w:rsid w:val="007D49DD"/>
    <w:rsid w:val="007D5D83"/>
    <w:rsid w:val="007D6DE7"/>
    <w:rsid w:val="007D7D4E"/>
    <w:rsid w:val="007E1894"/>
    <w:rsid w:val="007E2100"/>
    <w:rsid w:val="007E26D6"/>
    <w:rsid w:val="007E2879"/>
    <w:rsid w:val="007E3C2C"/>
    <w:rsid w:val="007E5464"/>
    <w:rsid w:val="007E54B1"/>
    <w:rsid w:val="007E62E3"/>
    <w:rsid w:val="007F02D9"/>
    <w:rsid w:val="007F0363"/>
    <w:rsid w:val="007F03B2"/>
    <w:rsid w:val="007F0C83"/>
    <w:rsid w:val="007F2983"/>
    <w:rsid w:val="007F2E08"/>
    <w:rsid w:val="007F562E"/>
    <w:rsid w:val="007F5CDE"/>
    <w:rsid w:val="007F7A45"/>
    <w:rsid w:val="008003B4"/>
    <w:rsid w:val="00800903"/>
    <w:rsid w:val="00801B2C"/>
    <w:rsid w:val="008024FA"/>
    <w:rsid w:val="008028A4"/>
    <w:rsid w:val="008045C4"/>
    <w:rsid w:val="0080482A"/>
    <w:rsid w:val="008049F9"/>
    <w:rsid w:val="00804EEF"/>
    <w:rsid w:val="00806445"/>
    <w:rsid w:val="00806ABD"/>
    <w:rsid w:val="008108E2"/>
    <w:rsid w:val="0081107C"/>
    <w:rsid w:val="00811DE8"/>
    <w:rsid w:val="00813245"/>
    <w:rsid w:val="0081409B"/>
    <w:rsid w:val="00815047"/>
    <w:rsid w:val="008151C6"/>
    <w:rsid w:val="008168F3"/>
    <w:rsid w:val="00817EA2"/>
    <w:rsid w:val="0082039D"/>
    <w:rsid w:val="008213AF"/>
    <w:rsid w:val="0082260C"/>
    <w:rsid w:val="00824570"/>
    <w:rsid w:val="008274CC"/>
    <w:rsid w:val="00830AC1"/>
    <w:rsid w:val="00830B3D"/>
    <w:rsid w:val="00831415"/>
    <w:rsid w:val="00831EC3"/>
    <w:rsid w:val="008325CB"/>
    <w:rsid w:val="00832E4D"/>
    <w:rsid w:val="0083356C"/>
    <w:rsid w:val="00834FD7"/>
    <w:rsid w:val="008350A5"/>
    <w:rsid w:val="008372D4"/>
    <w:rsid w:val="00837376"/>
    <w:rsid w:val="0083763A"/>
    <w:rsid w:val="0083772D"/>
    <w:rsid w:val="0083792C"/>
    <w:rsid w:val="00840114"/>
    <w:rsid w:val="0084063C"/>
    <w:rsid w:val="00840DE0"/>
    <w:rsid w:val="008420D1"/>
    <w:rsid w:val="00842329"/>
    <w:rsid w:val="00842F34"/>
    <w:rsid w:val="008430E2"/>
    <w:rsid w:val="00843DA9"/>
    <w:rsid w:val="00843E7F"/>
    <w:rsid w:val="00844581"/>
    <w:rsid w:val="00847CD0"/>
    <w:rsid w:val="00847FB8"/>
    <w:rsid w:val="0085042D"/>
    <w:rsid w:val="00850555"/>
    <w:rsid w:val="008515D5"/>
    <w:rsid w:val="00851CF8"/>
    <w:rsid w:val="00852301"/>
    <w:rsid w:val="00852454"/>
    <w:rsid w:val="00853290"/>
    <w:rsid w:val="00853D45"/>
    <w:rsid w:val="0085586F"/>
    <w:rsid w:val="00856215"/>
    <w:rsid w:val="0085666E"/>
    <w:rsid w:val="0085682B"/>
    <w:rsid w:val="00857426"/>
    <w:rsid w:val="008578EB"/>
    <w:rsid w:val="00857BEF"/>
    <w:rsid w:val="008600FE"/>
    <w:rsid w:val="008607A8"/>
    <w:rsid w:val="00860DF5"/>
    <w:rsid w:val="00861789"/>
    <w:rsid w:val="0086354A"/>
    <w:rsid w:val="008661F3"/>
    <w:rsid w:val="00866444"/>
    <w:rsid w:val="008673E2"/>
    <w:rsid w:val="008679B7"/>
    <w:rsid w:val="00870E7A"/>
    <w:rsid w:val="008768CA"/>
    <w:rsid w:val="00876C2D"/>
    <w:rsid w:val="00876E48"/>
    <w:rsid w:val="00877AC4"/>
    <w:rsid w:val="00877EF9"/>
    <w:rsid w:val="00880559"/>
    <w:rsid w:val="00880678"/>
    <w:rsid w:val="00880854"/>
    <w:rsid w:val="00880878"/>
    <w:rsid w:val="0088244B"/>
    <w:rsid w:val="0088340E"/>
    <w:rsid w:val="0088371E"/>
    <w:rsid w:val="00883E16"/>
    <w:rsid w:val="00884F6A"/>
    <w:rsid w:val="008851A0"/>
    <w:rsid w:val="008855BA"/>
    <w:rsid w:val="00885AE7"/>
    <w:rsid w:val="00885BCD"/>
    <w:rsid w:val="00886FB9"/>
    <w:rsid w:val="00890F88"/>
    <w:rsid w:val="0089106A"/>
    <w:rsid w:val="00891336"/>
    <w:rsid w:val="0089335B"/>
    <w:rsid w:val="0089366A"/>
    <w:rsid w:val="008948D7"/>
    <w:rsid w:val="0089641D"/>
    <w:rsid w:val="00896A95"/>
    <w:rsid w:val="0089710B"/>
    <w:rsid w:val="00897342"/>
    <w:rsid w:val="008A1CE4"/>
    <w:rsid w:val="008A2824"/>
    <w:rsid w:val="008A28AC"/>
    <w:rsid w:val="008A2F66"/>
    <w:rsid w:val="008A3765"/>
    <w:rsid w:val="008A4E2A"/>
    <w:rsid w:val="008A6E06"/>
    <w:rsid w:val="008A7849"/>
    <w:rsid w:val="008B0388"/>
    <w:rsid w:val="008B0666"/>
    <w:rsid w:val="008B0E08"/>
    <w:rsid w:val="008B12BF"/>
    <w:rsid w:val="008B2B02"/>
    <w:rsid w:val="008B482B"/>
    <w:rsid w:val="008B5130"/>
    <w:rsid w:val="008B51C8"/>
    <w:rsid w:val="008B5306"/>
    <w:rsid w:val="008B53EE"/>
    <w:rsid w:val="008B728E"/>
    <w:rsid w:val="008C0527"/>
    <w:rsid w:val="008C0639"/>
    <w:rsid w:val="008C285C"/>
    <w:rsid w:val="008C2E2A"/>
    <w:rsid w:val="008C3057"/>
    <w:rsid w:val="008C3744"/>
    <w:rsid w:val="008C49F4"/>
    <w:rsid w:val="008C6750"/>
    <w:rsid w:val="008D1026"/>
    <w:rsid w:val="008D2336"/>
    <w:rsid w:val="008D2E4D"/>
    <w:rsid w:val="008D39F3"/>
    <w:rsid w:val="008D472D"/>
    <w:rsid w:val="008D7171"/>
    <w:rsid w:val="008D7479"/>
    <w:rsid w:val="008D7ADD"/>
    <w:rsid w:val="008E2DB9"/>
    <w:rsid w:val="008E322B"/>
    <w:rsid w:val="008E3628"/>
    <w:rsid w:val="008E5498"/>
    <w:rsid w:val="008E6B34"/>
    <w:rsid w:val="008E6D2E"/>
    <w:rsid w:val="008E7C81"/>
    <w:rsid w:val="008F10F1"/>
    <w:rsid w:val="008F2588"/>
    <w:rsid w:val="008F396F"/>
    <w:rsid w:val="008F3DCD"/>
    <w:rsid w:val="008F3FD2"/>
    <w:rsid w:val="008F43F3"/>
    <w:rsid w:val="008F4ED3"/>
    <w:rsid w:val="008F6925"/>
    <w:rsid w:val="0090162E"/>
    <w:rsid w:val="00901A38"/>
    <w:rsid w:val="0090271F"/>
    <w:rsid w:val="009029C5"/>
    <w:rsid w:val="00902CFA"/>
    <w:rsid w:val="00902DB9"/>
    <w:rsid w:val="0090466A"/>
    <w:rsid w:val="00905EAE"/>
    <w:rsid w:val="00906163"/>
    <w:rsid w:val="00907303"/>
    <w:rsid w:val="0090741E"/>
    <w:rsid w:val="00910AE7"/>
    <w:rsid w:val="00912456"/>
    <w:rsid w:val="0091267F"/>
    <w:rsid w:val="00913215"/>
    <w:rsid w:val="00913BBE"/>
    <w:rsid w:val="00914480"/>
    <w:rsid w:val="009147F9"/>
    <w:rsid w:val="009163F0"/>
    <w:rsid w:val="0091697D"/>
    <w:rsid w:val="00916B14"/>
    <w:rsid w:val="0091764F"/>
    <w:rsid w:val="00917772"/>
    <w:rsid w:val="00917C4A"/>
    <w:rsid w:val="00917D26"/>
    <w:rsid w:val="00920262"/>
    <w:rsid w:val="00920851"/>
    <w:rsid w:val="00923655"/>
    <w:rsid w:val="00923754"/>
    <w:rsid w:val="009238DC"/>
    <w:rsid w:val="00923B0A"/>
    <w:rsid w:val="009242BF"/>
    <w:rsid w:val="009266D4"/>
    <w:rsid w:val="00927AA9"/>
    <w:rsid w:val="009308ED"/>
    <w:rsid w:val="009312FB"/>
    <w:rsid w:val="009319B6"/>
    <w:rsid w:val="00931BC3"/>
    <w:rsid w:val="00932804"/>
    <w:rsid w:val="0093373A"/>
    <w:rsid w:val="009339CB"/>
    <w:rsid w:val="00933CB3"/>
    <w:rsid w:val="00934B70"/>
    <w:rsid w:val="009356E5"/>
    <w:rsid w:val="00935F81"/>
    <w:rsid w:val="00935F97"/>
    <w:rsid w:val="00936071"/>
    <w:rsid w:val="009376CD"/>
    <w:rsid w:val="00937D83"/>
    <w:rsid w:val="00940212"/>
    <w:rsid w:val="00942223"/>
    <w:rsid w:val="00942312"/>
    <w:rsid w:val="00942E9B"/>
    <w:rsid w:val="00942EC2"/>
    <w:rsid w:val="00944907"/>
    <w:rsid w:val="0094504D"/>
    <w:rsid w:val="00946307"/>
    <w:rsid w:val="00946E53"/>
    <w:rsid w:val="009470C0"/>
    <w:rsid w:val="0095020B"/>
    <w:rsid w:val="00950F6D"/>
    <w:rsid w:val="00952188"/>
    <w:rsid w:val="009535CA"/>
    <w:rsid w:val="00954DE4"/>
    <w:rsid w:val="0095621A"/>
    <w:rsid w:val="009566F5"/>
    <w:rsid w:val="00957172"/>
    <w:rsid w:val="0095788F"/>
    <w:rsid w:val="009606CA"/>
    <w:rsid w:val="00960870"/>
    <w:rsid w:val="00961B32"/>
    <w:rsid w:val="00962509"/>
    <w:rsid w:val="0096299A"/>
    <w:rsid w:val="00962DE4"/>
    <w:rsid w:val="00962F0B"/>
    <w:rsid w:val="009631AC"/>
    <w:rsid w:val="009634D7"/>
    <w:rsid w:val="00963933"/>
    <w:rsid w:val="00963F83"/>
    <w:rsid w:val="00964C64"/>
    <w:rsid w:val="00966C6F"/>
    <w:rsid w:val="00970B2A"/>
    <w:rsid w:val="00970DB3"/>
    <w:rsid w:val="00971932"/>
    <w:rsid w:val="009725AC"/>
    <w:rsid w:val="00972D1B"/>
    <w:rsid w:val="00973536"/>
    <w:rsid w:val="00974A79"/>
    <w:rsid w:val="00974BB0"/>
    <w:rsid w:val="00975BCD"/>
    <w:rsid w:val="00976D22"/>
    <w:rsid w:val="009772D3"/>
    <w:rsid w:val="00977B89"/>
    <w:rsid w:val="009812B5"/>
    <w:rsid w:val="00982BE1"/>
    <w:rsid w:val="009850B8"/>
    <w:rsid w:val="00985B04"/>
    <w:rsid w:val="00985B2D"/>
    <w:rsid w:val="00985F9E"/>
    <w:rsid w:val="00986714"/>
    <w:rsid w:val="0098671E"/>
    <w:rsid w:val="00986F2D"/>
    <w:rsid w:val="00987473"/>
    <w:rsid w:val="00987D03"/>
    <w:rsid w:val="0099069E"/>
    <w:rsid w:val="00991C2C"/>
    <w:rsid w:val="0099239E"/>
    <w:rsid w:val="009928A9"/>
    <w:rsid w:val="0099291D"/>
    <w:rsid w:val="00992CCC"/>
    <w:rsid w:val="009945E3"/>
    <w:rsid w:val="00995002"/>
    <w:rsid w:val="00995789"/>
    <w:rsid w:val="009A0AF3"/>
    <w:rsid w:val="009A127A"/>
    <w:rsid w:val="009A25B9"/>
    <w:rsid w:val="009A2D29"/>
    <w:rsid w:val="009A454B"/>
    <w:rsid w:val="009A5034"/>
    <w:rsid w:val="009A5311"/>
    <w:rsid w:val="009A6EAF"/>
    <w:rsid w:val="009A7E8E"/>
    <w:rsid w:val="009B07CD"/>
    <w:rsid w:val="009B1926"/>
    <w:rsid w:val="009B6293"/>
    <w:rsid w:val="009B7DDF"/>
    <w:rsid w:val="009C14B1"/>
    <w:rsid w:val="009C16DC"/>
    <w:rsid w:val="009C1857"/>
    <w:rsid w:val="009C19E9"/>
    <w:rsid w:val="009C1C5F"/>
    <w:rsid w:val="009C47B7"/>
    <w:rsid w:val="009C6202"/>
    <w:rsid w:val="009C6CD0"/>
    <w:rsid w:val="009C6DFF"/>
    <w:rsid w:val="009D1332"/>
    <w:rsid w:val="009D1A7A"/>
    <w:rsid w:val="009D1F5F"/>
    <w:rsid w:val="009D53B2"/>
    <w:rsid w:val="009D5786"/>
    <w:rsid w:val="009D6912"/>
    <w:rsid w:val="009D6FA1"/>
    <w:rsid w:val="009D74A6"/>
    <w:rsid w:val="009E0E87"/>
    <w:rsid w:val="009E14CD"/>
    <w:rsid w:val="009E1588"/>
    <w:rsid w:val="009E232E"/>
    <w:rsid w:val="009E25B5"/>
    <w:rsid w:val="009E4A2C"/>
    <w:rsid w:val="009E4DC3"/>
    <w:rsid w:val="009E560E"/>
    <w:rsid w:val="009E633A"/>
    <w:rsid w:val="009F010B"/>
    <w:rsid w:val="009F1021"/>
    <w:rsid w:val="009F22E2"/>
    <w:rsid w:val="009F2388"/>
    <w:rsid w:val="009F316F"/>
    <w:rsid w:val="009F3431"/>
    <w:rsid w:val="009F5E99"/>
    <w:rsid w:val="00A01791"/>
    <w:rsid w:val="00A01796"/>
    <w:rsid w:val="00A01CC9"/>
    <w:rsid w:val="00A05559"/>
    <w:rsid w:val="00A06ED5"/>
    <w:rsid w:val="00A074B2"/>
    <w:rsid w:val="00A0786B"/>
    <w:rsid w:val="00A079CC"/>
    <w:rsid w:val="00A07EE3"/>
    <w:rsid w:val="00A103CB"/>
    <w:rsid w:val="00A10734"/>
    <w:rsid w:val="00A10F02"/>
    <w:rsid w:val="00A12D47"/>
    <w:rsid w:val="00A133E1"/>
    <w:rsid w:val="00A13605"/>
    <w:rsid w:val="00A15BBC"/>
    <w:rsid w:val="00A15FD9"/>
    <w:rsid w:val="00A16411"/>
    <w:rsid w:val="00A17541"/>
    <w:rsid w:val="00A17BCB"/>
    <w:rsid w:val="00A20491"/>
    <w:rsid w:val="00A204CA"/>
    <w:rsid w:val="00A208C9"/>
    <w:rsid w:val="00A209D6"/>
    <w:rsid w:val="00A22738"/>
    <w:rsid w:val="00A22BC3"/>
    <w:rsid w:val="00A23501"/>
    <w:rsid w:val="00A24A65"/>
    <w:rsid w:val="00A2594C"/>
    <w:rsid w:val="00A26B7B"/>
    <w:rsid w:val="00A274E8"/>
    <w:rsid w:val="00A276BA"/>
    <w:rsid w:val="00A27ED6"/>
    <w:rsid w:val="00A30C9E"/>
    <w:rsid w:val="00A311E1"/>
    <w:rsid w:val="00A33C62"/>
    <w:rsid w:val="00A3401C"/>
    <w:rsid w:val="00A34238"/>
    <w:rsid w:val="00A3596D"/>
    <w:rsid w:val="00A36F5F"/>
    <w:rsid w:val="00A40B5C"/>
    <w:rsid w:val="00A40D39"/>
    <w:rsid w:val="00A42ABC"/>
    <w:rsid w:val="00A430EC"/>
    <w:rsid w:val="00A434D4"/>
    <w:rsid w:val="00A4381E"/>
    <w:rsid w:val="00A447D7"/>
    <w:rsid w:val="00A46DF1"/>
    <w:rsid w:val="00A50AC8"/>
    <w:rsid w:val="00A5103F"/>
    <w:rsid w:val="00A5261E"/>
    <w:rsid w:val="00A5305A"/>
    <w:rsid w:val="00A53724"/>
    <w:rsid w:val="00A538F9"/>
    <w:rsid w:val="00A54B2B"/>
    <w:rsid w:val="00A5520B"/>
    <w:rsid w:val="00A56780"/>
    <w:rsid w:val="00A5692A"/>
    <w:rsid w:val="00A56B4C"/>
    <w:rsid w:val="00A60136"/>
    <w:rsid w:val="00A6092B"/>
    <w:rsid w:val="00A61835"/>
    <w:rsid w:val="00A61AC6"/>
    <w:rsid w:val="00A61FEE"/>
    <w:rsid w:val="00A622CB"/>
    <w:rsid w:val="00A634E7"/>
    <w:rsid w:val="00A63F7C"/>
    <w:rsid w:val="00A642AD"/>
    <w:rsid w:val="00A65B12"/>
    <w:rsid w:val="00A66B52"/>
    <w:rsid w:val="00A703B6"/>
    <w:rsid w:val="00A707E4"/>
    <w:rsid w:val="00A70898"/>
    <w:rsid w:val="00A70B9C"/>
    <w:rsid w:val="00A70DA6"/>
    <w:rsid w:val="00A71CF9"/>
    <w:rsid w:val="00A7202D"/>
    <w:rsid w:val="00A7774E"/>
    <w:rsid w:val="00A80268"/>
    <w:rsid w:val="00A82346"/>
    <w:rsid w:val="00A823B2"/>
    <w:rsid w:val="00A82BF8"/>
    <w:rsid w:val="00A83D2E"/>
    <w:rsid w:val="00A84697"/>
    <w:rsid w:val="00A84F00"/>
    <w:rsid w:val="00A84F51"/>
    <w:rsid w:val="00A85349"/>
    <w:rsid w:val="00A8552E"/>
    <w:rsid w:val="00A85614"/>
    <w:rsid w:val="00A86965"/>
    <w:rsid w:val="00A86D5A"/>
    <w:rsid w:val="00A9064B"/>
    <w:rsid w:val="00A9090A"/>
    <w:rsid w:val="00A90F5E"/>
    <w:rsid w:val="00A93A17"/>
    <w:rsid w:val="00A93DAF"/>
    <w:rsid w:val="00A9671C"/>
    <w:rsid w:val="00A97722"/>
    <w:rsid w:val="00A97AF2"/>
    <w:rsid w:val="00AA12D5"/>
    <w:rsid w:val="00AA1553"/>
    <w:rsid w:val="00AA1C14"/>
    <w:rsid w:val="00AA4ABA"/>
    <w:rsid w:val="00AA578C"/>
    <w:rsid w:val="00AA5AD5"/>
    <w:rsid w:val="00AA689F"/>
    <w:rsid w:val="00AA7232"/>
    <w:rsid w:val="00AB060E"/>
    <w:rsid w:val="00AB0982"/>
    <w:rsid w:val="00AB2B20"/>
    <w:rsid w:val="00AB367F"/>
    <w:rsid w:val="00AB44D7"/>
    <w:rsid w:val="00AB6309"/>
    <w:rsid w:val="00AB650E"/>
    <w:rsid w:val="00AC0B0C"/>
    <w:rsid w:val="00AC18A6"/>
    <w:rsid w:val="00AC359E"/>
    <w:rsid w:val="00AC425D"/>
    <w:rsid w:val="00AC503F"/>
    <w:rsid w:val="00AD1B3D"/>
    <w:rsid w:val="00AD3576"/>
    <w:rsid w:val="00AD3E9C"/>
    <w:rsid w:val="00AD4AD5"/>
    <w:rsid w:val="00AD4DBB"/>
    <w:rsid w:val="00AD6BE2"/>
    <w:rsid w:val="00AD7792"/>
    <w:rsid w:val="00AE019C"/>
    <w:rsid w:val="00AE0291"/>
    <w:rsid w:val="00AE02E0"/>
    <w:rsid w:val="00AE076A"/>
    <w:rsid w:val="00AE0CA2"/>
    <w:rsid w:val="00AE2389"/>
    <w:rsid w:val="00AE3380"/>
    <w:rsid w:val="00AE4271"/>
    <w:rsid w:val="00AE45B8"/>
    <w:rsid w:val="00AE541A"/>
    <w:rsid w:val="00AE57AA"/>
    <w:rsid w:val="00AE6197"/>
    <w:rsid w:val="00AE73E4"/>
    <w:rsid w:val="00AE7976"/>
    <w:rsid w:val="00AF1CFC"/>
    <w:rsid w:val="00AF21ED"/>
    <w:rsid w:val="00AF236C"/>
    <w:rsid w:val="00AF2A82"/>
    <w:rsid w:val="00AF35D0"/>
    <w:rsid w:val="00AF3D06"/>
    <w:rsid w:val="00AF485C"/>
    <w:rsid w:val="00AF4999"/>
    <w:rsid w:val="00AF4C6D"/>
    <w:rsid w:val="00AF4CEF"/>
    <w:rsid w:val="00AF61D4"/>
    <w:rsid w:val="00AF69BE"/>
    <w:rsid w:val="00B0087E"/>
    <w:rsid w:val="00B00BF8"/>
    <w:rsid w:val="00B01B1A"/>
    <w:rsid w:val="00B01F08"/>
    <w:rsid w:val="00B02196"/>
    <w:rsid w:val="00B021E4"/>
    <w:rsid w:val="00B038A4"/>
    <w:rsid w:val="00B0394C"/>
    <w:rsid w:val="00B03AC1"/>
    <w:rsid w:val="00B04712"/>
    <w:rsid w:val="00B05308"/>
    <w:rsid w:val="00B05380"/>
    <w:rsid w:val="00B05962"/>
    <w:rsid w:val="00B07617"/>
    <w:rsid w:val="00B07EF1"/>
    <w:rsid w:val="00B10B7C"/>
    <w:rsid w:val="00B13208"/>
    <w:rsid w:val="00B15449"/>
    <w:rsid w:val="00B15E12"/>
    <w:rsid w:val="00B16C2F"/>
    <w:rsid w:val="00B17E51"/>
    <w:rsid w:val="00B20E46"/>
    <w:rsid w:val="00B2141D"/>
    <w:rsid w:val="00B2232B"/>
    <w:rsid w:val="00B22ADA"/>
    <w:rsid w:val="00B22D57"/>
    <w:rsid w:val="00B230C5"/>
    <w:rsid w:val="00B23F51"/>
    <w:rsid w:val="00B24B02"/>
    <w:rsid w:val="00B25215"/>
    <w:rsid w:val="00B25533"/>
    <w:rsid w:val="00B25D5C"/>
    <w:rsid w:val="00B26B4C"/>
    <w:rsid w:val="00B26ED2"/>
    <w:rsid w:val="00B27303"/>
    <w:rsid w:val="00B3148A"/>
    <w:rsid w:val="00B33B7B"/>
    <w:rsid w:val="00B33D7C"/>
    <w:rsid w:val="00B34428"/>
    <w:rsid w:val="00B34668"/>
    <w:rsid w:val="00B351DE"/>
    <w:rsid w:val="00B351F0"/>
    <w:rsid w:val="00B36598"/>
    <w:rsid w:val="00B41CA5"/>
    <w:rsid w:val="00B42AC4"/>
    <w:rsid w:val="00B4368A"/>
    <w:rsid w:val="00B452C5"/>
    <w:rsid w:val="00B4601A"/>
    <w:rsid w:val="00B4630C"/>
    <w:rsid w:val="00B46BCA"/>
    <w:rsid w:val="00B46BFB"/>
    <w:rsid w:val="00B46E07"/>
    <w:rsid w:val="00B47FD1"/>
    <w:rsid w:val="00B50305"/>
    <w:rsid w:val="00B5071A"/>
    <w:rsid w:val="00B516BB"/>
    <w:rsid w:val="00B521D1"/>
    <w:rsid w:val="00B533BF"/>
    <w:rsid w:val="00B56269"/>
    <w:rsid w:val="00B574A1"/>
    <w:rsid w:val="00B60864"/>
    <w:rsid w:val="00B613CD"/>
    <w:rsid w:val="00B614B9"/>
    <w:rsid w:val="00B63EBD"/>
    <w:rsid w:val="00B643ED"/>
    <w:rsid w:val="00B65D4C"/>
    <w:rsid w:val="00B707B8"/>
    <w:rsid w:val="00B7169A"/>
    <w:rsid w:val="00B72EA2"/>
    <w:rsid w:val="00B745A1"/>
    <w:rsid w:val="00B7538C"/>
    <w:rsid w:val="00B75F5B"/>
    <w:rsid w:val="00B7661D"/>
    <w:rsid w:val="00B80FC6"/>
    <w:rsid w:val="00B816D8"/>
    <w:rsid w:val="00B82164"/>
    <w:rsid w:val="00B824C7"/>
    <w:rsid w:val="00B82D03"/>
    <w:rsid w:val="00B84C7A"/>
    <w:rsid w:val="00B84DB2"/>
    <w:rsid w:val="00B850E7"/>
    <w:rsid w:val="00B869F3"/>
    <w:rsid w:val="00B8712B"/>
    <w:rsid w:val="00B87F09"/>
    <w:rsid w:val="00B900E9"/>
    <w:rsid w:val="00B90F77"/>
    <w:rsid w:val="00B92134"/>
    <w:rsid w:val="00B93831"/>
    <w:rsid w:val="00B9424C"/>
    <w:rsid w:val="00B94C92"/>
    <w:rsid w:val="00B957D0"/>
    <w:rsid w:val="00B95D78"/>
    <w:rsid w:val="00B95F4D"/>
    <w:rsid w:val="00B9644A"/>
    <w:rsid w:val="00B97445"/>
    <w:rsid w:val="00B9798F"/>
    <w:rsid w:val="00B97BAB"/>
    <w:rsid w:val="00BA30CA"/>
    <w:rsid w:val="00BA314F"/>
    <w:rsid w:val="00BA4ADC"/>
    <w:rsid w:val="00BA533A"/>
    <w:rsid w:val="00BA6F86"/>
    <w:rsid w:val="00BB053B"/>
    <w:rsid w:val="00BB09AA"/>
    <w:rsid w:val="00BB1B88"/>
    <w:rsid w:val="00BB2161"/>
    <w:rsid w:val="00BB2C2E"/>
    <w:rsid w:val="00BB4084"/>
    <w:rsid w:val="00BB4276"/>
    <w:rsid w:val="00BB547D"/>
    <w:rsid w:val="00BB5D81"/>
    <w:rsid w:val="00BB6239"/>
    <w:rsid w:val="00BB6830"/>
    <w:rsid w:val="00BC195A"/>
    <w:rsid w:val="00BC1E16"/>
    <w:rsid w:val="00BC29CD"/>
    <w:rsid w:val="00BC3555"/>
    <w:rsid w:val="00BD03F7"/>
    <w:rsid w:val="00BD0F7F"/>
    <w:rsid w:val="00BD1555"/>
    <w:rsid w:val="00BD15ED"/>
    <w:rsid w:val="00BD1990"/>
    <w:rsid w:val="00BD4AD1"/>
    <w:rsid w:val="00BD52A6"/>
    <w:rsid w:val="00BD544A"/>
    <w:rsid w:val="00BD54E7"/>
    <w:rsid w:val="00BD594B"/>
    <w:rsid w:val="00BE00BB"/>
    <w:rsid w:val="00BE0904"/>
    <w:rsid w:val="00BE09B1"/>
    <w:rsid w:val="00BE129B"/>
    <w:rsid w:val="00BE2BDF"/>
    <w:rsid w:val="00BE3021"/>
    <w:rsid w:val="00BE3C32"/>
    <w:rsid w:val="00BE41E1"/>
    <w:rsid w:val="00BE4906"/>
    <w:rsid w:val="00BE5AEE"/>
    <w:rsid w:val="00BE5F46"/>
    <w:rsid w:val="00BE6019"/>
    <w:rsid w:val="00BE6B8C"/>
    <w:rsid w:val="00BE769C"/>
    <w:rsid w:val="00BE7B33"/>
    <w:rsid w:val="00BF083E"/>
    <w:rsid w:val="00BF0A32"/>
    <w:rsid w:val="00BF0F49"/>
    <w:rsid w:val="00BF11F7"/>
    <w:rsid w:val="00BF156A"/>
    <w:rsid w:val="00BF1E21"/>
    <w:rsid w:val="00BF2D14"/>
    <w:rsid w:val="00BF31F4"/>
    <w:rsid w:val="00BF6CA4"/>
    <w:rsid w:val="00BF754C"/>
    <w:rsid w:val="00C0028F"/>
    <w:rsid w:val="00C00B2F"/>
    <w:rsid w:val="00C00CE5"/>
    <w:rsid w:val="00C01B65"/>
    <w:rsid w:val="00C02860"/>
    <w:rsid w:val="00C02A99"/>
    <w:rsid w:val="00C04915"/>
    <w:rsid w:val="00C06F3E"/>
    <w:rsid w:val="00C07C7B"/>
    <w:rsid w:val="00C07D18"/>
    <w:rsid w:val="00C12023"/>
    <w:rsid w:val="00C12B51"/>
    <w:rsid w:val="00C12FAF"/>
    <w:rsid w:val="00C130B5"/>
    <w:rsid w:val="00C13BE9"/>
    <w:rsid w:val="00C15824"/>
    <w:rsid w:val="00C1643D"/>
    <w:rsid w:val="00C16C44"/>
    <w:rsid w:val="00C173BE"/>
    <w:rsid w:val="00C17A30"/>
    <w:rsid w:val="00C206A9"/>
    <w:rsid w:val="00C224A0"/>
    <w:rsid w:val="00C2288C"/>
    <w:rsid w:val="00C22C20"/>
    <w:rsid w:val="00C237E7"/>
    <w:rsid w:val="00C245F7"/>
    <w:rsid w:val="00C24650"/>
    <w:rsid w:val="00C24742"/>
    <w:rsid w:val="00C25465"/>
    <w:rsid w:val="00C2574E"/>
    <w:rsid w:val="00C26869"/>
    <w:rsid w:val="00C26915"/>
    <w:rsid w:val="00C32B4C"/>
    <w:rsid w:val="00C33079"/>
    <w:rsid w:val="00C343BC"/>
    <w:rsid w:val="00C348A0"/>
    <w:rsid w:val="00C37A11"/>
    <w:rsid w:val="00C37B8F"/>
    <w:rsid w:val="00C37D4B"/>
    <w:rsid w:val="00C40674"/>
    <w:rsid w:val="00C41200"/>
    <w:rsid w:val="00C44149"/>
    <w:rsid w:val="00C4419C"/>
    <w:rsid w:val="00C443F7"/>
    <w:rsid w:val="00C4546E"/>
    <w:rsid w:val="00C46256"/>
    <w:rsid w:val="00C46881"/>
    <w:rsid w:val="00C4777A"/>
    <w:rsid w:val="00C47B06"/>
    <w:rsid w:val="00C500C9"/>
    <w:rsid w:val="00C51F67"/>
    <w:rsid w:val="00C52B4F"/>
    <w:rsid w:val="00C53339"/>
    <w:rsid w:val="00C53F86"/>
    <w:rsid w:val="00C543D8"/>
    <w:rsid w:val="00C55A12"/>
    <w:rsid w:val="00C56B03"/>
    <w:rsid w:val="00C57B8A"/>
    <w:rsid w:val="00C604A6"/>
    <w:rsid w:val="00C60C2A"/>
    <w:rsid w:val="00C61886"/>
    <w:rsid w:val="00C61F0D"/>
    <w:rsid w:val="00C62720"/>
    <w:rsid w:val="00C6279E"/>
    <w:rsid w:val="00C63653"/>
    <w:rsid w:val="00C6553E"/>
    <w:rsid w:val="00C655EE"/>
    <w:rsid w:val="00C656D9"/>
    <w:rsid w:val="00C66689"/>
    <w:rsid w:val="00C66727"/>
    <w:rsid w:val="00C7030A"/>
    <w:rsid w:val="00C71925"/>
    <w:rsid w:val="00C72BB5"/>
    <w:rsid w:val="00C73FA2"/>
    <w:rsid w:val="00C751DA"/>
    <w:rsid w:val="00C753B1"/>
    <w:rsid w:val="00C75C5A"/>
    <w:rsid w:val="00C77DD0"/>
    <w:rsid w:val="00C80963"/>
    <w:rsid w:val="00C82597"/>
    <w:rsid w:val="00C82984"/>
    <w:rsid w:val="00C82D60"/>
    <w:rsid w:val="00C83912"/>
    <w:rsid w:val="00C83A13"/>
    <w:rsid w:val="00C83A83"/>
    <w:rsid w:val="00C83B8C"/>
    <w:rsid w:val="00C846E9"/>
    <w:rsid w:val="00C84E92"/>
    <w:rsid w:val="00C8667B"/>
    <w:rsid w:val="00C86F10"/>
    <w:rsid w:val="00C874C4"/>
    <w:rsid w:val="00C87780"/>
    <w:rsid w:val="00C9068C"/>
    <w:rsid w:val="00C90CE6"/>
    <w:rsid w:val="00C91B45"/>
    <w:rsid w:val="00C92941"/>
    <w:rsid w:val="00C92967"/>
    <w:rsid w:val="00C93139"/>
    <w:rsid w:val="00C94467"/>
    <w:rsid w:val="00C94905"/>
    <w:rsid w:val="00C95397"/>
    <w:rsid w:val="00C95666"/>
    <w:rsid w:val="00C96162"/>
    <w:rsid w:val="00C967B3"/>
    <w:rsid w:val="00CA05E8"/>
    <w:rsid w:val="00CA080C"/>
    <w:rsid w:val="00CA17AD"/>
    <w:rsid w:val="00CA2E57"/>
    <w:rsid w:val="00CA3A9D"/>
    <w:rsid w:val="00CA3D0C"/>
    <w:rsid w:val="00CA3F76"/>
    <w:rsid w:val="00CA48DE"/>
    <w:rsid w:val="00CA4FEC"/>
    <w:rsid w:val="00CA654B"/>
    <w:rsid w:val="00CA68A5"/>
    <w:rsid w:val="00CB0296"/>
    <w:rsid w:val="00CB0373"/>
    <w:rsid w:val="00CB12DF"/>
    <w:rsid w:val="00CB1E12"/>
    <w:rsid w:val="00CB260A"/>
    <w:rsid w:val="00CB3347"/>
    <w:rsid w:val="00CB38BD"/>
    <w:rsid w:val="00CB3A5A"/>
    <w:rsid w:val="00CB4B25"/>
    <w:rsid w:val="00CB4C90"/>
    <w:rsid w:val="00CB702E"/>
    <w:rsid w:val="00CB72B8"/>
    <w:rsid w:val="00CB7EE6"/>
    <w:rsid w:val="00CC0870"/>
    <w:rsid w:val="00CC4AD5"/>
    <w:rsid w:val="00CC4B36"/>
    <w:rsid w:val="00CC52E4"/>
    <w:rsid w:val="00CC58A9"/>
    <w:rsid w:val="00CC5C65"/>
    <w:rsid w:val="00CC7379"/>
    <w:rsid w:val="00CC7568"/>
    <w:rsid w:val="00CD0BA8"/>
    <w:rsid w:val="00CD31CD"/>
    <w:rsid w:val="00CD328C"/>
    <w:rsid w:val="00CD3648"/>
    <w:rsid w:val="00CD3E86"/>
    <w:rsid w:val="00CD44DB"/>
    <w:rsid w:val="00CD4C7B"/>
    <w:rsid w:val="00CD4DF8"/>
    <w:rsid w:val="00CD5391"/>
    <w:rsid w:val="00CD58FE"/>
    <w:rsid w:val="00CD649B"/>
    <w:rsid w:val="00CD6886"/>
    <w:rsid w:val="00CD6FFB"/>
    <w:rsid w:val="00CE072E"/>
    <w:rsid w:val="00CE0AFC"/>
    <w:rsid w:val="00CE0E99"/>
    <w:rsid w:val="00CE121F"/>
    <w:rsid w:val="00CE381B"/>
    <w:rsid w:val="00CE4229"/>
    <w:rsid w:val="00CE456D"/>
    <w:rsid w:val="00CE64C0"/>
    <w:rsid w:val="00CF0D5F"/>
    <w:rsid w:val="00CF12FF"/>
    <w:rsid w:val="00CF2C1E"/>
    <w:rsid w:val="00CF3216"/>
    <w:rsid w:val="00CF3C56"/>
    <w:rsid w:val="00CF4169"/>
    <w:rsid w:val="00CF59A9"/>
    <w:rsid w:val="00CF70F1"/>
    <w:rsid w:val="00CF7840"/>
    <w:rsid w:val="00D013A3"/>
    <w:rsid w:val="00D03A54"/>
    <w:rsid w:val="00D0443A"/>
    <w:rsid w:val="00D04D34"/>
    <w:rsid w:val="00D065AB"/>
    <w:rsid w:val="00D06CDB"/>
    <w:rsid w:val="00D10360"/>
    <w:rsid w:val="00D12B9F"/>
    <w:rsid w:val="00D13526"/>
    <w:rsid w:val="00D136D1"/>
    <w:rsid w:val="00D15419"/>
    <w:rsid w:val="00D15601"/>
    <w:rsid w:val="00D15C0E"/>
    <w:rsid w:val="00D15C84"/>
    <w:rsid w:val="00D16E46"/>
    <w:rsid w:val="00D17AE8"/>
    <w:rsid w:val="00D23183"/>
    <w:rsid w:val="00D23204"/>
    <w:rsid w:val="00D2338B"/>
    <w:rsid w:val="00D2355E"/>
    <w:rsid w:val="00D23603"/>
    <w:rsid w:val="00D24179"/>
    <w:rsid w:val="00D31019"/>
    <w:rsid w:val="00D3133A"/>
    <w:rsid w:val="00D321C6"/>
    <w:rsid w:val="00D32483"/>
    <w:rsid w:val="00D32D6D"/>
    <w:rsid w:val="00D33758"/>
    <w:rsid w:val="00D33BE3"/>
    <w:rsid w:val="00D36528"/>
    <w:rsid w:val="00D3792D"/>
    <w:rsid w:val="00D402D4"/>
    <w:rsid w:val="00D40F85"/>
    <w:rsid w:val="00D41700"/>
    <w:rsid w:val="00D41C90"/>
    <w:rsid w:val="00D42399"/>
    <w:rsid w:val="00D42DDF"/>
    <w:rsid w:val="00D42E90"/>
    <w:rsid w:val="00D43932"/>
    <w:rsid w:val="00D4507B"/>
    <w:rsid w:val="00D47AD3"/>
    <w:rsid w:val="00D51794"/>
    <w:rsid w:val="00D52302"/>
    <w:rsid w:val="00D52FF9"/>
    <w:rsid w:val="00D53209"/>
    <w:rsid w:val="00D534F6"/>
    <w:rsid w:val="00D55AE1"/>
    <w:rsid w:val="00D55E47"/>
    <w:rsid w:val="00D56812"/>
    <w:rsid w:val="00D56BBC"/>
    <w:rsid w:val="00D57060"/>
    <w:rsid w:val="00D57B97"/>
    <w:rsid w:val="00D6037E"/>
    <w:rsid w:val="00D6212A"/>
    <w:rsid w:val="00D62E19"/>
    <w:rsid w:val="00D63B42"/>
    <w:rsid w:val="00D65E03"/>
    <w:rsid w:val="00D6602F"/>
    <w:rsid w:val="00D67CD1"/>
    <w:rsid w:val="00D717CF"/>
    <w:rsid w:val="00D71FA9"/>
    <w:rsid w:val="00D738D6"/>
    <w:rsid w:val="00D73AE9"/>
    <w:rsid w:val="00D7401D"/>
    <w:rsid w:val="00D74469"/>
    <w:rsid w:val="00D75512"/>
    <w:rsid w:val="00D75B77"/>
    <w:rsid w:val="00D75CD6"/>
    <w:rsid w:val="00D765A6"/>
    <w:rsid w:val="00D76EC7"/>
    <w:rsid w:val="00D77B93"/>
    <w:rsid w:val="00D80795"/>
    <w:rsid w:val="00D831F5"/>
    <w:rsid w:val="00D834B6"/>
    <w:rsid w:val="00D84506"/>
    <w:rsid w:val="00D854BE"/>
    <w:rsid w:val="00D86176"/>
    <w:rsid w:val="00D8653D"/>
    <w:rsid w:val="00D8672B"/>
    <w:rsid w:val="00D87E00"/>
    <w:rsid w:val="00D904C0"/>
    <w:rsid w:val="00D907AA"/>
    <w:rsid w:val="00D9134D"/>
    <w:rsid w:val="00D915AE"/>
    <w:rsid w:val="00D91F36"/>
    <w:rsid w:val="00D92FF0"/>
    <w:rsid w:val="00D9303F"/>
    <w:rsid w:val="00D94093"/>
    <w:rsid w:val="00D95450"/>
    <w:rsid w:val="00D9595C"/>
    <w:rsid w:val="00D959A1"/>
    <w:rsid w:val="00D95F6B"/>
    <w:rsid w:val="00D961A5"/>
    <w:rsid w:val="00D9630B"/>
    <w:rsid w:val="00D96D11"/>
    <w:rsid w:val="00DA2482"/>
    <w:rsid w:val="00DA2D4A"/>
    <w:rsid w:val="00DA32FD"/>
    <w:rsid w:val="00DA4F5E"/>
    <w:rsid w:val="00DA636F"/>
    <w:rsid w:val="00DA7A03"/>
    <w:rsid w:val="00DB011B"/>
    <w:rsid w:val="00DB0DB8"/>
    <w:rsid w:val="00DB1818"/>
    <w:rsid w:val="00DB1996"/>
    <w:rsid w:val="00DB2A67"/>
    <w:rsid w:val="00DB4A69"/>
    <w:rsid w:val="00DB7AE4"/>
    <w:rsid w:val="00DB7AEB"/>
    <w:rsid w:val="00DB7FDC"/>
    <w:rsid w:val="00DC15C9"/>
    <w:rsid w:val="00DC2A1B"/>
    <w:rsid w:val="00DC309B"/>
    <w:rsid w:val="00DC34C0"/>
    <w:rsid w:val="00DC3C7C"/>
    <w:rsid w:val="00DC4DA2"/>
    <w:rsid w:val="00DC5261"/>
    <w:rsid w:val="00DC6C64"/>
    <w:rsid w:val="00DC7CC5"/>
    <w:rsid w:val="00DC7E9E"/>
    <w:rsid w:val="00DD005D"/>
    <w:rsid w:val="00DD073A"/>
    <w:rsid w:val="00DD0A47"/>
    <w:rsid w:val="00DD0BBE"/>
    <w:rsid w:val="00DD0E84"/>
    <w:rsid w:val="00DD2505"/>
    <w:rsid w:val="00DD2616"/>
    <w:rsid w:val="00DD6249"/>
    <w:rsid w:val="00DE0A6F"/>
    <w:rsid w:val="00DE25D2"/>
    <w:rsid w:val="00DE42F9"/>
    <w:rsid w:val="00DE49EE"/>
    <w:rsid w:val="00DE591A"/>
    <w:rsid w:val="00DE69A5"/>
    <w:rsid w:val="00DE6F46"/>
    <w:rsid w:val="00DE7021"/>
    <w:rsid w:val="00DF0E81"/>
    <w:rsid w:val="00DF1245"/>
    <w:rsid w:val="00DF1BC9"/>
    <w:rsid w:val="00DF25A4"/>
    <w:rsid w:val="00DF2799"/>
    <w:rsid w:val="00DF31BB"/>
    <w:rsid w:val="00DF44C6"/>
    <w:rsid w:val="00DF49DA"/>
    <w:rsid w:val="00DF7C0D"/>
    <w:rsid w:val="00DF7C20"/>
    <w:rsid w:val="00DF7F7A"/>
    <w:rsid w:val="00E00998"/>
    <w:rsid w:val="00E01C99"/>
    <w:rsid w:val="00E01EA5"/>
    <w:rsid w:val="00E0389A"/>
    <w:rsid w:val="00E03C37"/>
    <w:rsid w:val="00E05F88"/>
    <w:rsid w:val="00E07F2F"/>
    <w:rsid w:val="00E1217C"/>
    <w:rsid w:val="00E12FE5"/>
    <w:rsid w:val="00E133EB"/>
    <w:rsid w:val="00E135A5"/>
    <w:rsid w:val="00E13EC5"/>
    <w:rsid w:val="00E168F1"/>
    <w:rsid w:val="00E201E6"/>
    <w:rsid w:val="00E2026A"/>
    <w:rsid w:val="00E22C32"/>
    <w:rsid w:val="00E242B8"/>
    <w:rsid w:val="00E251DC"/>
    <w:rsid w:val="00E267EB"/>
    <w:rsid w:val="00E27585"/>
    <w:rsid w:val="00E27824"/>
    <w:rsid w:val="00E27D4E"/>
    <w:rsid w:val="00E307BC"/>
    <w:rsid w:val="00E30DB9"/>
    <w:rsid w:val="00E31843"/>
    <w:rsid w:val="00E3289A"/>
    <w:rsid w:val="00E346C2"/>
    <w:rsid w:val="00E372B2"/>
    <w:rsid w:val="00E40A88"/>
    <w:rsid w:val="00E40AE2"/>
    <w:rsid w:val="00E41858"/>
    <w:rsid w:val="00E420BC"/>
    <w:rsid w:val="00E4280B"/>
    <w:rsid w:val="00E428AC"/>
    <w:rsid w:val="00E44615"/>
    <w:rsid w:val="00E449A3"/>
    <w:rsid w:val="00E44A80"/>
    <w:rsid w:val="00E44EF1"/>
    <w:rsid w:val="00E45501"/>
    <w:rsid w:val="00E458CD"/>
    <w:rsid w:val="00E46C08"/>
    <w:rsid w:val="00E471CF"/>
    <w:rsid w:val="00E47677"/>
    <w:rsid w:val="00E505B8"/>
    <w:rsid w:val="00E52223"/>
    <w:rsid w:val="00E52EAE"/>
    <w:rsid w:val="00E52FDA"/>
    <w:rsid w:val="00E52FDB"/>
    <w:rsid w:val="00E54A97"/>
    <w:rsid w:val="00E54CA0"/>
    <w:rsid w:val="00E55F56"/>
    <w:rsid w:val="00E56534"/>
    <w:rsid w:val="00E60513"/>
    <w:rsid w:val="00E61FBB"/>
    <w:rsid w:val="00E625C4"/>
    <w:rsid w:val="00E62835"/>
    <w:rsid w:val="00E635CE"/>
    <w:rsid w:val="00E64B52"/>
    <w:rsid w:val="00E66800"/>
    <w:rsid w:val="00E66A92"/>
    <w:rsid w:val="00E67B39"/>
    <w:rsid w:val="00E713B1"/>
    <w:rsid w:val="00E71CBB"/>
    <w:rsid w:val="00E71CF2"/>
    <w:rsid w:val="00E72F71"/>
    <w:rsid w:val="00E7358C"/>
    <w:rsid w:val="00E74215"/>
    <w:rsid w:val="00E77645"/>
    <w:rsid w:val="00E8059A"/>
    <w:rsid w:val="00E805A6"/>
    <w:rsid w:val="00E80F96"/>
    <w:rsid w:val="00E8165C"/>
    <w:rsid w:val="00E82332"/>
    <w:rsid w:val="00E83697"/>
    <w:rsid w:val="00E8383A"/>
    <w:rsid w:val="00E847CB"/>
    <w:rsid w:val="00E84C82"/>
    <w:rsid w:val="00E84CB2"/>
    <w:rsid w:val="00E859B6"/>
    <w:rsid w:val="00E8786D"/>
    <w:rsid w:val="00E9221E"/>
    <w:rsid w:val="00E92C99"/>
    <w:rsid w:val="00E93103"/>
    <w:rsid w:val="00E93CA5"/>
    <w:rsid w:val="00E93F6D"/>
    <w:rsid w:val="00E9400D"/>
    <w:rsid w:val="00E956FC"/>
    <w:rsid w:val="00E95855"/>
    <w:rsid w:val="00E97368"/>
    <w:rsid w:val="00E97EFB"/>
    <w:rsid w:val="00EA00B1"/>
    <w:rsid w:val="00EA0ADD"/>
    <w:rsid w:val="00EA0D3B"/>
    <w:rsid w:val="00EA1552"/>
    <w:rsid w:val="00EA37B2"/>
    <w:rsid w:val="00EA4136"/>
    <w:rsid w:val="00EA4737"/>
    <w:rsid w:val="00EA4911"/>
    <w:rsid w:val="00EA6620"/>
    <w:rsid w:val="00EA66C9"/>
    <w:rsid w:val="00EA6F2B"/>
    <w:rsid w:val="00EA78AE"/>
    <w:rsid w:val="00EA7E8E"/>
    <w:rsid w:val="00EB01C9"/>
    <w:rsid w:val="00EB09A7"/>
    <w:rsid w:val="00EB0D52"/>
    <w:rsid w:val="00EB1F23"/>
    <w:rsid w:val="00EB3112"/>
    <w:rsid w:val="00EB468C"/>
    <w:rsid w:val="00EB4BEC"/>
    <w:rsid w:val="00EB5D32"/>
    <w:rsid w:val="00EB7235"/>
    <w:rsid w:val="00EB7ABD"/>
    <w:rsid w:val="00EC0A24"/>
    <w:rsid w:val="00EC2895"/>
    <w:rsid w:val="00EC2C6A"/>
    <w:rsid w:val="00EC31FB"/>
    <w:rsid w:val="00EC3390"/>
    <w:rsid w:val="00EC3CB8"/>
    <w:rsid w:val="00EC3F98"/>
    <w:rsid w:val="00EC4658"/>
    <w:rsid w:val="00EC4A25"/>
    <w:rsid w:val="00EC4C93"/>
    <w:rsid w:val="00EC6170"/>
    <w:rsid w:val="00EC6327"/>
    <w:rsid w:val="00EC6F61"/>
    <w:rsid w:val="00EC776A"/>
    <w:rsid w:val="00EC7A7B"/>
    <w:rsid w:val="00ED028E"/>
    <w:rsid w:val="00ED08AC"/>
    <w:rsid w:val="00ED1552"/>
    <w:rsid w:val="00ED2FA8"/>
    <w:rsid w:val="00ED46BD"/>
    <w:rsid w:val="00ED5736"/>
    <w:rsid w:val="00ED60AA"/>
    <w:rsid w:val="00ED6BC7"/>
    <w:rsid w:val="00ED782D"/>
    <w:rsid w:val="00ED79CB"/>
    <w:rsid w:val="00EE2948"/>
    <w:rsid w:val="00EE2B21"/>
    <w:rsid w:val="00EE41C6"/>
    <w:rsid w:val="00EE48CF"/>
    <w:rsid w:val="00EE51E7"/>
    <w:rsid w:val="00EF0260"/>
    <w:rsid w:val="00EF127E"/>
    <w:rsid w:val="00EF1CEB"/>
    <w:rsid w:val="00EF5A8A"/>
    <w:rsid w:val="00EF5B89"/>
    <w:rsid w:val="00EF5D01"/>
    <w:rsid w:val="00EF612C"/>
    <w:rsid w:val="00EF6229"/>
    <w:rsid w:val="00EF658E"/>
    <w:rsid w:val="00EF6664"/>
    <w:rsid w:val="00EF6973"/>
    <w:rsid w:val="00EF7E48"/>
    <w:rsid w:val="00F0054A"/>
    <w:rsid w:val="00F011AA"/>
    <w:rsid w:val="00F0207C"/>
    <w:rsid w:val="00F025A2"/>
    <w:rsid w:val="00F0267B"/>
    <w:rsid w:val="00F02AFD"/>
    <w:rsid w:val="00F030AA"/>
    <w:rsid w:val="00F03172"/>
    <w:rsid w:val="00F036E9"/>
    <w:rsid w:val="00F046D5"/>
    <w:rsid w:val="00F04DE4"/>
    <w:rsid w:val="00F05CE6"/>
    <w:rsid w:val="00F07388"/>
    <w:rsid w:val="00F10372"/>
    <w:rsid w:val="00F10796"/>
    <w:rsid w:val="00F119D6"/>
    <w:rsid w:val="00F12AC7"/>
    <w:rsid w:val="00F1368C"/>
    <w:rsid w:val="00F137F1"/>
    <w:rsid w:val="00F14BBF"/>
    <w:rsid w:val="00F2026E"/>
    <w:rsid w:val="00F21C85"/>
    <w:rsid w:val="00F2210A"/>
    <w:rsid w:val="00F23905"/>
    <w:rsid w:val="00F23966"/>
    <w:rsid w:val="00F240A7"/>
    <w:rsid w:val="00F25034"/>
    <w:rsid w:val="00F25945"/>
    <w:rsid w:val="00F26502"/>
    <w:rsid w:val="00F2684D"/>
    <w:rsid w:val="00F26BFE"/>
    <w:rsid w:val="00F31372"/>
    <w:rsid w:val="00F31484"/>
    <w:rsid w:val="00F31C98"/>
    <w:rsid w:val="00F31FC0"/>
    <w:rsid w:val="00F3248C"/>
    <w:rsid w:val="00F32A38"/>
    <w:rsid w:val="00F34B93"/>
    <w:rsid w:val="00F34F38"/>
    <w:rsid w:val="00F3604E"/>
    <w:rsid w:val="00F3684F"/>
    <w:rsid w:val="00F36BB6"/>
    <w:rsid w:val="00F37743"/>
    <w:rsid w:val="00F3795E"/>
    <w:rsid w:val="00F4059A"/>
    <w:rsid w:val="00F42AA3"/>
    <w:rsid w:val="00F42EB8"/>
    <w:rsid w:val="00F44A31"/>
    <w:rsid w:val="00F4655D"/>
    <w:rsid w:val="00F5058C"/>
    <w:rsid w:val="00F50D4D"/>
    <w:rsid w:val="00F510AE"/>
    <w:rsid w:val="00F53314"/>
    <w:rsid w:val="00F54A3D"/>
    <w:rsid w:val="00F54CB0"/>
    <w:rsid w:val="00F56B10"/>
    <w:rsid w:val="00F577DC"/>
    <w:rsid w:val="00F57949"/>
    <w:rsid w:val="00F579CD"/>
    <w:rsid w:val="00F57F35"/>
    <w:rsid w:val="00F60657"/>
    <w:rsid w:val="00F60911"/>
    <w:rsid w:val="00F61569"/>
    <w:rsid w:val="00F620A2"/>
    <w:rsid w:val="00F6282E"/>
    <w:rsid w:val="00F6367D"/>
    <w:rsid w:val="00F644BD"/>
    <w:rsid w:val="00F653B8"/>
    <w:rsid w:val="00F657A9"/>
    <w:rsid w:val="00F65820"/>
    <w:rsid w:val="00F65AEE"/>
    <w:rsid w:val="00F65DF2"/>
    <w:rsid w:val="00F67229"/>
    <w:rsid w:val="00F67406"/>
    <w:rsid w:val="00F675CD"/>
    <w:rsid w:val="00F6767F"/>
    <w:rsid w:val="00F67F12"/>
    <w:rsid w:val="00F70375"/>
    <w:rsid w:val="00F715B4"/>
    <w:rsid w:val="00F7179A"/>
    <w:rsid w:val="00F71B89"/>
    <w:rsid w:val="00F724B4"/>
    <w:rsid w:val="00F72A4D"/>
    <w:rsid w:val="00F7353C"/>
    <w:rsid w:val="00F74547"/>
    <w:rsid w:val="00F75AE4"/>
    <w:rsid w:val="00F75DBF"/>
    <w:rsid w:val="00F76507"/>
    <w:rsid w:val="00F76F8F"/>
    <w:rsid w:val="00F7770F"/>
    <w:rsid w:val="00F77C09"/>
    <w:rsid w:val="00F804C3"/>
    <w:rsid w:val="00F833D3"/>
    <w:rsid w:val="00F84C32"/>
    <w:rsid w:val="00F87257"/>
    <w:rsid w:val="00F87656"/>
    <w:rsid w:val="00F878D6"/>
    <w:rsid w:val="00F9230B"/>
    <w:rsid w:val="00F941DF"/>
    <w:rsid w:val="00F94825"/>
    <w:rsid w:val="00F95644"/>
    <w:rsid w:val="00F95B31"/>
    <w:rsid w:val="00F96B43"/>
    <w:rsid w:val="00F96CD3"/>
    <w:rsid w:val="00FA090F"/>
    <w:rsid w:val="00FA1266"/>
    <w:rsid w:val="00FA2E5A"/>
    <w:rsid w:val="00FA33E4"/>
    <w:rsid w:val="00FA3759"/>
    <w:rsid w:val="00FA623A"/>
    <w:rsid w:val="00FB00C4"/>
    <w:rsid w:val="00FB03C4"/>
    <w:rsid w:val="00FB04E8"/>
    <w:rsid w:val="00FB098E"/>
    <w:rsid w:val="00FB0DA3"/>
    <w:rsid w:val="00FB0DC4"/>
    <w:rsid w:val="00FB2C80"/>
    <w:rsid w:val="00FB2D6D"/>
    <w:rsid w:val="00FB36FA"/>
    <w:rsid w:val="00FB4B78"/>
    <w:rsid w:val="00FB5B37"/>
    <w:rsid w:val="00FB6EC8"/>
    <w:rsid w:val="00FB76E8"/>
    <w:rsid w:val="00FC1192"/>
    <w:rsid w:val="00FC1CF8"/>
    <w:rsid w:val="00FC5B49"/>
    <w:rsid w:val="00FC6CBF"/>
    <w:rsid w:val="00FC6E82"/>
    <w:rsid w:val="00FC75C0"/>
    <w:rsid w:val="00FD3A1E"/>
    <w:rsid w:val="00FD3CE4"/>
    <w:rsid w:val="00FD6E98"/>
    <w:rsid w:val="00FD77F9"/>
    <w:rsid w:val="00FD7FD0"/>
    <w:rsid w:val="00FE106D"/>
    <w:rsid w:val="00FE2500"/>
    <w:rsid w:val="00FE251B"/>
    <w:rsid w:val="00FE295B"/>
    <w:rsid w:val="00FE305B"/>
    <w:rsid w:val="00FE3899"/>
    <w:rsid w:val="00FE3B46"/>
    <w:rsid w:val="00FE4ECB"/>
    <w:rsid w:val="00FE5EF1"/>
    <w:rsid w:val="00FE5FEE"/>
    <w:rsid w:val="00FE5FFC"/>
    <w:rsid w:val="00FE7B3E"/>
    <w:rsid w:val="00FF0685"/>
    <w:rsid w:val="00FF21F0"/>
    <w:rsid w:val="00FF267D"/>
    <w:rsid w:val="00FF38F0"/>
    <w:rsid w:val="00FF447E"/>
    <w:rsid w:val="00FF5081"/>
    <w:rsid w:val="00FF584D"/>
    <w:rsid w:val="00FF64CA"/>
    <w:rsid w:val="01DD6C3D"/>
    <w:rsid w:val="02A21029"/>
    <w:rsid w:val="02B93E6D"/>
    <w:rsid w:val="02E6D2CD"/>
    <w:rsid w:val="02E79BC8"/>
    <w:rsid w:val="02F193AA"/>
    <w:rsid w:val="031E7C35"/>
    <w:rsid w:val="03214B04"/>
    <w:rsid w:val="03384D91"/>
    <w:rsid w:val="03459CE9"/>
    <w:rsid w:val="037A224F"/>
    <w:rsid w:val="039EE163"/>
    <w:rsid w:val="03A4150E"/>
    <w:rsid w:val="03AB2F00"/>
    <w:rsid w:val="03B2ED05"/>
    <w:rsid w:val="061D1FAF"/>
    <w:rsid w:val="063F974B"/>
    <w:rsid w:val="06BABA83"/>
    <w:rsid w:val="07B41AB7"/>
    <w:rsid w:val="07BBE251"/>
    <w:rsid w:val="07C632C2"/>
    <w:rsid w:val="09294DC1"/>
    <w:rsid w:val="096E7DCC"/>
    <w:rsid w:val="09C38719"/>
    <w:rsid w:val="09D44463"/>
    <w:rsid w:val="09FF2947"/>
    <w:rsid w:val="0A47D70A"/>
    <w:rsid w:val="0A4C522D"/>
    <w:rsid w:val="0A722C73"/>
    <w:rsid w:val="0BED0E83"/>
    <w:rsid w:val="0BFCB552"/>
    <w:rsid w:val="0C3DDCDC"/>
    <w:rsid w:val="0C3E101D"/>
    <w:rsid w:val="0C75F211"/>
    <w:rsid w:val="0CDF94E8"/>
    <w:rsid w:val="0DF1D883"/>
    <w:rsid w:val="0E009355"/>
    <w:rsid w:val="0E445B54"/>
    <w:rsid w:val="0EAC0E05"/>
    <w:rsid w:val="0EB2F045"/>
    <w:rsid w:val="0F037594"/>
    <w:rsid w:val="0F05CCB0"/>
    <w:rsid w:val="0FA740D3"/>
    <w:rsid w:val="0FDCC89A"/>
    <w:rsid w:val="0FE39CD8"/>
    <w:rsid w:val="103A427C"/>
    <w:rsid w:val="10D55DF9"/>
    <w:rsid w:val="1103B9C6"/>
    <w:rsid w:val="1104A8BF"/>
    <w:rsid w:val="11D70D59"/>
    <w:rsid w:val="126274C7"/>
    <w:rsid w:val="129F9636"/>
    <w:rsid w:val="1345C07F"/>
    <w:rsid w:val="137E95C9"/>
    <w:rsid w:val="149E990D"/>
    <w:rsid w:val="150B9383"/>
    <w:rsid w:val="1558972E"/>
    <w:rsid w:val="1562C2EB"/>
    <w:rsid w:val="15D18FC7"/>
    <w:rsid w:val="15FD23CE"/>
    <w:rsid w:val="17E1B1E5"/>
    <w:rsid w:val="17FBE886"/>
    <w:rsid w:val="18026C3C"/>
    <w:rsid w:val="181C7C21"/>
    <w:rsid w:val="196B1B84"/>
    <w:rsid w:val="19A98648"/>
    <w:rsid w:val="19F5CB12"/>
    <w:rsid w:val="1A006811"/>
    <w:rsid w:val="1A8DE4D6"/>
    <w:rsid w:val="1AA17CD7"/>
    <w:rsid w:val="1AE57F71"/>
    <w:rsid w:val="1B0916A9"/>
    <w:rsid w:val="1B09CCC9"/>
    <w:rsid w:val="1B1CD609"/>
    <w:rsid w:val="1B6B5F32"/>
    <w:rsid w:val="1BE657EE"/>
    <w:rsid w:val="1C2AD2FA"/>
    <w:rsid w:val="1E215EC0"/>
    <w:rsid w:val="1E6D393B"/>
    <w:rsid w:val="1EB6CF9F"/>
    <w:rsid w:val="1FA4A6A3"/>
    <w:rsid w:val="1FA7A59D"/>
    <w:rsid w:val="1FA87119"/>
    <w:rsid w:val="2085CE11"/>
    <w:rsid w:val="210202C3"/>
    <w:rsid w:val="2153B5F0"/>
    <w:rsid w:val="2169F39B"/>
    <w:rsid w:val="217551C2"/>
    <w:rsid w:val="217FD84F"/>
    <w:rsid w:val="21E7B929"/>
    <w:rsid w:val="22076F48"/>
    <w:rsid w:val="226F8CF2"/>
    <w:rsid w:val="22839BBD"/>
    <w:rsid w:val="228708A7"/>
    <w:rsid w:val="228AF225"/>
    <w:rsid w:val="22E423DB"/>
    <w:rsid w:val="23398663"/>
    <w:rsid w:val="2386F74D"/>
    <w:rsid w:val="250D6DEF"/>
    <w:rsid w:val="25221439"/>
    <w:rsid w:val="25268D22"/>
    <w:rsid w:val="2565A28B"/>
    <w:rsid w:val="25A7520C"/>
    <w:rsid w:val="25C30CA7"/>
    <w:rsid w:val="2625A8F4"/>
    <w:rsid w:val="262C85EE"/>
    <w:rsid w:val="26DA2944"/>
    <w:rsid w:val="26EF463B"/>
    <w:rsid w:val="272FD19F"/>
    <w:rsid w:val="27322A1F"/>
    <w:rsid w:val="274E68F7"/>
    <w:rsid w:val="275FD760"/>
    <w:rsid w:val="277F0756"/>
    <w:rsid w:val="27C73BBD"/>
    <w:rsid w:val="27F7D826"/>
    <w:rsid w:val="28A66006"/>
    <w:rsid w:val="28F90364"/>
    <w:rsid w:val="29122DC3"/>
    <w:rsid w:val="29D7CE22"/>
    <w:rsid w:val="2A98B4B7"/>
    <w:rsid w:val="2BAA8844"/>
    <w:rsid w:val="2BDE407D"/>
    <w:rsid w:val="2C0B3ED6"/>
    <w:rsid w:val="2C491F3C"/>
    <w:rsid w:val="2CFB8175"/>
    <w:rsid w:val="2D09EF7E"/>
    <w:rsid w:val="2D906AD7"/>
    <w:rsid w:val="2DA75FB4"/>
    <w:rsid w:val="2DFB8749"/>
    <w:rsid w:val="2F060E65"/>
    <w:rsid w:val="2F3F248A"/>
    <w:rsid w:val="2F5979E8"/>
    <w:rsid w:val="3082A6CD"/>
    <w:rsid w:val="309B166A"/>
    <w:rsid w:val="30DC8374"/>
    <w:rsid w:val="30E0D76D"/>
    <w:rsid w:val="3134AB88"/>
    <w:rsid w:val="3300BE54"/>
    <w:rsid w:val="3301EB1D"/>
    <w:rsid w:val="33348E87"/>
    <w:rsid w:val="34DE5251"/>
    <w:rsid w:val="354DAC74"/>
    <w:rsid w:val="3587F1DA"/>
    <w:rsid w:val="358F72CD"/>
    <w:rsid w:val="35AD72F2"/>
    <w:rsid w:val="364E418F"/>
    <w:rsid w:val="366D260B"/>
    <w:rsid w:val="368860A4"/>
    <w:rsid w:val="36B3A383"/>
    <w:rsid w:val="36FD1AEF"/>
    <w:rsid w:val="379691DF"/>
    <w:rsid w:val="382C1B1E"/>
    <w:rsid w:val="38541A0B"/>
    <w:rsid w:val="38DF14CF"/>
    <w:rsid w:val="38F46D8A"/>
    <w:rsid w:val="3982B3AA"/>
    <w:rsid w:val="39C47C7D"/>
    <w:rsid w:val="39F46085"/>
    <w:rsid w:val="3A00808C"/>
    <w:rsid w:val="3A21A27E"/>
    <w:rsid w:val="3A5215AC"/>
    <w:rsid w:val="3A75448E"/>
    <w:rsid w:val="3A9F3B4B"/>
    <w:rsid w:val="3AD662CF"/>
    <w:rsid w:val="3BA3914E"/>
    <w:rsid w:val="3BA4E023"/>
    <w:rsid w:val="3BF12DE2"/>
    <w:rsid w:val="3C2C0E4C"/>
    <w:rsid w:val="3C489C43"/>
    <w:rsid w:val="3C5B280C"/>
    <w:rsid w:val="3CA72FCE"/>
    <w:rsid w:val="3CC249F2"/>
    <w:rsid w:val="3CDB5138"/>
    <w:rsid w:val="3CF3993F"/>
    <w:rsid w:val="3D711A28"/>
    <w:rsid w:val="3D756A38"/>
    <w:rsid w:val="3DA232BB"/>
    <w:rsid w:val="3E7E0D9C"/>
    <w:rsid w:val="3ECAE357"/>
    <w:rsid w:val="3F61CDFE"/>
    <w:rsid w:val="3F856F8C"/>
    <w:rsid w:val="3FF0F7E7"/>
    <w:rsid w:val="405BE43D"/>
    <w:rsid w:val="406E1B43"/>
    <w:rsid w:val="406FD4E3"/>
    <w:rsid w:val="40C9FCEF"/>
    <w:rsid w:val="40E1457E"/>
    <w:rsid w:val="41009640"/>
    <w:rsid w:val="415AEFBB"/>
    <w:rsid w:val="41FC61D7"/>
    <w:rsid w:val="43443C86"/>
    <w:rsid w:val="43AAC355"/>
    <w:rsid w:val="44ACADEE"/>
    <w:rsid w:val="4626D709"/>
    <w:rsid w:val="464FC5EB"/>
    <w:rsid w:val="46A5C5E8"/>
    <w:rsid w:val="4729083B"/>
    <w:rsid w:val="47CF6E1E"/>
    <w:rsid w:val="4827A4B3"/>
    <w:rsid w:val="489327EF"/>
    <w:rsid w:val="48B55C73"/>
    <w:rsid w:val="4931E34C"/>
    <w:rsid w:val="49389C8B"/>
    <w:rsid w:val="49CE77A3"/>
    <w:rsid w:val="4A027699"/>
    <w:rsid w:val="4A055D23"/>
    <w:rsid w:val="4AD14C23"/>
    <w:rsid w:val="4AE257C2"/>
    <w:rsid w:val="4AE8103B"/>
    <w:rsid w:val="4B20DA29"/>
    <w:rsid w:val="4B4D871A"/>
    <w:rsid w:val="4B7985FD"/>
    <w:rsid w:val="4B9061E9"/>
    <w:rsid w:val="4BD85148"/>
    <w:rsid w:val="4BDA70D3"/>
    <w:rsid w:val="4C3ED03C"/>
    <w:rsid w:val="4C6229A4"/>
    <w:rsid w:val="4D524399"/>
    <w:rsid w:val="4D5BBA63"/>
    <w:rsid w:val="4D6DE6CD"/>
    <w:rsid w:val="4D98AA4C"/>
    <w:rsid w:val="4E528549"/>
    <w:rsid w:val="4E708FEC"/>
    <w:rsid w:val="4ED8CBCC"/>
    <w:rsid w:val="4F4E5589"/>
    <w:rsid w:val="4F8461AA"/>
    <w:rsid w:val="4F927C3E"/>
    <w:rsid w:val="4FB2E52F"/>
    <w:rsid w:val="4FB5706E"/>
    <w:rsid w:val="50223E57"/>
    <w:rsid w:val="50712571"/>
    <w:rsid w:val="50EDA6DA"/>
    <w:rsid w:val="51A01C11"/>
    <w:rsid w:val="51BC9D4B"/>
    <w:rsid w:val="51F54BC1"/>
    <w:rsid w:val="522F09DB"/>
    <w:rsid w:val="526AB495"/>
    <w:rsid w:val="5284D96A"/>
    <w:rsid w:val="529960E1"/>
    <w:rsid w:val="52CCDA05"/>
    <w:rsid w:val="52FAC1EF"/>
    <w:rsid w:val="532CC95B"/>
    <w:rsid w:val="5444E04F"/>
    <w:rsid w:val="5467E94C"/>
    <w:rsid w:val="55693E18"/>
    <w:rsid w:val="557586AD"/>
    <w:rsid w:val="55E2E9C7"/>
    <w:rsid w:val="572274D5"/>
    <w:rsid w:val="57574FC3"/>
    <w:rsid w:val="57584A8D"/>
    <w:rsid w:val="57C42C8F"/>
    <w:rsid w:val="58051EAD"/>
    <w:rsid w:val="586FCFA1"/>
    <w:rsid w:val="58A0DEDA"/>
    <w:rsid w:val="58A57870"/>
    <w:rsid w:val="59059B81"/>
    <w:rsid w:val="592CC37C"/>
    <w:rsid w:val="595ADBC0"/>
    <w:rsid w:val="59C1B2D6"/>
    <w:rsid w:val="59F4AF6C"/>
    <w:rsid w:val="5A2D467A"/>
    <w:rsid w:val="5A456C15"/>
    <w:rsid w:val="5A6BD9AC"/>
    <w:rsid w:val="5AA28200"/>
    <w:rsid w:val="5AD37185"/>
    <w:rsid w:val="5B558C70"/>
    <w:rsid w:val="5B7942E6"/>
    <w:rsid w:val="5B89F7CC"/>
    <w:rsid w:val="5C8055F4"/>
    <w:rsid w:val="5CB75AA8"/>
    <w:rsid w:val="5CDB9953"/>
    <w:rsid w:val="5CDF10FD"/>
    <w:rsid w:val="5CE31EA2"/>
    <w:rsid w:val="5CEC5250"/>
    <w:rsid w:val="5D3BC402"/>
    <w:rsid w:val="5D3E7A24"/>
    <w:rsid w:val="5D9FE13C"/>
    <w:rsid w:val="5DE0A391"/>
    <w:rsid w:val="5E48BE45"/>
    <w:rsid w:val="5E9C00DE"/>
    <w:rsid w:val="5F0BCFCE"/>
    <w:rsid w:val="5F61E5C4"/>
    <w:rsid w:val="61056173"/>
    <w:rsid w:val="61131AD3"/>
    <w:rsid w:val="611CC308"/>
    <w:rsid w:val="617CF3F6"/>
    <w:rsid w:val="620C0CD3"/>
    <w:rsid w:val="62D37EA3"/>
    <w:rsid w:val="631D9968"/>
    <w:rsid w:val="63CAA7C0"/>
    <w:rsid w:val="63CFEA4B"/>
    <w:rsid w:val="64198DD3"/>
    <w:rsid w:val="647FDBE2"/>
    <w:rsid w:val="64952340"/>
    <w:rsid w:val="64A98643"/>
    <w:rsid w:val="654125B1"/>
    <w:rsid w:val="65661EA0"/>
    <w:rsid w:val="65D4D4F2"/>
    <w:rsid w:val="66A81B71"/>
    <w:rsid w:val="6763CAA3"/>
    <w:rsid w:val="677E5B53"/>
    <w:rsid w:val="68038167"/>
    <w:rsid w:val="68039F1E"/>
    <w:rsid w:val="68CCB0C2"/>
    <w:rsid w:val="68DBA28E"/>
    <w:rsid w:val="68F69ECF"/>
    <w:rsid w:val="692EED26"/>
    <w:rsid w:val="69B099A4"/>
    <w:rsid w:val="69E4D94E"/>
    <w:rsid w:val="6A5FDB86"/>
    <w:rsid w:val="6B17EBE3"/>
    <w:rsid w:val="6BA0C2B5"/>
    <w:rsid w:val="6BC7770D"/>
    <w:rsid w:val="6C3BA34B"/>
    <w:rsid w:val="6D2EFA45"/>
    <w:rsid w:val="6D9A2D98"/>
    <w:rsid w:val="6DD313B4"/>
    <w:rsid w:val="6E2554FE"/>
    <w:rsid w:val="6E4BD5B3"/>
    <w:rsid w:val="6E5F0DE5"/>
    <w:rsid w:val="6EE150A8"/>
    <w:rsid w:val="6EF89986"/>
    <w:rsid w:val="6F14EF0C"/>
    <w:rsid w:val="6F3A3E48"/>
    <w:rsid w:val="6F51A686"/>
    <w:rsid w:val="6F7D1240"/>
    <w:rsid w:val="6F977D17"/>
    <w:rsid w:val="6FA42B9B"/>
    <w:rsid w:val="70C2E8FE"/>
    <w:rsid w:val="719671D8"/>
    <w:rsid w:val="719B92C0"/>
    <w:rsid w:val="71A57542"/>
    <w:rsid w:val="721D6A5E"/>
    <w:rsid w:val="7241406B"/>
    <w:rsid w:val="72FE052F"/>
    <w:rsid w:val="733AE08E"/>
    <w:rsid w:val="73731CB7"/>
    <w:rsid w:val="737C26C0"/>
    <w:rsid w:val="73A12298"/>
    <w:rsid w:val="73D6C3B9"/>
    <w:rsid w:val="73FB3CD2"/>
    <w:rsid w:val="7406DF66"/>
    <w:rsid w:val="7451CAA2"/>
    <w:rsid w:val="7516D9EA"/>
    <w:rsid w:val="752E63DE"/>
    <w:rsid w:val="7556DA48"/>
    <w:rsid w:val="7596D0CC"/>
    <w:rsid w:val="76196995"/>
    <w:rsid w:val="76DA2355"/>
    <w:rsid w:val="778ABF65"/>
    <w:rsid w:val="77E9BB73"/>
    <w:rsid w:val="78D2C8A5"/>
    <w:rsid w:val="7949D323"/>
    <w:rsid w:val="7A19B51B"/>
    <w:rsid w:val="7A461284"/>
    <w:rsid w:val="7A74A807"/>
    <w:rsid w:val="7A8667DC"/>
    <w:rsid w:val="7AF2391E"/>
    <w:rsid w:val="7B6A8338"/>
    <w:rsid w:val="7BBE5775"/>
    <w:rsid w:val="7C19D5A1"/>
    <w:rsid w:val="7CE0D8A0"/>
    <w:rsid w:val="7D3BBF25"/>
    <w:rsid w:val="7DA11039"/>
    <w:rsid w:val="7E562FBF"/>
    <w:rsid w:val="7F0120B8"/>
    <w:rsid w:val="7FBC36A9"/>
    <w:rsid w:val="7FD59D43"/>
    <w:rsid w:val="7FE5D9F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C2598B2E-7E41-424B-825E-9157FB2C5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C53F86"/>
    <w:rPr>
      <w:sz w:val="16"/>
      <w:szCs w:val="16"/>
    </w:rPr>
  </w:style>
  <w:style w:type="paragraph" w:styleId="CommentText">
    <w:name w:val="annotation text"/>
    <w:basedOn w:val="Normal"/>
    <w:link w:val="CommentTextChar"/>
    <w:rsid w:val="00C53F86"/>
  </w:style>
  <w:style w:type="character" w:customStyle="1" w:styleId="CommentTextChar">
    <w:name w:val="Comment Text Char"/>
    <w:basedOn w:val="DefaultParagraphFont"/>
    <w:link w:val="CommentText"/>
    <w:rsid w:val="00C53F86"/>
    <w:rPr>
      <w:lang w:eastAsia="en-US"/>
    </w:rPr>
  </w:style>
  <w:style w:type="paragraph" w:styleId="CommentSubject">
    <w:name w:val="annotation subject"/>
    <w:basedOn w:val="CommentText"/>
    <w:next w:val="CommentText"/>
    <w:link w:val="CommentSubjectChar"/>
    <w:rsid w:val="00C53F86"/>
    <w:rPr>
      <w:b/>
      <w:bCs/>
    </w:rPr>
  </w:style>
  <w:style w:type="character" w:customStyle="1" w:styleId="CommentSubjectChar">
    <w:name w:val="Comment Subject Char"/>
    <w:basedOn w:val="CommentTextChar"/>
    <w:link w:val="CommentSubject"/>
    <w:rsid w:val="00C53F86"/>
    <w:rPr>
      <w:b/>
      <w:bCs/>
      <w:lang w:eastAsia="en-US"/>
    </w:rPr>
  </w:style>
  <w:style w:type="paragraph" w:styleId="ListParagraph">
    <w:name w:val="List Paragraph"/>
    <w:basedOn w:val="Normal"/>
    <w:uiPriority w:val="34"/>
    <w:qFormat/>
    <w:rsid w:val="0022274D"/>
    <w:pPr>
      <w:ind w:left="720"/>
      <w:contextualSpacing/>
    </w:pPr>
  </w:style>
  <w:style w:type="paragraph" w:customStyle="1" w:styleId="paragraph">
    <w:name w:val="paragraph"/>
    <w:basedOn w:val="Normal"/>
    <w:rsid w:val="0022274D"/>
    <w:pPr>
      <w:spacing w:before="100" w:beforeAutospacing="1" w:after="100" w:afterAutospacing="1"/>
    </w:pPr>
    <w:rPr>
      <w:sz w:val="24"/>
      <w:szCs w:val="24"/>
      <w:lang w:val="de-DE" w:eastAsia="de-DE"/>
    </w:rPr>
  </w:style>
  <w:style w:type="character" w:customStyle="1" w:styleId="normaltextrun">
    <w:name w:val="normaltextrun"/>
    <w:basedOn w:val="DefaultParagraphFont"/>
    <w:rsid w:val="0022274D"/>
  </w:style>
  <w:style w:type="character" w:customStyle="1" w:styleId="eop">
    <w:name w:val="eop"/>
    <w:basedOn w:val="DefaultParagraphFont"/>
    <w:rsid w:val="0022274D"/>
  </w:style>
  <w:style w:type="character" w:customStyle="1" w:styleId="advancedproofingissue">
    <w:name w:val="advancedproofingissue"/>
    <w:basedOn w:val="DefaultParagraphFont"/>
    <w:rsid w:val="0022274D"/>
  </w:style>
  <w:style w:type="paragraph" w:styleId="Caption">
    <w:name w:val="caption"/>
    <w:basedOn w:val="Normal"/>
    <w:next w:val="Normal"/>
    <w:unhideWhenUsed/>
    <w:qFormat/>
    <w:rsid w:val="00342442"/>
    <w:pPr>
      <w:spacing w:after="200"/>
    </w:pPr>
    <w:rPr>
      <w:i/>
      <w:iCs/>
      <w:color w:val="44546A" w:themeColor="text2"/>
      <w:sz w:val="18"/>
      <w:szCs w:val="18"/>
    </w:rPr>
  </w:style>
  <w:style w:type="character" w:customStyle="1" w:styleId="Heading1Char">
    <w:name w:val="Heading 1 Char"/>
    <w:basedOn w:val="DefaultParagraphFont"/>
    <w:link w:val="Heading1"/>
    <w:rsid w:val="006119C4"/>
    <w:rPr>
      <w:rFonts w:ascii="Arial" w:hAnsi="Arial"/>
      <w:sz w:val="36"/>
      <w:lang w:eastAsia="en-US"/>
    </w:rPr>
  </w:style>
  <w:style w:type="table" w:styleId="TableGrid">
    <w:name w:val="Table Grid"/>
    <w:basedOn w:val="TableNormal"/>
    <w:rsid w:val="000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040B2C"/>
    <w:rPr>
      <w:color w:val="2B579A"/>
      <w:shd w:val="clear" w:color="auto" w:fill="E1DFDD"/>
    </w:rPr>
  </w:style>
  <w:style w:type="paragraph" w:styleId="Revision">
    <w:name w:val="Revision"/>
    <w:hidden/>
    <w:uiPriority w:val="99"/>
    <w:semiHidden/>
    <w:rsid w:val="0095788F"/>
    <w:rPr>
      <w:lang w:eastAsia="en-US"/>
    </w:rPr>
  </w:style>
  <w:style w:type="table" w:styleId="GridTable5Dark-Accent5">
    <w:name w:val="Grid Table 5 Dark Accent 5"/>
    <w:basedOn w:val="TableNormal"/>
    <w:uiPriority w:val="50"/>
    <w:rsid w:val="0012230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B2Char">
    <w:name w:val="B2 Char"/>
    <w:link w:val="B2"/>
    <w:qFormat/>
    <w:rsid w:val="00995002"/>
    <w:rPr>
      <w:lang w:eastAsia="en-US"/>
    </w:rPr>
  </w:style>
  <w:style w:type="character" w:customStyle="1" w:styleId="B3Char2">
    <w:name w:val="B3 Char2"/>
    <w:link w:val="B3"/>
    <w:qFormat/>
    <w:rsid w:val="00995002"/>
    <w:rPr>
      <w:lang w:eastAsia="en-US"/>
    </w:rPr>
  </w:style>
  <w:style w:type="character" w:customStyle="1" w:styleId="B4Char">
    <w:name w:val="B4 Char"/>
    <w:link w:val="B4"/>
    <w:qFormat/>
    <w:rsid w:val="00995002"/>
    <w:rPr>
      <w:lang w:eastAsia="en-US"/>
    </w:rPr>
  </w:style>
  <w:style w:type="character" w:customStyle="1" w:styleId="B5Char">
    <w:name w:val="B5 Char"/>
    <w:link w:val="B5"/>
    <w:qFormat/>
    <w:rsid w:val="00995002"/>
    <w:rPr>
      <w:lang w:eastAsia="en-US"/>
    </w:rPr>
  </w:style>
  <w:style w:type="paragraph" w:customStyle="1" w:styleId="Agreement">
    <w:name w:val="Agreement"/>
    <w:basedOn w:val="Normal"/>
    <w:next w:val="Normal"/>
    <w:qFormat/>
    <w:rsid w:val="0065774F"/>
    <w:pPr>
      <w:numPr>
        <w:numId w:val="10"/>
      </w:numPr>
      <w:tabs>
        <w:tab w:val="clear" w:pos="1352"/>
        <w:tab w:val="num" w:pos="1619"/>
      </w:tabs>
      <w:spacing w:before="60" w:after="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28328">
      <w:bodyDiv w:val="1"/>
      <w:marLeft w:val="0"/>
      <w:marRight w:val="0"/>
      <w:marTop w:val="0"/>
      <w:marBottom w:val="0"/>
      <w:divBdr>
        <w:top w:val="none" w:sz="0" w:space="0" w:color="auto"/>
        <w:left w:val="none" w:sz="0" w:space="0" w:color="auto"/>
        <w:bottom w:val="none" w:sz="0" w:space="0" w:color="auto"/>
        <w:right w:val="none" w:sz="0" w:space="0" w:color="auto"/>
      </w:divBdr>
    </w:div>
    <w:div w:id="185212406">
      <w:bodyDiv w:val="1"/>
      <w:marLeft w:val="0"/>
      <w:marRight w:val="0"/>
      <w:marTop w:val="0"/>
      <w:marBottom w:val="0"/>
      <w:divBdr>
        <w:top w:val="none" w:sz="0" w:space="0" w:color="auto"/>
        <w:left w:val="none" w:sz="0" w:space="0" w:color="auto"/>
        <w:bottom w:val="none" w:sz="0" w:space="0" w:color="auto"/>
        <w:right w:val="none" w:sz="0" w:space="0" w:color="auto"/>
      </w:divBdr>
    </w:div>
    <w:div w:id="314067273">
      <w:bodyDiv w:val="1"/>
      <w:marLeft w:val="0"/>
      <w:marRight w:val="0"/>
      <w:marTop w:val="0"/>
      <w:marBottom w:val="0"/>
      <w:divBdr>
        <w:top w:val="none" w:sz="0" w:space="0" w:color="auto"/>
        <w:left w:val="none" w:sz="0" w:space="0" w:color="auto"/>
        <w:bottom w:val="none" w:sz="0" w:space="0" w:color="auto"/>
        <w:right w:val="none" w:sz="0" w:space="0" w:color="auto"/>
      </w:divBdr>
      <w:divsChild>
        <w:div w:id="585111749">
          <w:marLeft w:val="0"/>
          <w:marRight w:val="0"/>
          <w:marTop w:val="0"/>
          <w:marBottom w:val="0"/>
          <w:divBdr>
            <w:top w:val="none" w:sz="0" w:space="0" w:color="auto"/>
            <w:left w:val="none" w:sz="0" w:space="0" w:color="auto"/>
            <w:bottom w:val="none" w:sz="0" w:space="0" w:color="auto"/>
            <w:right w:val="none" w:sz="0" w:space="0" w:color="auto"/>
          </w:divBdr>
          <w:divsChild>
            <w:div w:id="589655846">
              <w:marLeft w:val="0"/>
              <w:marRight w:val="0"/>
              <w:marTop w:val="0"/>
              <w:marBottom w:val="0"/>
              <w:divBdr>
                <w:top w:val="none" w:sz="0" w:space="0" w:color="auto"/>
                <w:left w:val="none" w:sz="0" w:space="0" w:color="auto"/>
                <w:bottom w:val="none" w:sz="0" w:space="0" w:color="auto"/>
                <w:right w:val="none" w:sz="0" w:space="0" w:color="auto"/>
              </w:divBdr>
            </w:div>
          </w:divsChild>
        </w:div>
        <w:div w:id="603419149">
          <w:marLeft w:val="0"/>
          <w:marRight w:val="0"/>
          <w:marTop w:val="0"/>
          <w:marBottom w:val="0"/>
          <w:divBdr>
            <w:top w:val="none" w:sz="0" w:space="0" w:color="auto"/>
            <w:left w:val="none" w:sz="0" w:space="0" w:color="auto"/>
            <w:bottom w:val="none" w:sz="0" w:space="0" w:color="auto"/>
            <w:right w:val="none" w:sz="0" w:space="0" w:color="auto"/>
          </w:divBdr>
          <w:divsChild>
            <w:div w:id="2001498938">
              <w:marLeft w:val="0"/>
              <w:marRight w:val="0"/>
              <w:marTop w:val="0"/>
              <w:marBottom w:val="0"/>
              <w:divBdr>
                <w:top w:val="none" w:sz="0" w:space="0" w:color="auto"/>
                <w:left w:val="none" w:sz="0" w:space="0" w:color="auto"/>
                <w:bottom w:val="none" w:sz="0" w:space="0" w:color="auto"/>
                <w:right w:val="none" w:sz="0" w:space="0" w:color="auto"/>
              </w:divBdr>
            </w:div>
          </w:divsChild>
        </w:div>
        <w:div w:id="971055499">
          <w:marLeft w:val="0"/>
          <w:marRight w:val="0"/>
          <w:marTop w:val="0"/>
          <w:marBottom w:val="0"/>
          <w:divBdr>
            <w:top w:val="none" w:sz="0" w:space="0" w:color="auto"/>
            <w:left w:val="none" w:sz="0" w:space="0" w:color="auto"/>
            <w:bottom w:val="none" w:sz="0" w:space="0" w:color="auto"/>
            <w:right w:val="none" w:sz="0" w:space="0" w:color="auto"/>
          </w:divBdr>
          <w:divsChild>
            <w:div w:id="336931087">
              <w:marLeft w:val="0"/>
              <w:marRight w:val="0"/>
              <w:marTop w:val="0"/>
              <w:marBottom w:val="0"/>
              <w:divBdr>
                <w:top w:val="none" w:sz="0" w:space="0" w:color="auto"/>
                <w:left w:val="none" w:sz="0" w:space="0" w:color="auto"/>
                <w:bottom w:val="none" w:sz="0" w:space="0" w:color="auto"/>
                <w:right w:val="none" w:sz="0" w:space="0" w:color="auto"/>
              </w:divBdr>
            </w:div>
          </w:divsChild>
        </w:div>
        <w:div w:id="1005865603">
          <w:marLeft w:val="0"/>
          <w:marRight w:val="0"/>
          <w:marTop w:val="0"/>
          <w:marBottom w:val="0"/>
          <w:divBdr>
            <w:top w:val="none" w:sz="0" w:space="0" w:color="auto"/>
            <w:left w:val="none" w:sz="0" w:space="0" w:color="auto"/>
            <w:bottom w:val="none" w:sz="0" w:space="0" w:color="auto"/>
            <w:right w:val="none" w:sz="0" w:space="0" w:color="auto"/>
          </w:divBdr>
          <w:divsChild>
            <w:div w:id="872957345">
              <w:marLeft w:val="0"/>
              <w:marRight w:val="0"/>
              <w:marTop w:val="0"/>
              <w:marBottom w:val="0"/>
              <w:divBdr>
                <w:top w:val="none" w:sz="0" w:space="0" w:color="auto"/>
                <w:left w:val="none" w:sz="0" w:space="0" w:color="auto"/>
                <w:bottom w:val="none" w:sz="0" w:space="0" w:color="auto"/>
                <w:right w:val="none" w:sz="0" w:space="0" w:color="auto"/>
              </w:divBdr>
            </w:div>
          </w:divsChild>
        </w:div>
        <w:div w:id="1078989230">
          <w:marLeft w:val="0"/>
          <w:marRight w:val="0"/>
          <w:marTop w:val="0"/>
          <w:marBottom w:val="0"/>
          <w:divBdr>
            <w:top w:val="none" w:sz="0" w:space="0" w:color="auto"/>
            <w:left w:val="none" w:sz="0" w:space="0" w:color="auto"/>
            <w:bottom w:val="none" w:sz="0" w:space="0" w:color="auto"/>
            <w:right w:val="none" w:sz="0" w:space="0" w:color="auto"/>
          </w:divBdr>
          <w:divsChild>
            <w:div w:id="1430008327">
              <w:marLeft w:val="0"/>
              <w:marRight w:val="0"/>
              <w:marTop w:val="0"/>
              <w:marBottom w:val="0"/>
              <w:divBdr>
                <w:top w:val="none" w:sz="0" w:space="0" w:color="auto"/>
                <w:left w:val="none" w:sz="0" w:space="0" w:color="auto"/>
                <w:bottom w:val="none" w:sz="0" w:space="0" w:color="auto"/>
                <w:right w:val="none" w:sz="0" w:space="0" w:color="auto"/>
              </w:divBdr>
            </w:div>
          </w:divsChild>
        </w:div>
        <w:div w:id="1187212103">
          <w:marLeft w:val="0"/>
          <w:marRight w:val="0"/>
          <w:marTop w:val="0"/>
          <w:marBottom w:val="0"/>
          <w:divBdr>
            <w:top w:val="none" w:sz="0" w:space="0" w:color="auto"/>
            <w:left w:val="none" w:sz="0" w:space="0" w:color="auto"/>
            <w:bottom w:val="none" w:sz="0" w:space="0" w:color="auto"/>
            <w:right w:val="none" w:sz="0" w:space="0" w:color="auto"/>
          </w:divBdr>
          <w:divsChild>
            <w:div w:id="262419865">
              <w:marLeft w:val="0"/>
              <w:marRight w:val="0"/>
              <w:marTop w:val="0"/>
              <w:marBottom w:val="0"/>
              <w:divBdr>
                <w:top w:val="none" w:sz="0" w:space="0" w:color="auto"/>
                <w:left w:val="none" w:sz="0" w:space="0" w:color="auto"/>
                <w:bottom w:val="none" w:sz="0" w:space="0" w:color="auto"/>
                <w:right w:val="none" w:sz="0" w:space="0" w:color="auto"/>
              </w:divBdr>
            </w:div>
          </w:divsChild>
        </w:div>
        <w:div w:id="1256477560">
          <w:marLeft w:val="0"/>
          <w:marRight w:val="0"/>
          <w:marTop w:val="0"/>
          <w:marBottom w:val="0"/>
          <w:divBdr>
            <w:top w:val="none" w:sz="0" w:space="0" w:color="auto"/>
            <w:left w:val="none" w:sz="0" w:space="0" w:color="auto"/>
            <w:bottom w:val="none" w:sz="0" w:space="0" w:color="auto"/>
            <w:right w:val="none" w:sz="0" w:space="0" w:color="auto"/>
          </w:divBdr>
          <w:divsChild>
            <w:div w:id="296878242">
              <w:marLeft w:val="0"/>
              <w:marRight w:val="0"/>
              <w:marTop w:val="0"/>
              <w:marBottom w:val="0"/>
              <w:divBdr>
                <w:top w:val="none" w:sz="0" w:space="0" w:color="auto"/>
                <w:left w:val="none" w:sz="0" w:space="0" w:color="auto"/>
                <w:bottom w:val="none" w:sz="0" w:space="0" w:color="auto"/>
                <w:right w:val="none" w:sz="0" w:space="0" w:color="auto"/>
              </w:divBdr>
            </w:div>
          </w:divsChild>
        </w:div>
        <w:div w:id="1430009736">
          <w:marLeft w:val="0"/>
          <w:marRight w:val="0"/>
          <w:marTop w:val="0"/>
          <w:marBottom w:val="0"/>
          <w:divBdr>
            <w:top w:val="none" w:sz="0" w:space="0" w:color="auto"/>
            <w:left w:val="none" w:sz="0" w:space="0" w:color="auto"/>
            <w:bottom w:val="none" w:sz="0" w:space="0" w:color="auto"/>
            <w:right w:val="none" w:sz="0" w:space="0" w:color="auto"/>
          </w:divBdr>
          <w:divsChild>
            <w:div w:id="1097481569">
              <w:marLeft w:val="0"/>
              <w:marRight w:val="0"/>
              <w:marTop w:val="0"/>
              <w:marBottom w:val="0"/>
              <w:divBdr>
                <w:top w:val="none" w:sz="0" w:space="0" w:color="auto"/>
                <w:left w:val="none" w:sz="0" w:space="0" w:color="auto"/>
                <w:bottom w:val="none" w:sz="0" w:space="0" w:color="auto"/>
                <w:right w:val="none" w:sz="0" w:space="0" w:color="auto"/>
              </w:divBdr>
            </w:div>
          </w:divsChild>
        </w:div>
        <w:div w:id="1473671627">
          <w:marLeft w:val="0"/>
          <w:marRight w:val="0"/>
          <w:marTop w:val="0"/>
          <w:marBottom w:val="0"/>
          <w:divBdr>
            <w:top w:val="none" w:sz="0" w:space="0" w:color="auto"/>
            <w:left w:val="none" w:sz="0" w:space="0" w:color="auto"/>
            <w:bottom w:val="none" w:sz="0" w:space="0" w:color="auto"/>
            <w:right w:val="none" w:sz="0" w:space="0" w:color="auto"/>
          </w:divBdr>
          <w:divsChild>
            <w:div w:id="220211125">
              <w:marLeft w:val="0"/>
              <w:marRight w:val="0"/>
              <w:marTop w:val="0"/>
              <w:marBottom w:val="0"/>
              <w:divBdr>
                <w:top w:val="none" w:sz="0" w:space="0" w:color="auto"/>
                <w:left w:val="none" w:sz="0" w:space="0" w:color="auto"/>
                <w:bottom w:val="none" w:sz="0" w:space="0" w:color="auto"/>
                <w:right w:val="none" w:sz="0" w:space="0" w:color="auto"/>
              </w:divBdr>
            </w:div>
          </w:divsChild>
        </w:div>
        <w:div w:id="1474759943">
          <w:marLeft w:val="0"/>
          <w:marRight w:val="0"/>
          <w:marTop w:val="0"/>
          <w:marBottom w:val="0"/>
          <w:divBdr>
            <w:top w:val="none" w:sz="0" w:space="0" w:color="auto"/>
            <w:left w:val="none" w:sz="0" w:space="0" w:color="auto"/>
            <w:bottom w:val="none" w:sz="0" w:space="0" w:color="auto"/>
            <w:right w:val="none" w:sz="0" w:space="0" w:color="auto"/>
          </w:divBdr>
          <w:divsChild>
            <w:div w:id="1683626875">
              <w:marLeft w:val="0"/>
              <w:marRight w:val="0"/>
              <w:marTop w:val="0"/>
              <w:marBottom w:val="0"/>
              <w:divBdr>
                <w:top w:val="none" w:sz="0" w:space="0" w:color="auto"/>
                <w:left w:val="none" w:sz="0" w:space="0" w:color="auto"/>
                <w:bottom w:val="none" w:sz="0" w:space="0" w:color="auto"/>
                <w:right w:val="none" w:sz="0" w:space="0" w:color="auto"/>
              </w:divBdr>
            </w:div>
          </w:divsChild>
        </w:div>
        <w:div w:id="1477524440">
          <w:marLeft w:val="0"/>
          <w:marRight w:val="0"/>
          <w:marTop w:val="0"/>
          <w:marBottom w:val="0"/>
          <w:divBdr>
            <w:top w:val="none" w:sz="0" w:space="0" w:color="auto"/>
            <w:left w:val="none" w:sz="0" w:space="0" w:color="auto"/>
            <w:bottom w:val="none" w:sz="0" w:space="0" w:color="auto"/>
            <w:right w:val="none" w:sz="0" w:space="0" w:color="auto"/>
          </w:divBdr>
          <w:divsChild>
            <w:div w:id="1353873919">
              <w:marLeft w:val="0"/>
              <w:marRight w:val="0"/>
              <w:marTop w:val="0"/>
              <w:marBottom w:val="0"/>
              <w:divBdr>
                <w:top w:val="none" w:sz="0" w:space="0" w:color="auto"/>
                <w:left w:val="none" w:sz="0" w:space="0" w:color="auto"/>
                <w:bottom w:val="none" w:sz="0" w:space="0" w:color="auto"/>
                <w:right w:val="none" w:sz="0" w:space="0" w:color="auto"/>
              </w:divBdr>
            </w:div>
          </w:divsChild>
        </w:div>
        <w:div w:id="1490754071">
          <w:marLeft w:val="0"/>
          <w:marRight w:val="0"/>
          <w:marTop w:val="0"/>
          <w:marBottom w:val="0"/>
          <w:divBdr>
            <w:top w:val="none" w:sz="0" w:space="0" w:color="auto"/>
            <w:left w:val="none" w:sz="0" w:space="0" w:color="auto"/>
            <w:bottom w:val="none" w:sz="0" w:space="0" w:color="auto"/>
            <w:right w:val="none" w:sz="0" w:space="0" w:color="auto"/>
          </w:divBdr>
          <w:divsChild>
            <w:div w:id="2109083097">
              <w:marLeft w:val="0"/>
              <w:marRight w:val="0"/>
              <w:marTop w:val="0"/>
              <w:marBottom w:val="0"/>
              <w:divBdr>
                <w:top w:val="none" w:sz="0" w:space="0" w:color="auto"/>
                <w:left w:val="none" w:sz="0" w:space="0" w:color="auto"/>
                <w:bottom w:val="none" w:sz="0" w:space="0" w:color="auto"/>
                <w:right w:val="none" w:sz="0" w:space="0" w:color="auto"/>
              </w:divBdr>
            </w:div>
          </w:divsChild>
        </w:div>
        <w:div w:id="1499690093">
          <w:marLeft w:val="0"/>
          <w:marRight w:val="0"/>
          <w:marTop w:val="0"/>
          <w:marBottom w:val="0"/>
          <w:divBdr>
            <w:top w:val="none" w:sz="0" w:space="0" w:color="auto"/>
            <w:left w:val="none" w:sz="0" w:space="0" w:color="auto"/>
            <w:bottom w:val="none" w:sz="0" w:space="0" w:color="auto"/>
            <w:right w:val="none" w:sz="0" w:space="0" w:color="auto"/>
          </w:divBdr>
          <w:divsChild>
            <w:div w:id="1912543730">
              <w:marLeft w:val="0"/>
              <w:marRight w:val="0"/>
              <w:marTop w:val="0"/>
              <w:marBottom w:val="0"/>
              <w:divBdr>
                <w:top w:val="none" w:sz="0" w:space="0" w:color="auto"/>
                <w:left w:val="none" w:sz="0" w:space="0" w:color="auto"/>
                <w:bottom w:val="none" w:sz="0" w:space="0" w:color="auto"/>
                <w:right w:val="none" w:sz="0" w:space="0" w:color="auto"/>
              </w:divBdr>
            </w:div>
          </w:divsChild>
        </w:div>
        <w:div w:id="1565721947">
          <w:marLeft w:val="0"/>
          <w:marRight w:val="0"/>
          <w:marTop w:val="0"/>
          <w:marBottom w:val="0"/>
          <w:divBdr>
            <w:top w:val="none" w:sz="0" w:space="0" w:color="auto"/>
            <w:left w:val="none" w:sz="0" w:space="0" w:color="auto"/>
            <w:bottom w:val="none" w:sz="0" w:space="0" w:color="auto"/>
            <w:right w:val="none" w:sz="0" w:space="0" w:color="auto"/>
          </w:divBdr>
          <w:divsChild>
            <w:div w:id="1249386123">
              <w:marLeft w:val="0"/>
              <w:marRight w:val="0"/>
              <w:marTop w:val="0"/>
              <w:marBottom w:val="0"/>
              <w:divBdr>
                <w:top w:val="none" w:sz="0" w:space="0" w:color="auto"/>
                <w:left w:val="none" w:sz="0" w:space="0" w:color="auto"/>
                <w:bottom w:val="none" w:sz="0" w:space="0" w:color="auto"/>
                <w:right w:val="none" w:sz="0" w:space="0" w:color="auto"/>
              </w:divBdr>
            </w:div>
          </w:divsChild>
        </w:div>
        <w:div w:id="1583491553">
          <w:marLeft w:val="0"/>
          <w:marRight w:val="0"/>
          <w:marTop w:val="0"/>
          <w:marBottom w:val="0"/>
          <w:divBdr>
            <w:top w:val="none" w:sz="0" w:space="0" w:color="auto"/>
            <w:left w:val="none" w:sz="0" w:space="0" w:color="auto"/>
            <w:bottom w:val="none" w:sz="0" w:space="0" w:color="auto"/>
            <w:right w:val="none" w:sz="0" w:space="0" w:color="auto"/>
          </w:divBdr>
          <w:divsChild>
            <w:div w:id="408620506">
              <w:marLeft w:val="0"/>
              <w:marRight w:val="0"/>
              <w:marTop w:val="0"/>
              <w:marBottom w:val="0"/>
              <w:divBdr>
                <w:top w:val="none" w:sz="0" w:space="0" w:color="auto"/>
                <w:left w:val="none" w:sz="0" w:space="0" w:color="auto"/>
                <w:bottom w:val="none" w:sz="0" w:space="0" w:color="auto"/>
                <w:right w:val="none" w:sz="0" w:space="0" w:color="auto"/>
              </w:divBdr>
            </w:div>
          </w:divsChild>
        </w:div>
        <w:div w:id="1608275099">
          <w:marLeft w:val="0"/>
          <w:marRight w:val="0"/>
          <w:marTop w:val="0"/>
          <w:marBottom w:val="0"/>
          <w:divBdr>
            <w:top w:val="none" w:sz="0" w:space="0" w:color="auto"/>
            <w:left w:val="none" w:sz="0" w:space="0" w:color="auto"/>
            <w:bottom w:val="none" w:sz="0" w:space="0" w:color="auto"/>
            <w:right w:val="none" w:sz="0" w:space="0" w:color="auto"/>
          </w:divBdr>
          <w:divsChild>
            <w:div w:id="1163812139">
              <w:marLeft w:val="0"/>
              <w:marRight w:val="0"/>
              <w:marTop w:val="0"/>
              <w:marBottom w:val="0"/>
              <w:divBdr>
                <w:top w:val="none" w:sz="0" w:space="0" w:color="auto"/>
                <w:left w:val="none" w:sz="0" w:space="0" w:color="auto"/>
                <w:bottom w:val="none" w:sz="0" w:space="0" w:color="auto"/>
                <w:right w:val="none" w:sz="0" w:space="0" w:color="auto"/>
              </w:divBdr>
            </w:div>
          </w:divsChild>
        </w:div>
        <w:div w:id="1612855138">
          <w:marLeft w:val="0"/>
          <w:marRight w:val="0"/>
          <w:marTop w:val="0"/>
          <w:marBottom w:val="0"/>
          <w:divBdr>
            <w:top w:val="none" w:sz="0" w:space="0" w:color="auto"/>
            <w:left w:val="none" w:sz="0" w:space="0" w:color="auto"/>
            <w:bottom w:val="none" w:sz="0" w:space="0" w:color="auto"/>
            <w:right w:val="none" w:sz="0" w:space="0" w:color="auto"/>
          </w:divBdr>
          <w:divsChild>
            <w:div w:id="1021275243">
              <w:marLeft w:val="0"/>
              <w:marRight w:val="0"/>
              <w:marTop w:val="0"/>
              <w:marBottom w:val="0"/>
              <w:divBdr>
                <w:top w:val="none" w:sz="0" w:space="0" w:color="auto"/>
                <w:left w:val="none" w:sz="0" w:space="0" w:color="auto"/>
                <w:bottom w:val="none" w:sz="0" w:space="0" w:color="auto"/>
                <w:right w:val="none" w:sz="0" w:space="0" w:color="auto"/>
              </w:divBdr>
            </w:div>
          </w:divsChild>
        </w:div>
        <w:div w:id="1669745501">
          <w:marLeft w:val="0"/>
          <w:marRight w:val="0"/>
          <w:marTop w:val="0"/>
          <w:marBottom w:val="0"/>
          <w:divBdr>
            <w:top w:val="none" w:sz="0" w:space="0" w:color="auto"/>
            <w:left w:val="none" w:sz="0" w:space="0" w:color="auto"/>
            <w:bottom w:val="none" w:sz="0" w:space="0" w:color="auto"/>
            <w:right w:val="none" w:sz="0" w:space="0" w:color="auto"/>
          </w:divBdr>
          <w:divsChild>
            <w:div w:id="57093523">
              <w:marLeft w:val="0"/>
              <w:marRight w:val="0"/>
              <w:marTop w:val="0"/>
              <w:marBottom w:val="0"/>
              <w:divBdr>
                <w:top w:val="none" w:sz="0" w:space="0" w:color="auto"/>
                <w:left w:val="none" w:sz="0" w:space="0" w:color="auto"/>
                <w:bottom w:val="none" w:sz="0" w:space="0" w:color="auto"/>
                <w:right w:val="none" w:sz="0" w:space="0" w:color="auto"/>
              </w:divBdr>
            </w:div>
          </w:divsChild>
        </w:div>
        <w:div w:id="1762338035">
          <w:marLeft w:val="0"/>
          <w:marRight w:val="0"/>
          <w:marTop w:val="0"/>
          <w:marBottom w:val="0"/>
          <w:divBdr>
            <w:top w:val="none" w:sz="0" w:space="0" w:color="auto"/>
            <w:left w:val="none" w:sz="0" w:space="0" w:color="auto"/>
            <w:bottom w:val="none" w:sz="0" w:space="0" w:color="auto"/>
            <w:right w:val="none" w:sz="0" w:space="0" w:color="auto"/>
          </w:divBdr>
          <w:divsChild>
            <w:div w:id="569775939">
              <w:marLeft w:val="0"/>
              <w:marRight w:val="0"/>
              <w:marTop w:val="0"/>
              <w:marBottom w:val="0"/>
              <w:divBdr>
                <w:top w:val="none" w:sz="0" w:space="0" w:color="auto"/>
                <w:left w:val="none" w:sz="0" w:space="0" w:color="auto"/>
                <w:bottom w:val="none" w:sz="0" w:space="0" w:color="auto"/>
                <w:right w:val="none" w:sz="0" w:space="0" w:color="auto"/>
              </w:divBdr>
            </w:div>
          </w:divsChild>
        </w:div>
        <w:div w:id="1831673298">
          <w:marLeft w:val="0"/>
          <w:marRight w:val="0"/>
          <w:marTop w:val="0"/>
          <w:marBottom w:val="0"/>
          <w:divBdr>
            <w:top w:val="none" w:sz="0" w:space="0" w:color="auto"/>
            <w:left w:val="none" w:sz="0" w:space="0" w:color="auto"/>
            <w:bottom w:val="none" w:sz="0" w:space="0" w:color="auto"/>
            <w:right w:val="none" w:sz="0" w:space="0" w:color="auto"/>
          </w:divBdr>
          <w:divsChild>
            <w:div w:id="1305770159">
              <w:marLeft w:val="0"/>
              <w:marRight w:val="0"/>
              <w:marTop w:val="0"/>
              <w:marBottom w:val="0"/>
              <w:divBdr>
                <w:top w:val="none" w:sz="0" w:space="0" w:color="auto"/>
                <w:left w:val="none" w:sz="0" w:space="0" w:color="auto"/>
                <w:bottom w:val="none" w:sz="0" w:space="0" w:color="auto"/>
                <w:right w:val="none" w:sz="0" w:space="0" w:color="auto"/>
              </w:divBdr>
            </w:div>
          </w:divsChild>
        </w:div>
        <w:div w:id="1843202311">
          <w:marLeft w:val="0"/>
          <w:marRight w:val="0"/>
          <w:marTop w:val="0"/>
          <w:marBottom w:val="0"/>
          <w:divBdr>
            <w:top w:val="none" w:sz="0" w:space="0" w:color="auto"/>
            <w:left w:val="none" w:sz="0" w:space="0" w:color="auto"/>
            <w:bottom w:val="none" w:sz="0" w:space="0" w:color="auto"/>
            <w:right w:val="none" w:sz="0" w:space="0" w:color="auto"/>
          </w:divBdr>
          <w:divsChild>
            <w:div w:id="2109500837">
              <w:marLeft w:val="0"/>
              <w:marRight w:val="0"/>
              <w:marTop w:val="0"/>
              <w:marBottom w:val="0"/>
              <w:divBdr>
                <w:top w:val="none" w:sz="0" w:space="0" w:color="auto"/>
                <w:left w:val="none" w:sz="0" w:space="0" w:color="auto"/>
                <w:bottom w:val="none" w:sz="0" w:space="0" w:color="auto"/>
                <w:right w:val="none" w:sz="0" w:space="0" w:color="auto"/>
              </w:divBdr>
            </w:div>
          </w:divsChild>
        </w:div>
        <w:div w:id="1987393390">
          <w:marLeft w:val="0"/>
          <w:marRight w:val="0"/>
          <w:marTop w:val="0"/>
          <w:marBottom w:val="0"/>
          <w:divBdr>
            <w:top w:val="none" w:sz="0" w:space="0" w:color="auto"/>
            <w:left w:val="none" w:sz="0" w:space="0" w:color="auto"/>
            <w:bottom w:val="none" w:sz="0" w:space="0" w:color="auto"/>
            <w:right w:val="none" w:sz="0" w:space="0" w:color="auto"/>
          </w:divBdr>
          <w:divsChild>
            <w:div w:id="634027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7436637">
      <w:bodyDiv w:val="1"/>
      <w:marLeft w:val="0"/>
      <w:marRight w:val="0"/>
      <w:marTop w:val="0"/>
      <w:marBottom w:val="0"/>
      <w:divBdr>
        <w:top w:val="none" w:sz="0" w:space="0" w:color="auto"/>
        <w:left w:val="none" w:sz="0" w:space="0" w:color="auto"/>
        <w:bottom w:val="none" w:sz="0" w:space="0" w:color="auto"/>
        <w:right w:val="none" w:sz="0" w:space="0" w:color="auto"/>
      </w:divBdr>
    </w:div>
    <w:div w:id="413018537">
      <w:bodyDiv w:val="1"/>
      <w:marLeft w:val="0"/>
      <w:marRight w:val="0"/>
      <w:marTop w:val="0"/>
      <w:marBottom w:val="0"/>
      <w:divBdr>
        <w:top w:val="none" w:sz="0" w:space="0" w:color="auto"/>
        <w:left w:val="none" w:sz="0" w:space="0" w:color="auto"/>
        <w:bottom w:val="none" w:sz="0" w:space="0" w:color="auto"/>
        <w:right w:val="none" w:sz="0" w:space="0" w:color="auto"/>
      </w:divBdr>
    </w:div>
    <w:div w:id="669479378">
      <w:bodyDiv w:val="1"/>
      <w:marLeft w:val="0"/>
      <w:marRight w:val="0"/>
      <w:marTop w:val="0"/>
      <w:marBottom w:val="0"/>
      <w:divBdr>
        <w:top w:val="none" w:sz="0" w:space="0" w:color="auto"/>
        <w:left w:val="none" w:sz="0" w:space="0" w:color="auto"/>
        <w:bottom w:val="none" w:sz="0" w:space="0" w:color="auto"/>
        <w:right w:val="none" w:sz="0" w:space="0" w:color="auto"/>
      </w:divBdr>
    </w:div>
    <w:div w:id="836845228">
      <w:bodyDiv w:val="1"/>
      <w:marLeft w:val="0"/>
      <w:marRight w:val="0"/>
      <w:marTop w:val="0"/>
      <w:marBottom w:val="0"/>
      <w:divBdr>
        <w:top w:val="none" w:sz="0" w:space="0" w:color="auto"/>
        <w:left w:val="none" w:sz="0" w:space="0" w:color="auto"/>
        <w:bottom w:val="none" w:sz="0" w:space="0" w:color="auto"/>
        <w:right w:val="none" w:sz="0" w:space="0" w:color="auto"/>
      </w:divBdr>
    </w:div>
    <w:div w:id="85997730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6260617">
      <w:bodyDiv w:val="1"/>
      <w:marLeft w:val="0"/>
      <w:marRight w:val="0"/>
      <w:marTop w:val="0"/>
      <w:marBottom w:val="0"/>
      <w:divBdr>
        <w:top w:val="none" w:sz="0" w:space="0" w:color="auto"/>
        <w:left w:val="none" w:sz="0" w:space="0" w:color="auto"/>
        <w:bottom w:val="none" w:sz="0" w:space="0" w:color="auto"/>
        <w:right w:val="none" w:sz="0" w:space="0" w:color="auto"/>
      </w:divBdr>
    </w:div>
    <w:div w:id="1320380728">
      <w:bodyDiv w:val="1"/>
      <w:marLeft w:val="0"/>
      <w:marRight w:val="0"/>
      <w:marTop w:val="0"/>
      <w:marBottom w:val="0"/>
      <w:divBdr>
        <w:top w:val="none" w:sz="0" w:space="0" w:color="auto"/>
        <w:left w:val="none" w:sz="0" w:space="0" w:color="auto"/>
        <w:bottom w:val="none" w:sz="0" w:space="0" w:color="auto"/>
        <w:right w:val="none" w:sz="0" w:space="0" w:color="auto"/>
      </w:divBdr>
    </w:div>
    <w:div w:id="1387531518">
      <w:bodyDiv w:val="1"/>
      <w:marLeft w:val="0"/>
      <w:marRight w:val="0"/>
      <w:marTop w:val="0"/>
      <w:marBottom w:val="0"/>
      <w:divBdr>
        <w:top w:val="none" w:sz="0" w:space="0" w:color="auto"/>
        <w:left w:val="none" w:sz="0" w:space="0" w:color="auto"/>
        <w:bottom w:val="none" w:sz="0" w:space="0" w:color="auto"/>
        <w:right w:val="none" w:sz="0" w:space="0" w:color="auto"/>
      </w:divBdr>
    </w:div>
    <w:div w:id="1390615415">
      <w:bodyDiv w:val="1"/>
      <w:marLeft w:val="0"/>
      <w:marRight w:val="0"/>
      <w:marTop w:val="0"/>
      <w:marBottom w:val="0"/>
      <w:divBdr>
        <w:top w:val="none" w:sz="0" w:space="0" w:color="auto"/>
        <w:left w:val="none" w:sz="0" w:space="0" w:color="auto"/>
        <w:bottom w:val="none" w:sz="0" w:space="0" w:color="auto"/>
        <w:right w:val="none" w:sz="0" w:space="0" w:color="auto"/>
      </w:divBdr>
      <w:divsChild>
        <w:div w:id="69739272">
          <w:marLeft w:val="0"/>
          <w:marRight w:val="0"/>
          <w:marTop w:val="0"/>
          <w:marBottom w:val="0"/>
          <w:divBdr>
            <w:top w:val="none" w:sz="0" w:space="0" w:color="auto"/>
            <w:left w:val="none" w:sz="0" w:space="0" w:color="auto"/>
            <w:bottom w:val="none" w:sz="0" w:space="0" w:color="auto"/>
            <w:right w:val="none" w:sz="0" w:space="0" w:color="auto"/>
          </w:divBdr>
          <w:divsChild>
            <w:div w:id="2135101858">
              <w:marLeft w:val="0"/>
              <w:marRight w:val="0"/>
              <w:marTop w:val="0"/>
              <w:marBottom w:val="0"/>
              <w:divBdr>
                <w:top w:val="none" w:sz="0" w:space="0" w:color="auto"/>
                <w:left w:val="none" w:sz="0" w:space="0" w:color="auto"/>
                <w:bottom w:val="none" w:sz="0" w:space="0" w:color="auto"/>
                <w:right w:val="none" w:sz="0" w:space="0" w:color="auto"/>
              </w:divBdr>
            </w:div>
          </w:divsChild>
        </w:div>
        <w:div w:id="391346828">
          <w:marLeft w:val="0"/>
          <w:marRight w:val="0"/>
          <w:marTop w:val="0"/>
          <w:marBottom w:val="0"/>
          <w:divBdr>
            <w:top w:val="none" w:sz="0" w:space="0" w:color="auto"/>
            <w:left w:val="none" w:sz="0" w:space="0" w:color="auto"/>
            <w:bottom w:val="none" w:sz="0" w:space="0" w:color="auto"/>
            <w:right w:val="none" w:sz="0" w:space="0" w:color="auto"/>
          </w:divBdr>
          <w:divsChild>
            <w:div w:id="1089734423">
              <w:marLeft w:val="0"/>
              <w:marRight w:val="0"/>
              <w:marTop w:val="0"/>
              <w:marBottom w:val="0"/>
              <w:divBdr>
                <w:top w:val="none" w:sz="0" w:space="0" w:color="auto"/>
                <w:left w:val="none" w:sz="0" w:space="0" w:color="auto"/>
                <w:bottom w:val="none" w:sz="0" w:space="0" w:color="auto"/>
                <w:right w:val="none" w:sz="0" w:space="0" w:color="auto"/>
              </w:divBdr>
            </w:div>
          </w:divsChild>
        </w:div>
        <w:div w:id="475923512">
          <w:marLeft w:val="0"/>
          <w:marRight w:val="0"/>
          <w:marTop w:val="0"/>
          <w:marBottom w:val="0"/>
          <w:divBdr>
            <w:top w:val="none" w:sz="0" w:space="0" w:color="auto"/>
            <w:left w:val="none" w:sz="0" w:space="0" w:color="auto"/>
            <w:bottom w:val="none" w:sz="0" w:space="0" w:color="auto"/>
            <w:right w:val="none" w:sz="0" w:space="0" w:color="auto"/>
          </w:divBdr>
          <w:divsChild>
            <w:div w:id="1569656126">
              <w:marLeft w:val="0"/>
              <w:marRight w:val="0"/>
              <w:marTop w:val="0"/>
              <w:marBottom w:val="0"/>
              <w:divBdr>
                <w:top w:val="none" w:sz="0" w:space="0" w:color="auto"/>
                <w:left w:val="none" w:sz="0" w:space="0" w:color="auto"/>
                <w:bottom w:val="none" w:sz="0" w:space="0" w:color="auto"/>
                <w:right w:val="none" w:sz="0" w:space="0" w:color="auto"/>
              </w:divBdr>
            </w:div>
          </w:divsChild>
        </w:div>
        <w:div w:id="483662001">
          <w:marLeft w:val="0"/>
          <w:marRight w:val="0"/>
          <w:marTop w:val="0"/>
          <w:marBottom w:val="0"/>
          <w:divBdr>
            <w:top w:val="none" w:sz="0" w:space="0" w:color="auto"/>
            <w:left w:val="none" w:sz="0" w:space="0" w:color="auto"/>
            <w:bottom w:val="none" w:sz="0" w:space="0" w:color="auto"/>
            <w:right w:val="none" w:sz="0" w:space="0" w:color="auto"/>
          </w:divBdr>
          <w:divsChild>
            <w:div w:id="1905097574">
              <w:marLeft w:val="0"/>
              <w:marRight w:val="0"/>
              <w:marTop w:val="0"/>
              <w:marBottom w:val="0"/>
              <w:divBdr>
                <w:top w:val="none" w:sz="0" w:space="0" w:color="auto"/>
                <w:left w:val="none" w:sz="0" w:space="0" w:color="auto"/>
                <w:bottom w:val="none" w:sz="0" w:space="0" w:color="auto"/>
                <w:right w:val="none" w:sz="0" w:space="0" w:color="auto"/>
              </w:divBdr>
            </w:div>
          </w:divsChild>
        </w:div>
        <w:div w:id="536165248">
          <w:marLeft w:val="0"/>
          <w:marRight w:val="0"/>
          <w:marTop w:val="0"/>
          <w:marBottom w:val="0"/>
          <w:divBdr>
            <w:top w:val="none" w:sz="0" w:space="0" w:color="auto"/>
            <w:left w:val="none" w:sz="0" w:space="0" w:color="auto"/>
            <w:bottom w:val="none" w:sz="0" w:space="0" w:color="auto"/>
            <w:right w:val="none" w:sz="0" w:space="0" w:color="auto"/>
          </w:divBdr>
          <w:divsChild>
            <w:div w:id="1828206853">
              <w:marLeft w:val="0"/>
              <w:marRight w:val="0"/>
              <w:marTop w:val="0"/>
              <w:marBottom w:val="0"/>
              <w:divBdr>
                <w:top w:val="none" w:sz="0" w:space="0" w:color="auto"/>
                <w:left w:val="none" w:sz="0" w:space="0" w:color="auto"/>
                <w:bottom w:val="none" w:sz="0" w:space="0" w:color="auto"/>
                <w:right w:val="none" w:sz="0" w:space="0" w:color="auto"/>
              </w:divBdr>
            </w:div>
          </w:divsChild>
        </w:div>
        <w:div w:id="614757217">
          <w:marLeft w:val="0"/>
          <w:marRight w:val="0"/>
          <w:marTop w:val="0"/>
          <w:marBottom w:val="0"/>
          <w:divBdr>
            <w:top w:val="none" w:sz="0" w:space="0" w:color="auto"/>
            <w:left w:val="none" w:sz="0" w:space="0" w:color="auto"/>
            <w:bottom w:val="none" w:sz="0" w:space="0" w:color="auto"/>
            <w:right w:val="none" w:sz="0" w:space="0" w:color="auto"/>
          </w:divBdr>
          <w:divsChild>
            <w:div w:id="754787094">
              <w:marLeft w:val="0"/>
              <w:marRight w:val="0"/>
              <w:marTop w:val="0"/>
              <w:marBottom w:val="0"/>
              <w:divBdr>
                <w:top w:val="none" w:sz="0" w:space="0" w:color="auto"/>
                <w:left w:val="none" w:sz="0" w:space="0" w:color="auto"/>
                <w:bottom w:val="none" w:sz="0" w:space="0" w:color="auto"/>
                <w:right w:val="none" w:sz="0" w:space="0" w:color="auto"/>
              </w:divBdr>
            </w:div>
          </w:divsChild>
        </w:div>
        <w:div w:id="856231415">
          <w:marLeft w:val="0"/>
          <w:marRight w:val="0"/>
          <w:marTop w:val="0"/>
          <w:marBottom w:val="0"/>
          <w:divBdr>
            <w:top w:val="none" w:sz="0" w:space="0" w:color="auto"/>
            <w:left w:val="none" w:sz="0" w:space="0" w:color="auto"/>
            <w:bottom w:val="none" w:sz="0" w:space="0" w:color="auto"/>
            <w:right w:val="none" w:sz="0" w:space="0" w:color="auto"/>
          </w:divBdr>
          <w:divsChild>
            <w:div w:id="1400594647">
              <w:marLeft w:val="0"/>
              <w:marRight w:val="0"/>
              <w:marTop w:val="0"/>
              <w:marBottom w:val="0"/>
              <w:divBdr>
                <w:top w:val="none" w:sz="0" w:space="0" w:color="auto"/>
                <w:left w:val="none" w:sz="0" w:space="0" w:color="auto"/>
                <w:bottom w:val="none" w:sz="0" w:space="0" w:color="auto"/>
                <w:right w:val="none" w:sz="0" w:space="0" w:color="auto"/>
              </w:divBdr>
            </w:div>
          </w:divsChild>
        </w:div>
        <w:div w:id="949512509">
          <w:marLeft w:val="0"/>
          <w:marRight w:val="0"/>
          <w:marTop w:val="0"/>
          <w:marBottom w:val="0"/>
          <w:divBdr>
            <w:top w:val="none" w:sz="0" w:space="0" w:color="auto"/>
            <w:left w:val="none" w:sz="0" w:space="0" w:color="auto"/>
            <w:bottom w:val="none" w:sz="0" w:space="0" w:color="auto"/>
            <w:right w:val="none" w:sz="0" w:space="0" w:color="auto"/>
          </w:divBdr>
          <w:divsChild>
            <w:div w:id="209997531">
              <w:marLeft w:val="0"/>
              <w:marRight w:val="0"/>
              <w:marTop w:val="0"/>
              <w:marBottom w:val="0"/>
              <w:divBdr>
                <w:top w:val="none" w:sz="0" w:space="0" w:color="auto"/>
                <w:left w:val="none" w:sz="0" w:space="0" w:color="auto"/>
                <w:bottom w:val="none" w:sz="0" w:space="0" w:color="auto"/>
                <w:right w:val="none" w:sz="0" w:space="0" w:color="auto"/>
              </w:divBdr>
            </w:div>
          </w:divsChild>
        </w:div>
        <w:div w:id="1048728095">
          <w:marLeft w:val="0"/>
          <w:marRight w:val="0"/>
          <w:marTop w:val="0"/>
          <w:marBottom w:val="0"/>
          <w:divBdr>
            <w:top w:val="none" w:sz="0" w:space="0" w:color="auto"/>
            <w:left w:val="none" w:sz="0" w:space="0" w:color="auto"/>
            <w:bottom w:val="none" w:sz="0" w:space="0" w:color="auto"/>
            <w:right w:val="none" w:sz="0" w:space="0" w:color="auto"/>
          </w:divBdr>
          <w:divsChild>
            <w:div w:id="1926718829">
              <w:marLeft w:val="0"/>
              <w:marRight w:val="0"/>
              <w:marTop w:val="0"/>
              <w:marBottom w:val="0"/>
              <w:divBdr>
                <w:top w:val="none" w:sz="0" w:space="0" w:color="auto"/>
                <w:left w:val="none" w:sz="0" w:space="0" w:color="auto"/>
                <w:bottom w:val="none" w:sz="0" w:space="0" w:color="auto"/>
                <w:right w:val="none" w:sz="0" w:space="0" w:color="auto"/>
              </w:divBdr>
            </w:div>
          </w:divsChild>
        </w:div>
        <w:div w:id="1085614012">
          <w:marLeft w:val="0"/>
          <w:marRight w:val="0"/>
          <w:marTop w:val="0"/>
          <w:marBottom w:val="0"/>
          <w:divBdr>
            <w:top w:val="none" w:sz="0" w:space="0" w:color="auto"/>
            <w:left w:val="none" w:sz="0" w:space="0" w:color="auto"/>
            <w:bottom w:val="none" w:sz="0" w:space="0" w:color="auto"/>
            <w:right w:val="none" w:sz="0" w:space="0" w:color="auto"/>
          </w:divBdr>
          <w:divsChild>
            <w:div w:id="1562519656">
              <w:marLeft w:val="0"/>
              <w:marRight w:val="0"/>
              <w:marTop w:val="0"/>
              <w:marBottom w:val="0"/>
              <w:divBdr>
                <w:top w:val="none" w:sz="0" w:space="0" w:color="auto"/>
                <w:left w:val="none" w:sz="0" w:space="0" w:color="auto"/>
                <w:bottom w:val="none" w:sz="0" w:space="0" w:color="auto"/>
                <w:right w:val="none" w:sz="0" w:space="0" w:color="auto"/>
              </w:divBdr>
            </w:div>
          </w:divsChild>
        </w:div>
        <w:div w:id="1181892809">
          <w:marLeft w:val="0"/>
          <w:marRight w:val="0"/>
          <w:marTop w:val="0"/>
          <w:marBottom w:val="0"/>
          <w:divBdr>
            <w:top w:val="none" w:sz="0" w:space="0" w:color="auto"/>
            <w:left w:val="none" w:sz="0" w:space="0" w:color="auto"/>
            <w:bottom w:val="none" w:sz="0" w:space="0" w:color="auto"/>
            <w:right w:val="none" w:sz="0" w:space="0" w:color="auto"/>
          </w:divBdr>
          <w:divsChild>
            <w:div w:id="2095397914">
              <w:marLeft w:val="0"/>
              <w:marRight w:val="0"/>
              <w:marTop w:val="0"/>
              <w:marBottom w:val="0"/>
              <w:divBdr>
                <w:top w:val="none" w:sz="0" w:space="0" w:color="auto"/>
                <w:left w:val="none" w:sz="0" w:space="0" w:color="auto"/>
                <w:bottom w:val="none" w:sz="0" w:space="0" w:color="auto"/>
                <w:right w:val="none" w:sz="0" w:space="0" w:color="auto"/>
              </w:divBdr>
            </w:div>
          </w:divsChild>
        </w:div>
        <w:div w:id="1303080124">
          <w:marLeft w:val="0"/>
          <w:marRight w:val="0"/>
          <w:marTop w:val="0"/>
          <w:marBottom w:val="0"/>
          <w:divBdr>
            <w:top w:val="none" w:sz="0" w:space="0" w:color="auto"/>
            <w:left w:val="none" w:sz="0" w:space="0" w:color="auto"/>
            <w:bottom w:val="none" w:sz="0" w:space="0" w:color="auto"/>
            <w:right w:val="none" w:sz="0" w:space="0" w:color="auto"/>
          </w:divBdr>
          <w:divsChild>
            <w:div w:id="1856916507">
              <w:marLeft w:val="0"/>
              <w:marRight w:val="0"/>
              <w:marTop w:val="0"/>
              <w:marBottom w:val="0"/>
              <w:divBdr>
                <w:top w:val="none" w:sz="0" w:space="0" w:color="auto"/>
                <w:left w:val="none" w:sz="0" w:space="0" w:color="auto"/>
                <w:bottom w:val="none" w:sz="0" w:space="0" w:color="auto"/>
                <w:right w:val="none" w:sz="0" w:space="0" w:color="auto"/>
              </w:divBdr>
            </w:div>
          </w:divsChild>
        </w:div>
        <w:div w:id="1311905956">
          <w:marLeft w:val="0"/>
          <w:marRight w:val="0"/>
          <w:marTop w:val="0"/>
          <w:marBottom w:val="0"/>
          <w:divBdr>
            <w:top w:val="none" w:sz="0" w:space="0" w:color="auto"/>
            <w:left w:val="none" w:sz="0" w:space="0" w:color="auto"/>
            <w:bottom w:val="none" w:sz="0" w:space="0" w:color="auto"/>
            <w:right w:val="none" w:sz="0" w:space="0" w:color="auto"/>
          </w:divBdr>
          <w:divsChild>
            <w:div w:id="196818242">
              <w:marLeft w:val="0"/>
              <w:marRight w:val="0"/>
              <w:marTop w:val="0"/>
              <w:marBottom w:val="0"/>
              <w:divBdr>
                <w:top w:val="none" w:sz="0" w:space="0" w:color="auto"/>
                <w:left w:val="none" w:sz="0" w:space="0" w:color="auto"/>
                <w:bottom w:val="none" w:sz="0" w:space="0" w:color="auto"/>
                <w:right w:val="none" w:sz="0" w:space="0" w:color="auto"/>
              </w:divBdr>
            </w:div>
          </w:divsChild>
        </w:div>
        <w:div w:id="1368988606">
          <w:marLeft w:val="0"/>
          <w:marRight w:val="0"/>
          <w:marTop w:val="0"/>
          <w:marBottom w:val="0"/>
          <w:divBdr>
            <w:top w:val="none" w:sz="0" w:space="0" w:color="auto"/>
            <w:left w:val="none" w:sz="0" w:space="0" w:color="auto"/>
            <w:bottom w:val="none" w:sz="0" w:space="0" w:color="auto"/>
            <w:right w:val="none" w:sz="0" w:space="0" w:color="auto"/>
          </w:divBdr>
          <w:divsChild>
            <w:div w:id="1145733111">
              <w:marLeft w:val="0"/>
              <w:marRight w:val="0"/>
              <w:marTop w:val="0"/>
              <w:marBottom w:val="0"/>
              <w:divBdr>
                <w:top w:val="none" w:sz="0" w:space="0" w:color="auto"/>
                <w:left w:val="none" w:sz="0" w:space="0" w:color="auto"/>
                <w:bottom w:val="none" w:sz="0" w:space="0" w:color="auto"/>
                <w:right w:val="none" w:sz="0" w:space="0" w:color="auto"/>
              </w:divBdr>
            </w:div>
          </w:divsChild>
        </w:div>
        <w:div w:id="1417022486">
          <w:marLeft w:val="0"/>
          <w:marRight w:val="0"/>
          <w:marTop w:val="0"/>
          <w:marBottom w:val="0"/>
          <w:divBdr>
            <w:top w:val="none" w:sz="0" w:space="0" w:color="auto"/>
            <w:left w:val="none" w:sz="0" w:space="0" w:color="auto"/>
            <w:bottom w:val="none" w:sz="0" w:space="0" w:color="auto"/>
            <w:right w:val="none" w:sz="0" w:space="0" w:color="auto"/>
          </w:divBdr>
          <w:divsChild>
            <w:div w:id="779184348">
              <w:marLeft w:val="0"/>
              <w:marRight w:val="0"/>
              <w:marTop w:val="0"/>
              <w:marBottom w:val="0"/>
              <w:divBdr>
                <w:top w:val="none" w:sz="0" w:space="0" w:color="auto"/>
                <w:left w:val="none" w:sz="0" w:space="0" w:color="auto"/>
                <w:bottom w:val="none" w:sz="0" w:space="0" w:color="auto"/>
                <w:right w:val="none" w:sz="0" w:space="0" w:color="auto"/>
              </w:divBdr>
            </w:div>
          </w:divsChild>
        </w:div>
        <w:div w:id="1468274976">
          <w:marLeft w:val="0"/>
          <w:marRight w:val="0"/>
          <w:marTop w:val="0"/>
          <w:marBottom w:val="0"/>
          <w:divBdr>
            <w:top w:val="none" w:sz="0" w:space="0" w:color="auto"/>
            <w:left w:val="none" w:sz="0" w:space="0" w:color="auto"/>
            <w:bottom w:val="none" w:sz="0" w:space="0" w:color="auto"/>
            <w:right w:val="none" w:sz="0" w:space="0" w:color="auto"/>
          </w:divBdr>
          <w:divsChild>
            <w:div w:id="2015647585">
              <w:marLeft w:val="0"/>
              <w:marRight w:val="0"/>
              <w:marTop w:val="0"/>
              <w:marBottom w:val="0"/>
              <w:divBdr>
                <w:top w:val="none" w:sz="0" w:space="0" w:color="auto"/>
                <w:left w:val="none" w:sz="0" w:space="0" w:color="auto"/>
                <w:bottom w:val="none" w:sz="0" w:space="0" w:color="auto"/>
                <w:right w:val="none" w:sz="0" w:space="0" w:color="auto"/>
              </w:divBdr>
            </w:div>
          </w:divsChild>
        </w:div>
        <w:div w:id="1642346011">
          <w:marLeft w:val="0"/>
          <w:marRight w:val="0"/>
          <w:marTop w:val="0"/>
          <w:marBottom w:val="0"/>
          <w:divBdr>
            <w:top w:val="none" w:sz="0" w:space="0" w:color="auto"/>
            <w:left w:val="none" w:sz="0" w:space="0" w:color="auto"/>
            <w:bottom w:val="none" w:sz="0" w:space="0" w:color="auto"/>
            <w:right w:val="none" w:sz="0" w:space="0" w:color="auto"/>
          </w:divBdr>
          <w:divsChild>
            <w:div w:id="2141141405">
              <w:marLeft w:val="0"/>
              <w:marRight w:val="0"/>
              <w:marTop w:val="0"/>
              <w:marBottom w:val="0"/>
              <w:divBdr>
                <w:top w:val="none" w:sz="0" w:space="0" w:color="auto"/>
                <w:left w:val="none" w:sz="0" w:space="0" w:color="auto"/>
                <w:bottom w:val="none" w:sz="0" w:space="0" w:color="auto"/>
                <w:right w:val="none" w:sz="0" w:space="0" w:color="auto"/>
              </w:divBdr>
            </w:div>
          </w:divsChild>
        </w:div>
        <w:div w:id="1656714485">
          <w:marLeft w:val="0"/>
          <w:marRight w:val="0"/>
          <w:marTop w:val="0"/>
          <w:marBottom w:val="0"/>
          <w:divBdr>
            <w:top w:val="none" w:sz="0" w:space="0" w:color="auto"/>
            <w:left w:val="none" w:sz="0" w:space="0" w:color="auto"/>
            <w:bottom w:val="none" w:sz="0" w:space="0" w:color="auto"/>
            <w:right w:val="none" w:sz="0" w:space="0" w:color="auto"/>
          </w:divBdr>
          <w:divsChild>
            <w:div w:id="793327576">
              <w:marLeft w:val="0"/>
              <w:marRight w:val="0"/>
              <w:marTop w:val="0"/>
              <w:marBottom w:val="0"/>
              <w:divBdr>
                <w:top w:val="none" w:sz="0" w:space="0" w:color="auto"/>
                <w:left w:val="none" w:sz="0" w:space="0" w:color="auto"/>
                <w:bottom w:val="none" w:sz="0" w:space="0" w:color="auto"/>
                <w:right w:val="none" w:sz="0" w:space="0" w:color="auto"/>
              </w:divBdr>
            </w:div>
          </w:divsChild>
        </w:div>
        <w:div w:id="1698311261">
          <w:marLeft w:val="0"/>
          <w:marRight w:val="0"/>
          <w:marTop w:val="0"/>
          <w:marBottom w:val="0"/>
          <w:divBdr>
            <w:top w:val="none" w:sz="0" w:space="0" w:color="auto"/>
            <w:left w:val="none" w:sz="0" w:space="0" w:color="auto"/>
            <w:bottom w:val="none" w:sz="0" w:space="0" w:color="auto"/>
            <w:right w:val="none" w:sz="0" w:space="0" w:color="auto"/>
          </w:divBdr>
          <w:divsChild>
            <w:div w:id="1441292134">
              <w:marLeft w:val="0"/>
              <w:marRight w:val="0"/>
              <w:marTop w:val="0"/>
              <w:marBottom w:val="0"/>
              <w:divBdr>
                <w:top w:val="none" w:sz="0" w:space="0" w:color="auto"/>
                <w:left w:val="none" w:sz="0" w:space="0" w:color="auto"/>
                <w:bottom w:val="none" w:sz="0" w:space="0" w:color="auto"/>
                <w:right w:val="none" w:sz="0" w:space="0" w:color="auto"/>
              </w:divBdr>
            </w:div>
          </w:divsChild>
        </w:div>
        <w:div w:id="1780179262">
          <w:marLeft w:val="0"/>
          <w:marRight w:val="0"/>
          <w:marTop w:val="0"/>
          <w:marBottom w:val="0"/>
          <w:divBdr>
            <w:top w:val="none" w:sz="0" w:space="0" w:color="auto"/>
            <w:left w:val="none" w:sz="0" w:space="0" w:color="auto"/>
            <w:bottom w:val="none" w:sz="0" w:space="0" w:color="auto"/>
            <w:right w:val="none" w:sz="0" w:space="0" w:color="auto"/>
          </w:divBdr>
          <w:divsChild>
            <w:div w:id="1526560048">
              <w:marLeft w:val="0"/>
              <w:marRight w:val="0"/>
              <w:marTop w:val="0"/>
              <w:marBottom w:val="0"/>
              <w:divBdr>
                <w:top w:val="none" w:sz="0" w:space="0" w:color="auto"/>
                <w:left w:val="none" w:sz="0" w:space="0" w:color="auto"/>
                <w:bottom w:val="none" w:sz="0" w:space="0" w:color="auto"/>
                <w:right w:val="none" w:sz="0" w:space="0" w:color="auto"/>
              </w:divBdr>
            </w:div>
          </w:divsChild>
        </w:div>
        <w:div w:id="1890147484">
          <w:marLeft w:val="0"/>
          <w:marRight w:val="0"/>
          <w:marTop w:val="0"/>
          <w:marBottom w:val="0"/>
          <w:divBdr>
            <w:top w:val="none" w:sz="0" w:space="0" w:color="auto"/>
            <w:left w:val="none" w:sz="0" w:space="0" w:color="auto"/>
            <w:bottom w:val="none" w:sz="0" w:space="0" w:color="auto"/>
            <w:right w:val="none" w:sz="0" w:space="0" w:color="auto"/>
          </w:divBdr>
          <w:divsChild>
            <w:div w:id="237710115">
              <w:marLeft w:val="0"/>
              <w:marRight w:val="0"/>
              <w:marTop w:val="0"/>
              <w:marBottom w:val="0"/>
              <w:divBdr>
                <w:top w:val="none" w:sz="0" w:space="0" w:color="auto"/>
                <w:left w:val="none" w:sz="0" w:space="0" w:color="auto"/>
                <w:bottom w:val="none" w:sz="0" w:space="0" w:color="auto"/>
                <w:right w:val="none" w:sz="0" w:space="0" w:color="auto"/>
              </w:divBdr>
            </w:div>
          </w:divsChild>
        </w:div>
        <w:div w:id="2051295275">
          <w:marLeft w:val="0"/>
          <w:marRight w:val="0"/>
          <w:marTop w:val="0"/>
          <w:marBottom w:val="0"/>
          <w:divBdr>
            <w:top w:val="none" w:sz="0" w:space="0" w:color="auto"/>
            <w:left w:val="none" w:sz="0" w:space="0" w:color="auto"/>
            <w:bottom w:val="none" w:sz="0" w:space="0" w:color="auto"/>
            <w:right w:val="none" w:sz="0" w:space="0" w:color="auto"/>
          </w:divBdr>
          <w:divsChild>
            <w:div w:id="1773823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310280">
      <w:bodyDiv w:val="1"/>
      <w:marLeft w:val="0"/>
      <w:marRight w:val="0"/>
      <w:marTop w:val="0"/>
      <w:marBottom w:val="0"/>
      <w:divBdr>
        <w:top w:val="none" w:sz="0" w:space="0" w:color="auto"/>
        <w:left w:val="none" w:sz="0" w:space="0" w:color="auto"/>
        <w:bottom w:val="none" w:sz="0" w:space="0" w:color="auto"/>
        <w:right w:val="none" w:sz="0" w:space="0" w:color="auto"/>
      </w:divBdr>
    </w:div>
    <w:div w:id="1504202759">
      <w:bodyDiv w:val="1"/>
      <w:marLeft w:val="0"/>
      <w:marRight w:val="0"/>
      <w:marTop w:val="0"/>
      <w:marBottom w:val="0"/>
      <w:divBdr>
        <w:top w:val="none" w:sz="0" w:space="0" w:color="auto"/>
        <w:left w:val="none" w:sz="0" w:space="0" w:color="auto"/>
        <w:bottom w:val="none" w:sz="0" w:space="0" w:color="auto"/>
        <w:right w:val="none" w:sz="0" w:space="0" w:color="auto"/>
      </w:divBdr>
      <w:divsChild>
        <w:div w:id="91167505">
          <w:marLeft w:val="0"/>
          <w:marRight w:val="0"/>
          <w:marTop w:val="0"/>
          <w:marBottom w:val="0"/>
          <w:divBdr>
            <w:top w:val="none" w:sz="0" w:space="0" w:color="auto"/>
            <w:left w:val="none" w:sz="0" w:space="0" w:color="auto"/>
            <w:bottom w:val="none" w:sz="0" w:space="0" w:color="auto"/>
            <w:right w:val="none" w:sz="0" w:space="0" w:color="auto"/>
          </w:divBdr>
          <w:divsChild>
            <w:div w:id="848981410">
              <w:marLeft w:val="0"/>
              <w:marRight w:val="0"/>
              <w:marTop w:val="0"/>
              <w:marBottom w:val="0"/>
              <w:divBdr>
                <w:top w:val="none" w:sz="0" w:space="0" w:color="auto"/>
                <w:left w:val="none" w:sz="0" w:space="0" w:color="auto"/>
                <w:bottom w:val="none" w:sz="0" w:space="0" w:color="auto"/>
                <w:right w:val="none" w:sz="0" w:space="0" w:color="auto"/>
              </w:divBdr>
            </w:div>
          </w:divsChild>
        </w:div>
        <w:div w:id="159855422">
          <w:marLeft w:val="0"/>
          <w:marRight w:val="0"/>
          <w:marTop w:val="0"/>
          <w:marBottom w:val="0"/>
          <w:divBdr>
            <w:top w:val="none" w:sz="0" w:space="0" w:color="auto"/>
            <w:left w:val="none" w:sz="0" w:space="0" w:color="auto"/>
            <w:bottom w:val="none" w:sz="0" w:space="0" w:color="auto"/>
            <w:right w:val="none" w:sz="0" w:space="0" w:color="auto"/>
          </w:divBdr>
          <w:divsChild>
            <w:div w:id="994332975">
              <w:marLeft w:val="0"/>
              <w:marRight w:val="0"/>
              <w:marTop w:val="0"/>
              <w:marBottom w:val="0"/>
              <w:divBdr>
                <w:top w:val="none" w:sz="0" w:space="0" w:color="auto"/>
                <w:left w:val="none" w:sz="0" w:space="0" w:color="auto"/>
                <w:bottom w:val="none" w:sz="0" w:space="0" w:color="auto"/>
                <w:right w:val="none" w:sz="0" w:space="0" w:color="auto"/>
              </w:divBdr>
            </w:div>
          </w:divsChild>
        </w:div>
        <w:div w:id="167454023">
          <w:marLeft w:val="0"/>
          <w:marRight w:val="0"/>
          <w:marTop w:val="0"/>
          <w:marBottom w:val="0"/>
          <w:divBdr>
            <w:top w:val="none" w:sz="0" w:space="0" w:color="auto"/>
            <w:left w:val="none" w:sz="0" w:space="0" w:color="auto"/>
            <w:bottom w:val="none" w:sz="0" w:space="0" w:color="auto"/>
            <w:right w:val="none" w:sz="0" w:space="0" w:color="auto"/>
          </w:divBdr>
          <w:divsChild>
            <w:div w:id="1124956846">
              <w:marLeft w:val="0"/>
              <w:marRight w:val="0"/>
              <w:marTop w:val="0"/>
              <w:marBottom w:val="0"/>
              <w:divBdr>
                <w:top w:val="none" w:sz="0" w:space="0" w:color="auto"/>
                <w:left w:val="none" w:sz="0" w:space="0" w:color="auto"/>
                <w:bottom w:val="none" w:sz="0" w:space="0" w:color="auto"/>
                <w:right w:val="none" w:sz="0" w:space="0" w:color="auto"/>
              </w:divBdr>
            </w:div>
          </w:divsChild>
        </w:div>
        <w:div w:id="320083133">
          <w:marLeft w:val="0"/>
          <w:marRight w:val="0"/>
          <w:marTop w:val="0"/>
          <w:marBottom w:val="0"/>
          <w:divBdr>
            <w:top w:val="none" w:sz="0" w:space="0" w:color="auto"/>
            <w:left w:val="none" w:sz="0" w:space="0" w:color="auto"/>
            <w:bottom w:val="none" w:sz="0" w:space="0" w:color="auto"/>
            <w:right w:val="none" w:sz="0" w:space="0" w:color="auto"/>
          </w:divBdr>
          <w:divsChild>
            <w:div w:id="869993513">
              <w:marLeft w:val="0"/>
              <w:marRight w:val="0"/>
              <w:marTop w:val="0"/>
              <w:marBottom w:val="0"/>
              <w:divBdr>
                <w:top w:val="none" w:sz="0" w:space="0" w:color="auto"/>
                <w:left w:val="none" w:sz="0" w:space="0" w:color="auto"/>
                <w:bottom w:val="none" w:sz="0" w:space="0" w:color="auto"/>
                <w:right w:val="none" w:sz="0" w:space="0" w:color="auto"/>
              </w:divBdr>
            </w:div>
          </w:divsChild>
        </w:div>
        <w:div w:id="520559117">
          <w:marLeft w:val="0"/>
          <w:marRight w:val="0"/>
          <w:marTop w:val="0"/>
          <w:marBottom w:val="0"/>
          <w:divBdr>
            <w:top w:val="none" w:sz="0" w:space="0" w:color="auto"/>
            <w:left w:val="none" w:sz="0" w:space="0" w:color="auto"/>
            <w:bottom w:val="none" w:sz="0" w:space="0" w:color="auto"/>
            <w:right w:val="none" w:sz="0" w:space="0" w:color="auto"/>
          </w:divBdr>
          <w:divsChild>
            <w:div w:id="776951985">
              <w:marLeft w:val="0"/>
              <w:marRight w:val="0"/>
              <w:marTop w:val="0"/>
              <w:marBottom w:val="0"/>
              <w:divBdr>
                <w:top w:val="none" w:sz="0" w:space="0" w:color="auto"/>
                <w:left w:val="none" w:sz="0" w:space="0" w:color="auto"/>
                <w:bottom w:val="none" w:sz="0" w:space="0" w:color="auto"/>
                <w:right w:val="none" w:sz="0" w:space="0" w:color="auto"/>
              </w:divBdr>
            </w:div>
          </w:divsChild>
        </w:div>
        <w:div w:id="563295044">
          <w:marLeft w:val="0"/>
          <w:marRight w:val="0"/>
          <w:marTop w:val="0"/>
          <w:marBottom w:val="0"/>
          <w:divBdr>
            <w:top w:val="none" w:sz="0" w:space="0" w:color="auto"/>
            <w:left w:val="none" w:sz="0" w:space="0" w:color="auto"/>
            <w:bottom w:val="none" w:sz="0" w:space="0" w:color="auto"/>
            <w:right w:val="none" w:sz="0" w:space="0" w:color="auto"/>
          </w:divBdr>
          <w:divsChild>
            <w:div w:id="541793349">
              <w:marLeft w:val="0"/>
              <w:marRight w:val="0"/>
              <w:marTop w:val="0"/>
              <w:marBottom w:val="0"/>
              <w:divBdr>
                <w:top w:val="none" w:sz="0" w:space="0" w:color="auto"/>
                <w:left w:val="none" w:sz="0" w:space="0" w:color="auto"/>
                <w:bottom w:val="none" w:sz="0" w:space="0" w:color="auto"/>
                <w:right w:val="none" w:sz="0" w:space="0" w:color="auto"/>
              </w:divBdr>
            </w:div>
          </w:divsChild>
        </w:div>
        <w:div w:id="633368096">
          <w:marLeft w:val="0"/>
          <w:marRight w:val="0"/>
          <w:marTop w:val="0"/>
          <w:marBottom w:val="0"/>
          <w:divBdr>
            <w:top w:val="none" w:sz="0" w:space="0" w:color="auto"/>
            <w:left w:val="none" w:sz="0" w:space="0" w:color="auto"/>
            <w:bottom w:val="none" w:sz="0" w:space="0" w:color="auto"/>
            <w:right w:val="none" w:sz="0" w:space="0" w:color="auto"/>
          </w:divBdr>
          <w:divsChild>
            <w:div w:id="1256937819">
              <w:marLeft w:val="0"/>
              <w:marRight w:val="0"/>
              <w:marTop w:val="0"/>
              <w:marBottom w:val="0"/>
              <w:divBdr>
                <w:top w:val="none" w:sz="0" w:space="0" w:color="auto"/>
                <w:left w:val="none" w:sz="0" w:space="0" w:color="auto"/>
                <w:bottom w:val="none" w:sz="0" w:space="0" w:color="auto"/>
                <w:right w:val="none" w:sz="0" w:space="0" w:color="auto"/>
              </w:divBdr>
            </w:div>
          </w:divsChild>
        </w:div>
        <w:div w:id="665547889">
          <w:marLeft w:val="0"/>
          <w:marRight w:val="0"/>
          <w:marTop w:val="0"/>
          <w:marBottom w:val="0"/>
          <w:divBdr>
            <w:top w:val="none" w:sz="0" w:space="0" w:color="auto"/>
            <w:left w:val="none" w:sz="0" w:space="0" w:color="auto"/>
            <w:bottom w:val="none" w:sz="0" w:space="0" w:color="auto"/>
            <w:right w:val="none" w:sz="0" w:space="0" w:color="auto"/>
          </w:divBdr>
          <w:divsChild>
            <w:div w:id="1471171951">
              <w:marLeft w:val="0"/>
              <w:marRight w:val="0"/>
              <w:marTop w:val="0"/>
              <w:marBottom w:val="0"/>
              <w:divBdr>
                <w:top w:val="none" w:sz="0" w:space="0" w:color="auto"/>
                <w:left w:val="none" w:sz="0" w:space="0" w:color="auto"/>
                <w:bottom w:val="none" w:sz="0" w:space="0" w:color="auto"/>
                <w:right w:val="none" w:sz="0" w:space="0" w:color="auto"/>
              </w:divBdr>
            </w:div>
          </w:divsChild>
        </w:div>
        <w:div w:id="706367923">
          <w:marLeft w:val="0"/>
          <w:marRight w:val="0"/>
          <w:marTop w:val="0"/>
          <w:marBottom w:val="0"/>
          <w:divBdr>
            <w:top w:val="none" w:sz="0" w:space="0" w:color="auto"/>
            <w:left w:val="none" w:sz="0" w:space="0" w:color="auto"/>
            <w:bottom w:val="none" w:sz="0" w:space="0" w:color="auto"/>
            <w:right w:val="none" w:sz="0" w:space="0" w:color="auto"/>
          </w:divBdr>
          <w:divsChild>
            <w:div w:id="2046364367">
              <w:marLeft w:val="0"/>
              <w:marRight w:val="0"/>
              <w:marTop w:val="0"/>
              <w:marBottom w:val="0"/>
              <w:divBdr>
                <w:top w:val="none" w:sz="0" w:space="0" w:color="auto"/>
                <w:left w:val="none" w:sz="0" w:space="0" w:color="auto"/>
                <w:bottom w:val="none" w:sz="0" w:space="0" w:color="auto"/>
                <w:right w:val="none" w:sz="0" w:space="0" w:color="auto"/>
              </w:divBdr>
            </w:div>
          </w:divsChild>
        </w:div>
        <w:div w:id="1037435684">
          <w:marLeft w:val="0"/>
          <w:marRight w:val="0"/>
          <w:marTop w:val="0"/>
          <w:marBottom w:val="0"/>
          <w:divBdr>
            <w:top w:val="none" w:sz="0" w:space="0" w:color="auto"/>
            <w:left w:val="none" w:sz="0" w:space="0" w:color="auto"/>
            <w:bottom w:val="none" w:sz="0" w:space="0" w:color="auto"/>
            <w:right w:val="none" w:sz="0" w:space="0" w:color="auto"/>
          </w:divBdr>
          <w:divsChild>
            <w:div w:id="1932155865">
              <w:marLeft w:val="0"/>
              <w:marRight w:val="0"/>
              <w:marTop w:val="0"/>
              <w:marBottom w:val="0"/>
              <w:divBdr>
                <w:top w:val="none" w:sz="0" w:space="0" w:color="auto"/>
                <w:left w:val="none" w:sz="0" w:space="0" w:color="auto"/>
                <w:bottom w:val="none" w:sz="0" w:space="0" w:color="auto"/>
                <w:right w:val="none" w:sz="0" w:space="0" w:color="auto"/>
              </w:divBdr>
            </w:div>
          </w:divsChild>
        </w:div>
        <w:div w:id="1297947614">
          <w:marLeft w:val="0"/>
          <w:marRight w:val="0"/>
          <w:marTop w:val="0"/>
          <w:marBottom w:val="0"/>
          <w:divBdr>
            <w:top w:val="none" w:sz="0" w:space="0" w:color="auto"/>
            <w:left w:val="none" w:sz="0" w:space="0" w:color="auto"/>
            <w:bottom w:val="none" w:sz="0" w:space="0" w:color="auto"/>
            <w:right w:val="none" w:sz="0" w:space="0" w:color="auto"/>
          </w:divBdr>
          <w:divsChild>
            <w:div w:id="1890417905">
              <w:marLeft w:val="0"/>
              <w:marRight w:val="0"/>
              <w:marTop w:val="0"/>
              <w:marBottom w:val="0"/>
              <w:divBdr>
                <w:top w:val="none" w:sz="0" w:space="0" w:color="auto"/>
                <w:left w:val="none" w:sz="0" w:space="0" w:color="auto"/>
                <w:bottom w:val="none" w:sz="0" w:space="0" w:color="auto"/>
                <w:right w:val="none" w:sz="0" w:space="0" w:color="auto"/>
              </w:divBdr>
            </w:div>
          </w:divsChild>
        </w:div>
        <w:div w:id="1519388734">
          <w:marLeft w:val="0"/>
          <w:marRight w:val="0"/>
          <w:marTop w:val="0"/>
          <w:marBottom w:val="0"/>
          <w:divBdr>
            <w:top w:val="none" w:sz="0" w:space="0" w:color="auto"/>
            <w:left w:val="none" w:sz="0" w:space="0" w:color="auto"/>
            <w:bottom w:val="none" w:sz="0" w:space="0" w:color="auto"/>
            <w:right w:val="none" w:sz="0" w:space="0" w:color="auto"/>
          </w:divBdr>
          <w:divsChild>
            <w:div w:id="1768112458">
              <w:marLeft w:val="0"/>
              <w:marRight w:val="0"/>
              <w:marTop w:val="0"/>
              <w:marBottom w:val="0"/>
              <w:divBdr>
                <w:top w:val="none" w:sz="0" w:space="0" w:color="auto"/>
                <w:left w:val="none" w:sz="0" w:space="0" w:color="auto"/>
                <w:bottom w:val="none" w:sz="0" w:space="0" w:color="auto"/>
                <w:right w:val="none" w:sz="0" w:space="0" w:color="auto"/>
              </w:divBdr>
            </w:div>
          </w:divsChild>
        </w:div>
        <w:div w:id="1572352727">
          <w:marLeft w:val="0"/>
          <w:marRight w:val="0"/>
          <w:marTop w:val="0"/>
          <w:marBottom w:val="0"/>
          <w:divBdr>
            <w:top w:val="none" w:sz="0" w:space="0" w:color="auto"/>
            <w:left w:val="none" w:sz="0" w:space="0" w:color="auto"/>
            <w:bottom w:val="none" w:sz="0" w:space="0" w:color="auto"/>
            <w:right w:val="none" w:sz="0" w:space="0" w:color="auto"/>
          </w:divBdr>
          <w:divsChild>
            <w:div w:id="203063087">
              <w:marLeft w:val="0"/>
              <w:marRight w:val="0"/>
              <w:marTop w:val="0"/>
              <w:marBottom w:val="0"/>
              <w:divBdr>
                <w:top w:val="none" w:sz="0" w:space="0" w:color="auto"/>
                <w:left w:val="none" w:sz="0" w:space="0" w:color="auto"/>
                <w:bottom w:val="none" w:sz="0" w:space="0" w:color="auto"/>
                <w:right w:val="none" w:sz="0" w:space="0" w:color="auto"/>
              </w:divBdr>
            </w:div>
          </w:divsChild>
        </w:div>
        <w:div w:id="1575160621">
          <w:marLeft w:val="0"/>
          <w:marRight w:val="0"/>
          <w:marTop w:val="0"/>
          <w:marBottom w:val="0"/>
          <w:divBdr>
            <w:top w:val="none" w:sz="0" w:space="0" w:color="auto"/>
            <w:left w:val="none" w:sz="0" w:space="0" w:color="auto"/>
            <w:bottom w:val="none" w:sz="0" w:space="0" w:color="auto"/>
            <w:right w:val="none" w:sz="0" w:space="0" w:color="auto"/>
          </w:divBdr>
          <w:divsChild>
            <w:div w:id="422992141">
              <w:marLeft w:val="0"/>
              <w:marRight w:val="0"/>
              <w:marTop w:val="0"/>
              <w:marBottom w:val="0"/>
              <w:divBdr>
                <w:top w:val="none" w:sz="0" w:space="0" w:color="auto"/>
                <w:left w:val="none" w:sz="0" w:space="0" w:color="auto"/>
                <w:bottom w:val="none" w:sz="0" w:space="0" w:color="auto"/>
                <w:right w:val="none" w:sz="0" w:space="0" w:color="auto"/>
              </w:divBdr>
            </w:div>
          </w:divsChild>
        </w:div>
        <w:div w:id="1600259315">
          <w:marLeft w:val="0"/>
          <w:marRight w:val="0"/>
          <w:marTop w:val="0"/>
          <w:marBottom w:val="0"/>
          <w:divBdr>
            <w:top w:val="none" w:sz="0" w:space="0" w:color="auto"/>
            <w:left w:val="none" w:sz="0" w:space="0" w:color="auto"/>
            <w:bottom w:val="none" w:sz="0" w:space="0" w:color="auto"/>
            <w:right w:val="none" w:sz="0" w:space="0" w:color="auto"/>
          </w:divBdr>
          <w:divsChild>
            <w:div w:id="350374903">
              <w:marLeft w:val="0"/>
              <w:marRight w:val="0"/>
              <w:marTop w:val="0"/>
              <w:marBottom w:val="0"/>
              <w:divBdr>
                <w:top w:val="none" w:sz="0" w:space="0" w:color="auto"/>
                <w:left w:val="none" w:sz="0" w:space="0" w:color="auto"/>
                <w:bottom w:val="none" w:sz="0" w:space="0" w:color="auto"/>
                <w:right w:val="none" w:sz="0" w:space="0" w:color="auto"/>
              </w:divBdr>
            </w:div>
          </w:divsChild>
        </w:div>
        <w:div w:id="1747266873">
          <w:marLeft w:val="0"/>
          <w:marRight w:val="0"/>
          <w:marTop w:val="0"/>
          <w:marBottom w:val="0"/>
          <w:divBdr>
            <w:top w:val="none" w:sz="0" w:space="0" w:color="auto"/>
            <w:left w:val="none" w:sz="0" w:space="0" w:color="auto"/>
            <w:bottom w:val="none" w:sz="0" w:space="0" w:color="auto"/>
            <w:right w:val="none" w:sz="0" w:space="0" w:color="auto"/>
          </w:divBdr>
          <w:divsChild>
            <w:div w:id="1108810863">
              <w:marLeft w:val="0"/>
              <w:marRight w:val="0"/>
              <w:marTop w:val="0"/>
              <w:marBottom w:val="0"/>
              <w:divBdr>
                <w:top w:val="none" w:sz="0" w:space="0" w:color="auto"/>
                <w:left w:val="none" w:sz="0" w:space="0" w:color="auto"/>
                <w:bottom w:val="none" w:sz="0" w:space="0" w:color="auto"/>
                <w:right w:val="none" w:sz="0" w:space="0" w:color="auto"/>
              </w:divBdr>
            </w:div>
          </w:divsChild>
        </w:div>
        <w:div w:id="1758093538">
          <w:marLeft w:val="0"/>
          <w:marRight w:val="0"/>
          <w:marTop w:val="0"/>
          <w:marBottom w:val="0"/>
          <w:divBdr>
            <w:top w:val="none" w:sz="0" w:space="0" w:color="auto"/>
            <w:left w:val="none" w:sz="0" w:space="0" w:color="auto"/>
            <w:bottom w:val="none" w:sz="0" w:space="0" w:color="auto"/>
            <w:right w:val="none" w:sz="0" w:space="0" w:color="auto"/>
          </w:divBdr>
          <w:divsChild>
            <w:div w:id="1692486637">
              <w:marLeft w:val="0"/>
              <w:marRight w:val="0"/>
              <w:marTop w:val="0"/>
              <w:marBottom w:val="0"/>
              <w:divBdr>
                <w:top w:val="none" w:sz="0" w:space="0" w:color="auto"/>
                <w:left w:val="none" w:sz="0" w:space="0" w:color="auto"/>
                <w:bottom w:val="none" w:sz="0" w:space="0" w:color="auto"/>
                <w:right w:val="none" w:sz="0" w:space="0" w:color="auto"/>
              </w:divBdr>
            </w:div>
          </w:divsChild>
        </w:div>
        <w:div w:id="1761363822">
          <w:marLeft w:val="0"/>
          <w:marRight w:val="0"/>
          <w:marTop w:val="0"/>
          <w:marBottom w:val="0"/>
          <w:divBdr>
            <w:top w:val="none" w:sz="0" w:space="0" w:color="auto"/>
            <w:left w:val="none" w:sz="0" w:space="0" w:color="auto"/>
            <w:bottom w:val="none" w:sz="0" w:space="0" w:color="auto"/>
            <w:right w:val="none" w:sz="0" w:space="0" w:color="auto"/>
          </w:divBdr>
          <w:divsChild>
            <w:div w:id="243346998">
              <w:marLeft w:val="0"/>
              <w:marRight w:val="0"/>
              <w:marTop w:val="0"/>
              <w:marBottom w:val="0"/>
              <w:divBdr>
                <w:top w:val="none" w:sz="0" w:space="0" w:color="auto"/>
                <w:left w:val="none" w:sz="0" w:space="0" w:color="auto"/>
                <w:bottom w:val="none" w:sz="0" w:space="0" w:color="auto"/>
                <w:right w:val="none" w:sz="0" w:space="0" w:color="auto"/>
              </w:divBdr>
            </w:div>
          </w:divsChild>
        </w:div>
        <w:div w:id="1790590100">
          <w:marLeft w:val="0"/>
          <w:marRight w:val="0"/>
          <w:marTop w:val="0"/>
          <w:marBottom w:val="0"/>
          <w:divBdr>
            <w:top w:val="none" w:sz="0" w:space="0" w:color="auto"/>
            <w:left w:val="none" w:sz="0" w:space="0" w:color="auto"/>
            <w:bottom w:val="none" w:sz="0" w:space="0" w:color="auto"/>
            <w:right w:val="none" w:sz="0" w:space="0" w:color="auto"/>
          </w:divBdr>
          <w:divsChild>
            <w:div w:id="46148373">
              <w:marLeft w:val="0"/>
              <w:marRight w:val="0"/>
              <w:marTop w:val="0"/>
              <w:marBottom w:val="0"/>
              <w:divBdr>
                <w:top w:val="none" w:sz="0" w:space="0" w:color="auto"/>
                <w:left w:val="none" w:sz="0" w:space="0" w:color="auto"/>
                <w:bottom w:val="none" w:sz="0" w:space="0" w:color="auto"/>
                <w:right w:val="none" w:sz="0" w:space="0" w:color="auto"/>
              </w:divBdr>
            </w:div>
          </w:divsChild>
        </w:div>
        <w:div w:id="1808933401">
          <w:marLeft w:val="0"/>
          <w:marRight w:val="0"/>
          <w:marTop w:val="0"/>
          <w:marBottom w:val="0"/>
          <w:divBdr>
            <w:top w:val="none" w:sz="0" w:space="0" w:color="auto"/>
            <w:left w:val="none" w:sz="0" w:space="0" w:color="auto"/>
            <w:bottom w:val="none" w:sz="0" w:space="0" w:color="auto"/>
            <w:right w:val="none" w:sz="0" w:space="0" w:color="auto"/>
          </w:divBdr>
          <w:divsChild>
            <w:div w:id="1695879842">
              <w:marLeft w:val="0"/>
              <w:marRight w:val="0"/>
              <w:marTop w:val="0"/>
              <w:marBottom w:val="0"/>
              <w:divBdr>
                <w:top w:val="none" w:sz="0" w:space="0" w:color="auto"/>
                <w:left w:val="none" w:sz="0" w:space="0" w:color="auto"/>
                <w:bottom w:val="none" w:sz="0" w:space="0" w:color="auto"/>
                <w:right w:val="none" w:sz="0" w:space="0" w:color="auto"/>
              </w:divBdr>
            </w:div>
          </w:divsChild>
        </w:div>
        <w:div w:id="1981229790">
          <w:marLeft w:val="0"/>
          <w:marRight w:val="0"/>
          <w:marTop w:val="0"/>
          <w:marBottom w:val="0"/>
          <w:divBdr>
            <w:top w:val="none" w:sz="0" w:space="0" w:color="auto"/>
            <w:left w:val="none" w:sz="0" w:space="0" w:color="auto"/>
            <w:bottom w:val="none" w:sz="0" w:space="0" w:color="auto"/>
            <w:right w:val="none" w:sz="0" w:space="0" w:color="auto"/>
          </w:divBdr>
          <w:divsChild>
            <w:div w:id="1667393066">
              <w:marLeft w:val="0"/>
              <w:marRight w:val="0"/>
              <w:marTop w:val="0"/>
              <w:marBottom w:val="0"/>
              <w:divBdr>
                <w:top w:val="none" w:sz="0" w:space="0" w:color="auto"/>
                <w:left w:val="none" w:sz="0" w:space="0" w:color="auto"/>
                <w:bottom w:val="none" w:sz="0" w:space="0" w:color="auto"/>
                <w:right w:val="none" w:sz="0" w:space="0" w:color="auto"/>
              </w:divBdr>
            </w:div>
          </w:divsChild>
        </w:div>
        <w:div w:id="2078628786">
          <w:marLeft w:val="0"/>
          <w:marRight w:val="0"/>
          <w:marTop w:val="0"/>
          <w:marBottom w:val="0"/>
          <w:divBdr>
            <w:top w:val="none" w:sz="0" w:space="0" w:color="auto"/>
            <w:left w:val="none" w:sz="0" w:space="0" w:color="auto"/>
            <w:bottom w:val="none" w:sz="0" w:space="0" w:color="auto"/>
            <w:right w:val="none" w:sz="0" w:space="0" w:color="auto"/>
          </w:divBdr>
          <w:divsChild>
            <w:div w:id="1548494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90368">
      <w:bodyDiv w:val="1"/>
      <w:marLeft w:val="0"/>
      <w:marRight w:val="0"/>
      <w:marTop w:val="0"/>
      <w:marBottom w:val="0"/>
      <w:divBdr>
        <w:top w:val="none" w:sz="0" w:space="0" w:color="auto"/>
        <w:left w:val="none" w:sz="0" w:space="0" w:color="auto"/>
        <w:bottom w:val="none" w:sz="0" w:space="0" w:color="auto"/>
        <w:right w:val="none" w:sz="0" w:space="0" w:color="auto"/>
      </w:divBdr>
    </w:div>
    <w:div w:id="1806967855">
      <w:bodyDiv w:val="1"/>
      <w:marLeft w:val="0"/>
      <w:marRight w:val="0"/>
      <w:marTop w:val="0"/>
      <w:marBottom w:val="0"/>
      <w:divBdr>
        <w:top w:val="none" w:sz="0" w:space="0" w:color="auto"/>
        <w:left w:val="none" w:sz="0" w:space="0" w:color="auto"/>
        <w:bottom w:val="none" w:sz="0" w:space="0" w:color="auto"/>
        <w:right w:val="none" w:sz="0" w:space="0" w:color="auto"/>
      </w:divBdr>
    </w:div>
    <w:div w:id="1915775548">
      <w:bodyDiv w:val="1"/>
      <w:marLeft w:val="0"/>
      <w:marRight w:val="0"/>
      <w:marTop w:val="0"/>
      <w:marBottom w:val="0"/>
      <w:divBdr>
        <w:top w:val="none" w:sz="0" w:space="0" w:color="auto"/>
        <w:left w:val="none" w:sz="0" w:space="0" w:color="auto"/>
        <w:bottom w:val="none" w:sz="0" w:space="0" w:color="auto"/>
        <w:right w:val="none" w:sz="0" w:space="0" w:color="auto"/>
      </w:divBdr>
    </w:div>
    <w:div w:id="1962180241">
      <w:bodyDiv w:val="1"/>
      <w:marLeft w:val="0"/>
      <w:marRight w:val="0"/>
      <w:marTop w:val="0"/>
      <w:marBottom w:val="0"/>
      <w:divBdr>
        <w:top w:val="none" w:sz="0" w:space="0" w:color="auto"/>
        <w:left w:val="none" w:sz="0" w:space="0" w:color="auto"/>
        <w:bottom w:val="none" w:sz="0" w:space="0" w:color="auto"/>
        <w:right w:val="none" w:sz="0" w:space="0" w:color="auto"/>
      </w:divBdr>
    </w:div>
    <w:div w:id="2025938648">
      <w:bodyDiv w:val="1"/>
      <w:marLeft w:val="0"/>
      <w:marRight w:val="0"/>
      <w:marTop w:val="0"/>
      <w:marBottom w:val="0"/>
      <w:divBdr>
        <w:top w:val="none" w:sz="0" w:space="0" w:color="auto"/>
        <w:left w:val="none" w:sz="0" w:space="0" w:color="auto"/>
        <w:bottom w:val="none" w:sz="0" w:space="0" w:color="auto"/>
        <w:right w:val="none" w:sz="0" w:space="0" w:color="auto"/>
      </w:divBdr>
    </w:div>
    <w:div w:id="2104186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5AIRPNAIUNRU-859666464-13022</_dlc_DocId>
    <_dlc_DocIdUrl xmlns="71c5aaf6-e6ce-465b-b873-5148d2a4c105">
      <Url>https://nokia.sharepoint.com/sites/c5g/e2earch/_layouts/15/DocIdRedir.aspx?ID=5AIRPNAIUNRU-859666464-13022</Url>
      <Description>5AIRPNAIUNRU-859666464-13022</Description>
    </_dlc_DocIdUrl>
    <SharedWithUsers xmlns="a3840f4f-04be-43d1-b2ef-6ff1382503c7">
      <UserInfo>
        <DisplayName>Awada, Ahmad (Nokia - DE/Munich)</DisplayName>
        <AccountId>1963</AccountId>
        <AccountType/>
      </UserInfo>
      <UserInfo>
        <DisplayName>Gursu, Murat (Nokia - DE/Munich)</DisplayName>
        <AccountId>33019</AccountId>
        <AccountType/>
      </UserInfo>
      <UserInfo>
        <DisplayName>Karabulut, Umur (Nokia - DE/Munich)</DisplayName>
        <AccountId>3904</AccountId>
        <AccountType/>
      </UserInfo>
      <UserInfo>
        <DisplayName>Stanczak, Jedrzej (Nokia - PL/Wroclaw)</DisplayName>
        <AccountId>723</AccountId>
        <AccountType/>
      </UserInfo>
      <UserInfo>
        <DisplayName>Selvaganapathy, Srinivasan (Nokia - IN/Bangalore)</DisplayName>
        <AccountId>1900</AccountId>
        <AccountType/>
      </UserInfo>
    </SharedWithUsers>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AF99A7B-75F3-4BD8-B679-FEE455ADBA8F}">
  <ds:schemaRefs>
    <ds:schemaRef ds:uri="http://schemas.openxmlformats.org/officeDocument/2006/bibliography"/>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a3840f4f-04be-43d1-b2ef-6ff1382503c7"/>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DB2CEB6D-C577-4538-9491-57104089EA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3790</Words>
  <Characters>21605</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25345</CharactersWithSpaces>
  <SharedDoc>false</SharedDoc>
  <HyperlinkBase/>
  <HLinks>
    <vt:vector size="90" baseType="variant">
      <vt:variant>
        <vt:i4>3276891</vt:i4>
      </vt:variant>
      <vt:variant>
        <vt:i4>42</vt:i4>
      </vt:variant>
      <vt:variant>
        <vt:i4>0</vt:i4>
      </vt:variant>
      <vt:variant>
        <vt:i4>5</vt:i4>
      </vt:variant>
      <vt:variant>
        <vt:lpwstr>mailto:murat.gursu@nokia-bell-labs.com</vt:lpwstr>
      </vt:variant>
      <vt:variant>
        <vt:lpwstr/>
      </vt:variant>
      <vt:variant>
        <vt:i4>3604558</vt:i4>
      </vt:variant>
      <vt:variant>
        <vt:i4>39</vt:i4>
      </vt:variant>
      <vt:variant>
        <vt:i4>0</vt:i4>
      </vt:variant>
      <vt:variant>
        <vt:i4>5</vt:i4>
      </vt:variant>
      <vt:variant>
        <vt:lpwstr>mailto:behnam.khodapanah@nokia.com</vt:lpwstr>
      </vt:variant>
      <vt:variant>
        <vt:lpwstr/>
      </vt:variant>
      <vt:variant>
        <vt:i4>3276877</vt:i4>
      </vt:variant>
      <vt:variant>
        <vt:i4>36</vt:i4>
      </vt:variant>
      <vt:variant>
        <vt:i4>0</vt:i4>
      </vt:variant>
      <vt:variant>
        <vt:i4>5</vt:i4>
      </vt:variant>
      <vt:variant>
        <vt:lpwstr>mailto:srinivasan.selvaganapathy@nokia.com</vt:lpwstr>
      </vt:variant>
      <vt:variant>
        <vt:lpwstr/>
      </vt:variant>
      <vt:variant>
        <vt:i4>3276877</vt:i4>
      </vt:variant>
      <vt:variant>
        <vt:i4>33</vt:i4>
      </vt:variant>
      <vt:variant>
        <vt:i4>0</vt:i4>
      </vt:variant>
      <vt:variant>
        <vt:i4>5</vt:i4>
      </vt:variant>
      <vt:variant>
        <vt:lpwstr>mailto:srinivasan.selvaganapathy@nokia.com</vt:lpwstr>
      </vt:variant>
      <vt:variant>
        <vt:lpwstr/>
      </vt:variant>
      <vt:variant>
        <vt:i4>1376367</vt:i4>
      </vt:variant>
      <vt:variant>
        <vt:i4>30</vt:i4>
      </vt:variant>
      <vt:variant>
        <vt:i4>0</vt:i4>
      </vt:variant>
      <vt:variant>
        <vt:i4>5</vt:i4>
      </vt:variant>
      <vt:variant>
        <vt:lpwstr>mailto:nihar.jena@nokia.com</vt:lpwstr>
      </vt:variant>
      <vt:variant>
        <vt:lpwstr/>
      </vt:variant>
      <vt:variant>
        <vt:i4>327781</vt:i4>
      </vt:variant>
      <vt:variant>
        <vt:i4>27</vt:i4>
      </vt:variant>
      <vt:variant>
        <vt:i4>0</vt:i4>
      </vt:variant>
      <vt:variant>
        <vt:i4>5</vt:i4>
      </vt:variant>
      <vt:variant>
        <vt:lpwstr>mailto:shehzad.ashraf@nokia.com</vt:lpwstr>
      </vt:variant>
      <vt:variant>
        <vt:lpwstr/>
      </vt:variant>
      <vt:variant>
        <vt:i4>3276877</vt:i4>
      </vt:variant>
      <vt:variant>
        <vt:i4>24</vt:i4>
      </vt:variant>
      <vt:variant>
        <vt:i4>0</vt:i4>
      </vt:variant>
      <vt:variant>
        <vt:i4>5</vt:i4>
      </vt:variant>
      <vt:variant>
        <vt:lpwstr>mailto:srinivasan.selvaganapathy@nokia.com</vt:lpwstr>
      </vt:variant>
      <vt:variant>
        <vt:lpwstr/>
      </vt:variant>
      <vt:variant>
        <vt:i4>327781</vt:i4>
      </vt:variant>
      <vt:variant>
        <vt:i4>21</vt:i4>
      </vt:variant>
      <vt:variant>
        <vt:i4>0</vt:i4>
      </vt:variant>
      <vt:variant>
        <vt:i4>5</vt:i4>
      </vt:variant>
      <vt:variant>
        <vt:lpwstr>mailto:shehzad.ashraf@nokia.com</vt:lpwstr>
      </vt:variant>
      <vt:variant>
        <vt:lpwstr/>
      </vt:variant>
      <vt:variant>
        <vt:i4>3276891</vt:i4>
      </vt:variant>
      <vt:variant>
        <vt:i4>18</vt:i4>
      </vt:variant>
      <vt:variant>
        <vt:i4>0</vt:i4>
      </vt:variant>
      <vt:variant>
        <vt:i4>5</vt:i4>
      </vt:variant>
      <vt:variant>
        <vt:lpwstr>mailto:murat.gursu@nokia-bell-labs.com</vt:lpwstr>
      </vt:variant>
      <vt:variant>
        <vt:lpwstr/>
      </vt:variant>
      <vt:variant>
        <vt:i4>3670101</vt:i4>
      </vt:variant>
      <vt:variant>
        <vt:i4>15</vt:i4>
      </vt:variant>
      <vt:variant>
        <vt:i4>0</vt:i4>
      </vt:variant>
      <vt:variant>
        <vt:i4>5</vt:i4>
      </vt:variant>
      <vt:variant>
        <vt:lpwstr>mailto:irina.balan@nokia-bell-labs.com</vt:lpwstr>
      </vt:variant>
      <vt:variant>
        <vt:lpwstr/>
      </vt:variant>
      <vt:variant>
        <vt:i4>3276877</vt:i4>
      </vt:variant>
      <vt:variant>
        <vt:i4>12</vt:i4>
      </vt:variant>
      <vt:variant>
        <vt:i4>0</vt:i4>
      </vt:variant>
      <vt:variant>
        <vt:i4>5</vt:i4>
      </vt:variant>
      <vt:variant>
        <vt:lpwstr>mailto:srinivasan.selvaganapathy@nokia.com</vt:lpwstr>
      </vt:variant>
      <vt:variant>
        <vt:lpwstr/>
      </vt:variant>
      <vt:variant>
        <vt:i4>3604558</vt:i4>
      </vt:variant>
      <vt:variant>
        <vt:i4>9</vt:i4>
      </vt:variant>
      <vt:variant>
        <vt:i4>0</vt:i4>
      </vt:variant>
      <vt:variant>
        <vt:i4>5</vt:i4>
      </vt:variant>
      <vt:variant>
        <vt:lpwstr>mailto:behnam.khodapanah@nokia.com</vt:lpwstr>
      </vt:variant>
      <vt:variant>
        <vt:lpwstr/>
      </vt:variant>
      <vt:variant>
        <vt:i4>3276877</vt:i4>
      </vt:variant>
      <vt:variant>
        <vt:i4>6</vt:i4>
      </vt:variant>
      <vt:variant>
        <vt:i4>0</vt:i4>
      </vt:variant>
      <vt:variant>
        <vt:i4>5</vt:i4>
      </vt:variant>
      <vt:variant>
        <vt:lpwstr>mailto:srinivasan.selvaganapathy@nokia.com</vt:lpwstr>
      </vt:variant>
      <vt:variant>
        <vt:lpwstr/>
      </vt:variant>
      <vt:variant>
        <vt:i4>1376367</vt:i4>
      </vt:variant>
      <vt:variant>
        <vt:i4>3</vt:i4>
      </vt:variant>
      <vt:variant>
        <vt:i4>0</vt:i4>
      </vt:variant>
      <vt:variant>
        <vt:i4>5</vt:i4>
      </vt:variant>
      <vt:variant>
        <vt:lpwstr>mailto:nihar.jena@nokia.com</vt:lpwstr>
      </vt:variant>
      <vt:variant>
        <vt:lpwstr/>
      </vt:variant>
      <vt:variant>
        <vt:i4>327781</vt:i4>
      </vt:variant>
      <vt:variant>
        <vt:i4>0</vt:i4>
      </vt:variant>
      <vt:variant>
        <vt:i4>0</vt:i4>
      </vt:variant>
      <vt:variant>
        <vt:i4>5</vt:i4>
      </vt:variant>
      <vt:variant>
        <vt:lpwstr>mailto:shehzad.ashraf@nokia.com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Nokia-2</cp:lastModifiedBy>
  <cp:revision>6</cp:revision>
  <dcterms:created xsi:type="dcterms:W3CDTF">2022-11-04T06:04:00Z</dcterms:created>
  <dcterms:modified xsi:type="dcterms:W3CDTF">2022-11-04T07:04:00Z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b046e433-dc9c-4490-aafd-4d29c546d395</vt:lpwstr>
  </property>
  <property fmtid="{D5CDD505-2E9C-101B-9397-08002B2CF9AE}" pid="4" name="GrammarlyDocumentId">
    <vt:lpwstr>f56289972d7e265868d42d5e3e7dd803396d3657257488e3f46d0e0edfb9a671</vt:lpwstr>
  </property>
</Properties>
</file>