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20D6F" w14:textId="343818F1" w:rsidR="00635FE0" w:rsidRPr="0041589D" w:rsidRDefault="00635FE0" w:rsidP="00635FE0">
      <w:pPr>
        <w:rPr>
          <w:rFonts w:ascii="Times New Roman" w:eastAsia="MS Mincho" w:hAnsi="Times New Roman"/>
          <w:b/>
          <w:bCs/>
          <w:sz w:val="24"/>
          <w:szCs w:val="24"/>
          <w:lang w:eastAsia="x-none"/>
        </w:rPr>
      </w:pPr>
      <w:r w:rsidRPr="0041589D">
        <w:rPr>
          <w:rFonts w:ascii="Times New Roman" w:eastAsia="MS Mincho" w:hAnsi="Times New Roman"/>
          <w:b/>
          <w:bCs/>
          <w:sz w:val="24"/>
          <w:szCs w:val="24"/>
        </w:rPr>
        <w:t xml:space="preserve">3GPP TSG RAN WG2 Meeting #120          </w:t>
      </w:r>
      <w:r>
        <w:tab/>
      </w:r>
      <w:r w:rsidRPr="0041589D">
        <w:rPr>
          <w:rFonts w:ascii="Times New Roman" w:eastAsia="MS Mincho" w:hAnsi="Times New Roman"/>
          <w:b/>
          <w:bCs/>
          <w:sz w:val="24"/>
          <w:szCs w:val="24"/>
        </w:rPr>
        <w:t xml:space="preserve">      </w:t>
      </w:r>
      <w:r>
        <w:tab/>
      </w:r>
      <w:r w:rsidRPr="0041589D">
        <w:rPr>
          <w:rFonts w:ascii="Times New Roman" w:hAnsi="Times New Roman"/>
        </w:rPr>
        <w:t xml:space="preserve">            </w:t>
      </w:r>
      <w:r w:rsidRPr="0041589D">
        <w:rPr>
          <w:rFonts w:ascii="Times New Roman" w:eastAsia="MS Mincho" w:hAnsi="Times New Roman"/>
          <w:b/>
          <w:bCs/>
          <w:sz w:val="24"/>
          <w:szCs w:val="24"/>
        </w:rPr>
        <w:t xml:space="preserve">    </w:t>
      </w:r>
      <w:r>
        <w:tab/>
      </w:r>
      <w:r w:rsidR="00A344F4">
        <w:rPr>
          <w:rFonts w:ascii="Times New Roman" w:hAnsi="Times New Roman"/>
        </w:rPr>
        <w:t xml:space="preserve">        </w:t>
      </w:r>
      <w:r w:rsidR="007707C0">
        <w:rPr>
          <w:rFonts w:ascii="Times New Roman" w:hAnsi="Times New Roman"/>
        </w:rPr>
        <w:t xml:space="preserve">       </w:t>
      </w:r>
      <w:r w:rsidR="00A344F4">
        <w:rPr>
          <w:rFonts w:ascii="Times New Roman" w:hAnsi="Times New Roman"/>
        </w:rPr>
        <w:t xml:space="preserve">   </w:t>
      </w:r>
      <w:r w:rsidRPr="0041589D">
        <w:rPr>
          <w:rFonts w:ascii="Times New Roman" w:eastAsia="MS Mincho" w:hAnsi="Times New Roman"/>
          <w:b/>
          <w:bCs/>
          <w:sz w:val="24"/>
          <w:szCs w:val="24"/>
        </w:rPr>
        <w:t>R2-</w:t>
      </w:r>
      <w:r w:rsidRPr="34A826B2">
        <w:rPr>
          <w:rFonts w:ascii="Times New Roman" w:eastAsia="MS Mincho" w:hAnsi="Times New Roman"/>
          <w:b/>
          <w:bCs/>
          <w:sz w:val="24"/>
          <w:szCs w:val="24"/>
        </w:rPr>
        <w:t>22</w:t>
      </w:r>
      <w:r w:rsidR="00A0173E" w:rsidRPr="34A826B2">
        <w:rPr>
          <w:rFonts w:ascii="Times New Roman" w:eastAsia="MS Mincho" w:hAnsi="Times New Roman"/>
          <w:b/>
          <w:bCs/>
          <w:sz w:val="24"/>
          <w:szCs w:val="24"/>
        </w:rPr>
        <w:t>1</w:t>
      </w:r>
      <w:r w:rsidR="5D7094BE" w:rsidRPr="34A826B2">
        <w:rPr>
          <w:rFonts w:ascii="Times New Roman" w:eastAsia="MS Mincho" w:hAnsi="Times New Roman"/>
          <w:b/>
          <w:bCs/>
          <w:sz w:val="24"/>
          <w:szCs w:val="24"/>
        </w:rPr>
        <w:t>137</w:t>
      </w:r>
      <w:r w:rsidR="004A09EB">
        <w:rPr>
          <w:rFonts w:ascii="Times New Roman" w:eastAsia="MS Mincho" w:hAnsi="Times New Roman"/>
          <w:b/>
          <w:bCs/>
          <w:sz w:val="24"/>
          <w:szCs w:val="24"/>
        </w:rPr>
        <w:t>5</w:t>
      </w:r>
    </w:p>
    <w:p w14:paraId="71EFF636" w14:textId="77777777" w:rsidR="00635FE0" w:rsidRPr="0041589D" w:rsidRDefault="00635FE0" w:rsidP="00635FE0">
      <w:pPr>
        <w:pStyle w:val="3GPPHeader"/>
        <w:spacing w:after="120"/>
        <w:rPr>
          <w:rFonts w:ascii="Times New Roman" w:eastAsia="MS Mincho" w:hAnsi="Times New Roman"/>
        </w:rPr>
      </w:pPr>
      <w:r w:rsidRPr="0041589D">
        <w:rPr>
          <w:rFonts w:ascii="Times New Roman" w:eastAsia="MS Mincho" w:hAnsi="Times New Roman"/>
        </w:rPr>
        <w:t>Toulouse, FR, 14</w:t>
      </w:r>
      <w:r w:rsidRPr="0041589D">
        <w:rPr>
          <w:rFonts w:ascii="Times New Roman" w:eastAsia="MS Mincho" w:hAnsi="Times New Roman"/>
          <w:vertAlign w:val="superscript"/>
        </w:rPr>
        <w:t>th</w:t>
      </w:r>
      <w:r w:rsidRPr="0041589D">
        <w:rPr>
          <w:rFonts w:ascii="Times New Roman" w:eastAsia="MS Mincho" w:hAnsi="Times New Roman"/>
        </w:rPr>
        <w:t xml:space="preserve"> – 18</w:t>
      </w:r>
      <w:r w:rsidRPr="0041589D">
        <w:rPr>
          <w:rFonts w:ascii="Times New Roman" w:eastAsia="MS Mincho" w:hAnsi="Times New Roman"/>
          <w:vertAlign w:val="superscript"/>
        </w:rPr>
        <w:t>th</w:t>
      </w:r>
      <w:r w:rsidRPr="0041589D">
        <w:rPr>
          <w:rFonts w:ascii="Times New Roman" w:eastAsia="MS Mincho" w:hAnsi="Times New Roman"/>
        </w:rPr>
        <w:t xml:space="preserve"> </w:t>
      </w:r>
      <w:proofErr w:type="gramStart"/>
      <w:r w:rsidRPr="0041589D">
        <w:rPr>
          <w:rFonts w:ascii="Times New Roman" w:eastAsia="MS Mincho" w:hAnsi="Times New Roman"/>
        </w:rPr>
        <w:t>Nov,</w:t>
      </w:r>
      <w:proofErr w:type="gramEnd"/>
      <w:r w:rsidRPr="0041589D">
        <w:rPr>
          <w:rFonts w:ascii="Times New Roman" w:eastAsia="MS Mincho" w:hAnsi="Times New Roman"/>
        </w:rPr>
        <w:t xml:space="preserve"> 2022     </w:t>
      </w:r>
    </w:p>
    <w:p w14:paraId="1C23C50A" w14:textId="2DE98069" w:rsidR="00912C62" w:rsidRPr="00A344F4" w:rsidRDefault="00912C62" w:rsidP="00635FE0">
      <w:pPr>
        <w:pStyle w:val="3GPPHeader"/>
        <w:spacing w:after="120"/>
        <w:rPr>
          <w:rFonts w:ascii="Times New Roman" w:eastAsia="MS Mincho" w:hAnsi="Times New Roman"/>
          <w:sz w:val="28"/>
          <w:szCs w:val="28"/>
          <w:lang w:eastAsia="x-none"/>
        </w:rPr>
      </w:pPr>
      <w:r w:rsidRPr="00A344F4">
        <w:rPr>
          <w:rFonts w:ascii="Times New Roman" w:hAnsi="Times New Roman"/>
          <w:szCs w:val="24"/>
          <w:lang w:val="sv-SE"/>
        </w:rPr>
        <w:t>Agenda Item:</w:t>
      </w:r>
      <w:r w:rsidRPr="00A344F4">
        <w:rPr>
          <w:rFonts w:ascii="Times New Roman" w:hAnsi="Times New Roman"/>
          <w:szCs w:val="24"/>
          <w:lang w:val="sv-SE"/>
        </w:rPr>
        <w:tab/>
        <w:t>8.12.</w:t>
      </w:r>
      <w:r w:rsidR="00A740CC" w:rsidRPr="00A344F4">
        <w:rPr>
          <w:rFonts w:ascii="Times New Roman" w:hAnsi="Times New Roman"/>
          <w:szCs w:val="24"/>
          <w:lang w:val="sv-SE"/>
        </w:rPr>
        <w:t>3</w:t>
      </w:r>
    </w:p>
    <w:p w14:paraId="234AC10A" w14:textId="77777777" w:rsidR="00912C62" w:rsidRPr="00A344F4" w:rsidRDefault="00912C62" w:rsidP="00AF5CBA">
      <w:pPr>
        <w:pStyle w:val="3GPPHeader"/>
        <w:spacing w:after="120"/>
        <w:rPr>
          <w:rFonts w:ascii="Times New Roman" w:hAnsi="Times New Roman"/>
          <w:szCs w:val="24"/>
        </w:rPr>
      </w:pPr>
      <w:r w:rsidRPr="00A344F4">
        <w:rPr>
          <w:rFonts w:ascii="Times New Roman" w:hAnsi="Times New Roman"/>
          <w:szCs w:val="24"/>
        </w:rPr>
        <w:t>Source:</w:t>
      </w:r>
      <w:r w:rsidRPr="00A344F4">
        <w:rPr>
          <w:rFonts w:ascii="Times New Roman" w:hAnsi="Times New Roman"/>
          <w:szCs w:val="24"/>
        </w:rPr>
        <w:tab/>
        <w:t>Intel Corporation</w:t>
      </w:r>
    </w:p>
    <w:p w14:paraId="05DC5D26" w14:textId="4894E492" w:rsidR="00912C62" w:rsidRPr="00A344F4" w:rsidRDefault="00912C62" w:rsidP="00AF5CBA">
      <w:pPr>
        <w:pStyle w:val="3GPPHeader"/>
        <w:spacing w:after="120"/>
        <w:rPr>
          <w:rFonts w:ascii="Times New Roman" w:hAnsi="Times New Roman"/>
          <w:szCs w:val="24"/>
        </w:rPr>
      </w:pPr>
      <w:r w:rsidRPr="00A344F4">
        <w:rPr>
          <w:rFonts w:ascii="Times New Roman" w:hAnsi="Times New Roman"/>
          <w:szCs w:val="24"/>
        </w:rPr>
        <w:t>Title:</w:t>
      </w:r>
      <w:r w:rsidRPr="00A344F4">
        <w:rPr>
          <w:rFonts w:ascii="Times New Roman" w:hAnsi="Times New Roman"/>
          <w:szCs w:val="24"/>
        </w:rPr>
        <w:tab/>
      </w:r>
      <w:r w:rsidR="000F68ED" w:rsidRPr="00A344F4">
        <w:rPr>
          <w:rFonts w:ascii="Times New Roman" w:hAnsi="Times New Roman"/>
          <w:szCs w:val="24"/>
        </w:rPr>
        <w:t>PCI</w:t>
      </w:r>
      <w:r w:rsidR="00C768DE" w:rsidRPr="00A344F4">
        <w:rPr>
          <w:rFonts w:ascii="Times New Roman" w:hAnsi="Times New Roman"/>
          <w:szCs w:val="24"/>
        </w:rPr>
        <w:t xml:space="preserve"> </w:t>
      </w:r>
      <w:r w:rsidR="00EF59DB">
        <w:rPr>
          <w:rFonts w:ascii="Times New Roman" w:hAnsi="Times New Roman"/>
          <w:szCs w:val="24"/>
        </w:rPr>
        <w:t>collision</w:t>
      </w:r>
      <w:r w:rsidR="00C768DE" w:rsidRPr="00A344F4">
        <w:rPr>
          <w:rFonts w:ascii="Times New Roman" w:hAnsi="Times New Roman"/>
          <w:szCs w:val="24"/>
        </w:rPr>
        <w:t xml:space="preserve"> </w:t>
      </w:r>
      <w:r w:rsidR="006F6806" w:rsidRPr="00A344F4">
        <w:rPr>
          <w:rFonts w:ascii="Times New Roman" w:hAnsi="Times New Roman"/>
          <w:szCs w:val="24"/>
        </w:rPr>
        <w:t>and TAC/R</w:t>
      </w:r>
      <w:r w:rsidR="00EF59DB">
        <w:rPr>
          <w:rFonts w:ascii="Times New Roman" w:hAnsi="Times New Roman"/>
          <w:szCs w:val="24"/>
        </w:rPr>
        <w:t>ANAC</w:t>
      </w:r>
      <w:r w:rsidR="006F6806" w:rsidRPr="00A344F4">
        <w:rPr>
          <w:rFonts w:ascii="Times New Roman" w:hAnsi="Times New Roman"/>
          <w:szCs w:val="24"/>
        </w:rPr>
        <w:t xml:space="preserve"> update </w:t>
      </w:r>
      <w:r w:rsidR="00C768DE" w:rsidRPr="00A344F4">
        <w:rPr>
          <w:rFonts w:ascii="Times New Roman" w:hAnsi="Times New Roman"/>
          <w:szCs w:val="24"/>
        </w:rPr>
        <w:t>of mobile IAB-node</w:t>
      </w:r>
    </w:p>
    <w:p w14:paraId="71EE3D57" w14:textId="22187AD6" w:rsidR="00912C62" w:rsidRPr="00A344F4" w:rsidRDefault="00912C62" w:rsidP="00AF5CBA">
      <w:pPr>
        <w:pStyle w:val="3GPPHeader"/>
        <w:pBdr>
          <w:bottom w:val="single" w:sz="6" w:space="1" w:color="auto"/>
        </w:pBdr>
        <w:spacing w:after="120"/>
        <w:rPr>
          <w:rFonts w:ascii="Times New Roman" w:hAnsi="Times New Roman"/>
          <w:szCs w:val="24"/>
        </w:rPr>
      </w:pPr>
      <w:r w:rsidRPr="00A344F4">
        <w:rPr>
          <w:rFonts w:ascii="Times New Roman" w:hAnsi="Times New Roman"/>
          <w:szCs w:val="24"/>
        </w:rPr>
        <w:t>Document for:</w:t>
      </w:r>
      <w:r w:rsidR="00A344F4" w:rsidRPr="00A344F4">
        <w:rPr>
          <w:rFonts w:ascii="Times New Roman" w:hAnsi="Times New Roman"/>
          <w:szCs w:val="24"/>
        </w:rPr>
        <w:t xml:space="preserve"> </w:t>
      </w:r>
      <w:r w:rsidR="00A344F4">
        <w:rPr>
          <w:rFonts w:ascii="Times New Roman" w:hAnsi="Times New Roman"/>
          <w:szCs w:val="24"/>
        </w:rPr>
        <w:t xml:space="preserve">  </w:t>
      </w:r>
      <w:r w:rsidRPr="00A344F4">
        <w:rPr>
          <w:rFonts w:ascii="Times New Roman" w:hAnsi="Times New Roman"/>
          <w:szCs w:val="24"/>
        </w:rPr>
        <w:t>Discussion and Decision</w:t>
      </w:r>
    </w:p>
    <w:p w14:paraId="52C70642" w14:textId="77777777" w:rsidR="00017FC6" w:rsidRPr="0041589D" w:rsidRDefault="00017FC6" w:rsidP="00017FC6">
      <w:pPr>
        <w:pStyle w:val="Heading1"/>
        <w:rPr>
          <w:rFonts w:ascii="Times New Roman" w:hAnsi="Times New Roman" w:cs="Times New Roman"/>
        </w:rPr>
      </w:pPr>
      <w:r w:rsidRPr="0041589D">
        <w:rPr>
          <w:rFonts w:ascii="Times New Roman" w:hAnsi="Times New Roman" w:cs="Times New Roman"/>
          <w:lang w:val="en-US"/>
        </w:rPr>
        <w:t>Introduction</w:t>
      </w:r>
    </w:p>
    <w:p w14:paraId="5337B4B1" w14:textId="54CFA87D" w:rsidR="00F40CCC" w:rsidRPr="0041589D" w:rsidRDefault="00F40CCC" w:rsidP="00017FC6">
      <w:pPr>
        <w:rPr>
          <w:rFonts w:ascii="Times New Roman" w:hAnsi="Times New Roman"/>
        </w:rPr>
      </w:pPr>
      <w:r w:rsidRPr="0041589D">
        <w:rPr>
          <w:rFonts w:ascii="Times New Roman" w:hAnsi="Times New Roman"/>
        </w:rPr>
        <w:t>During RAN2 #119</w:t>
      </w:r>
      <w:r w:rsidR="00545DC2">
        <w:rPr>
          <w:rFonts w:ascii="Times New Roman" w:hAnsi="Times New Roman"/>
        </w:rPr>
        <w:t>bis-</w:t>
      </w:r>
      <w:r w:rsidRPr="0041589D">
        <w:rPr>
          <w:rFonts w:ascii="Times New Roman" w:hAnsi="Times New Roman"/>
        </w:rPr>
        <w:t xml:space="preserve">e meeting, </w:t>
      </w:r>
      <w:r w:rsidR="00364FCB">
        <w:rPr>
          <w:rFonts w:ascii="Times New Roman" w:hAnsi="Times New Roman"/>
        </w:rPr>
        <w:t>for full migration two logical DUs, RAN2 agreed with following agreement</w:t>
      </w:r>
      <w:r w:rsidRPr="0041589D">
        <w:rPr>
          <w:rFonts w:ascii="Times New Roman" w:hAnsi="Times New Roman"/>
        </w:rPr>
        <w:t>:</w:t>
      </w:r>
    </w:p>
    <w:tbl>
      <w:tblPr>
        <w:tblStyle w:val="TableGrid"/>
        <w:tblW w:w="0" w:type="auto"/>
        <w:tblLook w:val="04A0" w:firstRow="1" w:lastRow="0" w:firstColumn="1" w:lastColumn="0" w:noHBand="0" w:noVBand="1"/>
      </w:tblPr>
      <w:tblGrid>
        <w:gridCol w:w="9350"/>
      </w:tblGrid>
      <w:tr w:rsidR="00F24A67" w:rsidRPr="0041589D" w14:paraId="5897A108" w14:textId="77777777" w:rsidTr="00F24A67">
        <w:tc>
          <w:tcPr>
            <w:tcW w:w="9350" w:type="dxa"/>
          </w:tcPr>
          <w:p w14:paraId="120EB08C" w14:textId="450645C6" w:rsidR="00F24A67" w:rsidRPr="00364FCB" w:rsidRDefault="00364FCB" w:rsidP="00017FC6">
            <w:pPr>
              <w:pStyle w:val="Agreement"/>
            </w:pPr>
            <w:r w:rsidRPr="00B028F5">
              <w:t xml:space="preserve">RAN2 focuses on the scenario where, during full migration, the UE sees the </w:t>
            </w:r>
            <w:r w:rsidRPr="0089793F">
              <w:rPr>
                <w:rFonts w:cstheme="minorHAnsi"/>
              </w:rPr>
              <w:t>two logical DU cells as different physical cells</w:t>
            </w:r>
            <w:r>
              <w:rPr>
                <w:rFonts w:cstheme="minorHAnsi"/>
              </w:rPr>
              <w:t xml:space="preserve"> (</w:t>
            </w:r>
            <w:proofErr w:type="gramStart"/>
            <w:r>
              <w:rPr>
                <w:rFonts w:cstheme="minorHAnsi"/>
              </w:rPr>
              <w:t>e.g.</w:t>
            </w:r>
            <w:proofErr w:type="gramEnd"/>
            <w:r>
              <w:rPr>
                <w:rFonts w:cstheme="minorHAnsi"/>
              </w:rPr>
              <w:t xml:space="preserve"> with different PCI if same carrier), and where </w:t>
            </w:r>
            <w:r w:rsidRPr="0089793F">
              <w:rPr>
                <w:rFonts w:cstheme="minorHAnsi"/>
              </w:rPr>
              <w:t>the two logical DU cells use separate physical resources (i.e., different carriers, or orthogonal time and frequency resources of the same carrier</w:t>
            </w:r>
            <w:r>
              <w:rPr>
                <w:rFonts w:cstheme="minorHAnsi"/>
              </w:rPr>
              <w:t>, as supported by legacy L1</w:t>
            </w:r>
            <w:r w:rsidRPr="0089793F">
              <w:rPr>
                <w:rFonts w:cstheme="minorHAnsi"/>
              </w:rPr>
              <w:t>).</w:t>
            </w:r>
          </w:p>
        </w:tc>
      </w:tr>
    </w:tbl>
    <w:p w14:paraId="4040FD4D" w14:textId="2E68913D" w:rsidR="00F40CCC" w:rsidRPr="0041589D" w:rsidRDefault="00F40CCC" w:rsidP="00017FC6">
      <w:pPr>
        <w:rPr>
          <w:rFonts w:ascii="Times New Roman" w:hAnsi="Times New Roman"/>
        </w:rPr>
      </w:pPr>
      <w:r w:rsidRPr="0041589D">
        <w:rPr>
          <w:rFonts w:ascii="Times New Roman" w:hAnsi="Times New Roman"/>
        </w:rPr>
        <w:t xml:space="preserve">Moreover, RAN3 also agrees </w:t>
      </w:r>
      <w:r w:rsidR="0086012D">
        <w:rPr>
          <w:rFonts w:ascii="Times New Roman" w:hAnsi="Times New Roman"/>
        </w:rPr>
        <w:t xml:space="preserve">following agreement </w:t>
      </w:r>
      <w:r w:rsidR="00BB4F9E">
        <w:rPr>
          <w:rFonts w:ascii="Times New Roman" w:hAnsi="Times New Roman"/>
        </w:rPr>
        <w:t>for PCI collision</w:t>
      </w:r>
      <w:r w:rsidR="00F24A67" w:rsidRPr="0041589D">
        <w:rPr>
          <w:rFonts w:ascii="Times New Roman" w:hAnsi="Times New Roman"/>
        </w:rPr>
        <w:t>:</w:t>
      </w:r>
    </w:p>
    <w:tbl>
      <w:tblPr>
        <w:tblStyle w:val="TableGrid"/>
        <w:tblW w:w="0" w:type="auto"/>
        <w:tblLook w:val="04A0" w:firstRow="1" w:lastRow="0" w:firstColumn="1" w:lastColumn="0" w:noHBand="0" w:noVBand="1"/>
      </w:tblPr>
      <w:tblGrid>
        <w:gridCol w:w="9350"/>
      </w:tblGrid>
      <w:tr w:rsidR="00A82210" w:rsidRPr="0041589D" w14:paraId="3990ABDB" w14:textId="77777777" w:rsidTr="00A82210">
        <w:tc>
          <w:tcPr>
            <w:tcW w:w="9350" w:type="dxa"/>
          </w:tcPr>
          <w:p w14:paraId="0566372E" w14:textId="77777777" w:rsidR="0086012D" w:rsidRPr="00D360FB" w:rsidRDefault="0086012D" w:rsidP="0086012D">
            <w:pPr>
              <w:widowControl w:val="0"/>
              <w:ind w:left="144" w:hanging="144"/>
              <w:rPr>
                <w:rFonts w:ascii="Calibri" w:hAnsi="Calibri" w:cs="Calibri"/>
                <w:b/>
                <w:color w:val="008000"/>
                <w:sz w:val="18"/>
                <w:szCs w:val="18"/>
              </w:rPr>
            </w:pPr>
            <w:r w:rsidRPr="00D360FB">
              <w:rPr>
                <w:rFonts w:ascii="Calibri" w:hAnsi="Calibri" w:cs="Calibri"/>
                <w:b/>
                <w:color w:val="008000"/>
                <w:sz w:val="18"/>
                <w:szCs w:val="18"/>
              </w:rPr>
              <w:t>PCI Space Partitioning is performed by OAM and up to implementation.</w:t>
            </w:r>
          </w:p>
          <w:p w14:paraId="3D5F8A32" w14:textId="77777777" w:rsidR="0086012D" w:rsidRPr="00D360FB" w:rsidRDefault="0086012D" w:rsidP="0086012D">
            <w:pPr>
              <w:widowControl w:val="0"/>
              <w:ind w:left="144" w:hanging="144"/>
              <w:rPr>
                <w:rFonts w:ascii="Calibri" w:hAnsi="Calibri" w:cs="Calibri"/>
                <w:b/>
                <w:color w:val="008000"/>
                <w:sz w:val="18"/>
                <w:szCs w:val="18"/>
              </w:rPr>
            </w:pPr>
            <w:r w:rsidRPr="00D360FB">
              <w:rPr>
                <w:rFonts w:ascii="Calibri" w:hAnsi="Calibri" w:cs="Calibri"/>
                <w:b/>
                <w:color w:val="008000"/>
                <w:sz w:val="18"/>
                <w:szCs w:val="18"/>
              </w:rPr>
              <w:t>As baseline, to avoid PCI collision, F1-terminating IAB-donor can reconfigure PCI for the cell of mobile IAB-DU via existing F1AP message.</w:t>
            </w:r>
          </w:p>
          <w:p w14:paraId="154579A2" w14:textId="77777777" w:rsidR="0086012D" w:rsidRPr="00D360FB" w:rsidRDefault="0086012D" w:rsidP="0086012D">
            <w:pPr>
              <w:widowControl w:val="0"/>
              <w:ind w:left="144" w:hanging="144"/>
              <w:rPr>
                <w:rFonts w:ascii="Calibri" w:hAnsi="Calibri" w:cs="Calibri"/>
                <w:b/>
                <w:color w:val="008000"/>
                <w:sz w:val="18"/>
                <w:szCs w:val="18"/>
              </w:rPr>
            </w:pPr>
            <w:r w:rsidRPr="00D360FB">
              <w:rPr>
                <w:rFonts w:ascii="Calibri" w:hAnsi="Calibri" w:cs="Calibri"/>
                <w:b/>
                <w:color w:val="008000"/>
                <w:sz w:val="18"/>
                <w:szCs w:val="18"/>
              </w:rPr>
              <w:t>PCI-change on the IAB-node can be supported via handover of connected UEs between cells using old and new PCI, respectively.</w:t>
            </w:r>
          </w:p>
          <w:p w14:paraId="2557EAAF" w14:textId="77777777" w:rsidR="0086012D" w:rsidRDefault="0086012D" w:rsidP="0086012D">
            <w:pPr>
              <w:rPr>
                <w:rFonts w:ascii="Calibri" w:hAnsi="Calibri" w:cs="Calibri"/>
                <w:b/>
                <w:color w:val="0000FF"/>
                <w:sz w:val="18"/>
                <w:szCs w:val="18"/>
              </w:rPr>
            </w:pPr>
            <w:r w:rsidRPr="00D360FB">
              <w:rPr>
                <w:rFonts w:ascii="Calibri" w:hAnsi="Calibri" w:cs="Calibri"/>
                <w:b/>
                <w:color w:val="0000FF"/>
                <w:sz w:val="18"/>
                <w:szCs w:val="18"/>
              </w:rPr>
              <w:t>FFS for the PCI reconfiguration in case of IAB-donor and IAB-node with different OAMs.</w:t>
            </w:r>
          </w:p>
          <w:p w14:paraId="323F1836" w14:textId="1B0AC18D" w:rsidR="00A82210" w:rsidRPr="0086012D" w:rsidRDefault="0086012D" w:rsidP="0086012D">
            <w:pPr>
              <w:rPr>
                <w:rFonts w:ascii="Calibri" w:hAnsi="Calibri" w:cs="Calibri"/>
                <w:b/>
                <w:color w:val="008000"/>
                <w:sz w:val="18"/>
                <w:szCs w:val="18"/>
              </w:rPr>
            </w:pPr>
            <w:r w:rsidRPr="00B97033">
              <w:rPr>
                <w:rFonts w:ascii="Calibri" w:hAnsi="Calibri" w:cs="Calibri"/>
                <w:b/>
                <w:color w:val="008000"/>
                <w:sz w:val="18"/>
                <w:szCs w:val="18"/>
              </w:rPr>
              <w:t>PCI collision can be detected by the F1-terminating IAB-donor of the mobile IAB-node.</w:t>
            </w:r>
          </w:p>
        </w:tc>
      </w:tr>
    </w:tbl>
    <w:p w14:paraId="033086DD" w14:textId="3E55C721" w:rsidR="00BB4F9E" w:rsidRDefault="00021810" w:rsidP="00017FC6">
      <w:pPr>
        <w:rPr>
          <w:rFonts w:ascii="Times New Roman" w:hAnsi="Times New Roman"/>
        </w:rPr>
      </w:pPr>
      <w:r>
        <w:rPr>
          <w:rFonts w:ascii="Times New Roman" w:hAnsi="Times New Roman"/>
        </w:rPr>
        <w:t xml:space="preserve">Furthermore, TAC/RANAC update is also not concluded in last RAN2 meeting. </w:t>
      </w:r>
    </w:p>
    <w:p w14:paraId="305A49E3" w14:textId="61024018" w:rsidR="00025E78" w:rsidRPr="0041589D" w:rsidRDefault="00025E78" w:rsidP="00017FC6">
      <w:pPr>
        <w:rPr>
          <w:rFonts w:ascii="Times New Roman" w:hAnsi="Times New Roman"/>
        </w:rPr>
      </w:pPr>
      <w:r w:rsidRPr="0041589D">
        <w:rPr>
          <w:rFonts w:ascii="Times New Roman" w:hAnsi="Times New Roman"/>
        </w:rPr>
        <w:t xml:space="preserve">In this contribution, we </w:t>
      </w:r>
      <w:r w:rsidR="00B1685C" w:rsidRPr="0041589D">
        <w:rPr>
          <w:rFonts w:ascii="Times New Roman" w:hAnsi="Times New Roman"/>
        </w:rPr>
        <w:t xml:space="preserve">first discuss </w:t>
      </w:r>
      <w:r w:rsidR="00F02128">
        <w:rPr>
          <w:rFonts w:ascii="Times New Roman" w:hAnsi="Times New Roman"/>
        </w:rPr>
        <w:t>t</w:t>
      </w:r>
      <w:r w:rsidR="00CB677B">
        <w:rPr>
          <w:rFonts w:ascii="Times New Roman" w:hAnsi="Times New Roman"/>
        </w:rPr>
        <w:t xml:space="preserve">he need of supporting PCI </w:t>
      </w:r>
      <w:r w:rsidR="007576C0">
        <w:rPr>
          <w:rFonts w:ascii="Times New Roman" w:hAnsi="Times New Roman"/>
        </w:rPr>
        <w:t xml:space="preserve">collision </w:t>
      </w:r>
      <w:r w:rsidR="00CB677B">
        <w:rPr>
          <w:rFonts w:ascii="Times New Roman" w:hAnsi="Times New Roman"/>
        </w:rPr>
        <w:t>and dynamic change, then discuss the RAN2 impact of supporting RAC/RANAC update of mobile IAB-node</w:t>
      </w:r>
      <w:r w:rsidR="008D1D22" w:rsidRPr="0041589D">
        <w:rPr>
          <w:rFonts w:ascii="Times New Roman" w:hAnsi="Times New Roman"/>
        </w:rPr>
        <w:t>.</w:t>
      </w:r>
      <w:r w:rsidR="00867F3C" w:rsidRPr="0041589D">
        <w:rPr>
          <w:rFonts w:ascii="Times New Roman" w:hAnsi="Times New Roman"/>
        </w:rPr>
        <w:t xml:space="preserve"> </w:t>
      </w:r>
    </w:p>
    <w:p w14:paraId="3CEBD86F" w14:textId="77777777" w:rsidR="00017FC6" w:rsidRPr="0041589D" w:rsidRDefault="00017FC6" w:rsidP="00017FC6">
      <w:pPr>
        <w:pStyle w:val="Heading1"/>
        <w:rPr>
          <w:rFonts w:ascii="Times New Roman" w:eastAsia="SimSun" w:hAnsi="Times New Roman" w:cs="Times New Roman"/>
          <w:lang w:val="en-US" w:eastAsia="zh-CN"/>
        </w:rPr>
      </w:pPr>
      <w:r w:rsidRPr="0041589D">
        <w:rPr>
          <w:rFonts w:ascii="Times New Roman" w:eastAsia="SimSun" w:hAnsi="Times New Roman" w:cs="Times New Roman"/>
          <w:lang w:val="en-US" w:eastAsia="zh-CN"/>
        </w:rPr>
        <w:t>Discussion</w:t>
      </w:r>
    </w:p>
    <w:p w14:paraId="7240AF20" w14:textId="2C1E8BE1" w:rsidR="00E46E9C" w:rsidRPr="0041589D" w:rsidRDefault="00A72B09" w:rsidP="00467EA3">
      <w:pPr>
        <w:pStyle w:val="Heading2"/>
        <w:rPr>
          <w:rFonts w:ascii="Times New Roman" w:hAnsi="Times New Roman" w:cs="Times New Roman"/>
          <w:lang w:eastAsia="zh-CN"/>
        </w:rPr>
      </w:pPr>
      <w:bookmarkStart w:id="0" w:name="P3"/>
      <w:r>
        <w:rPr>
          <w:rFonts w:ascii="Times New Roman" w:hAnsi="Times New Roman" w:cs="Times New Roman"/>
          <w:lang w:eastAsia="zh-CN"/>
        </w:rPr>
        <w:t>PCI</w:t>
      </w:r>
      <w:r w:rsidR="005C1BAF">
        <w:rPr>
          <w:rFonts w:ascii="Times New Roman" w:hAnsi="Times New Roman" w:cs="Times New Roman"/>
          <w:lang w:eastAsia="zh-CN"/>
        </w:rPr>
        <w:t xml:space="preserve"> of mobile IAB-node</w:t>
      </w:r>
    </w:p>
    <w:p w14:paraId="489B618B" w14:textId="2BA67CA0" w:rsidR="005C1BAF" w:rsidRDefault="005C1BAF" w:rsidP="00DA2BB4">
      <w:pPr>
        <w:rPr>
          <w:rFonts w:ascii="Times New Roman" w:hAnsi="Times New Roman"/>
          <w:lang w:val="en-GB" w:eastAsia="zh-CN"/>
        </w:rPr>
      </w:pPr>
      <w:r>
        <w:rPr>
          <w:rFonts w:ascii="Times New Roman" w:hAnsi="Times New Roman"/>
          <w:lang w:val="en-GB" w:eastAsia="zh-CN"/>
        </w:rPr>
        <w:t xml:space="preserve">In RAN2 #119bis-e meeting, it was agreed that the two logical DUs of mobile IAB-node </w:t>
      </w:r>
      <w:r w:rsidR="00C37EA8">
        <w:rPr>
          <w:rFonts w:ascii="Times New Roman" w:hAnsi="Times New Roman"/>
          <w:lang w:val="en-GB" w:eastAsia="zh-CN"/>
        </w:rPr>
        <w:t xml:space="preserve">will use different PCIs if same carrier is used. </w:t>
      </w:r>
    </w:p>
    <w:tbl>
      <w:tblPr>
        <w:tblStyle w:val="TableGrid"/>
        <w:tblW w:w="0" w:type="auto"/>
        <w:tblLook w:val="04A0" w:firstRow="1" w:lastRow="0" w:firstColumn="1" w:lastColumn="0" w:noHBand="0" w:noVBand="1"/>
      </w:tblPr>
      <w:tblGrid>
        <w:gridCol w:w="9350"/>
      </w:tblGrid>
      <w:tr w:rsidR="00DD57A7" w14:paraId="12A2C13E" w14:textId="77777777" w:rsidTr="00DD57A7">
        <w:tc>
          <w:tcPr>
            <w:tcW w:w="9350" w:type="dxa"/>
          </w:tcPr>
          <w:p w14:paraId="7D6B2621" w14:textId="17C4BB21" w:rsidR="00DD57A7" w:rsidRPr="005B16B2" w:rsidRDefault="005B16B2" w:rsidP="00DA2BB4">
            <w:pPr>
              <w:pStyle w:val="Agreement"/>
            </w:pPr>
            <w:r w:rsidRPr="00B028F5">
              <w:t xml:space="preserve">RAN2 focuses on the scenario where, during full migration, the UE sees the </w:t>
            </w:r>
            <w:r w:rsidRPr="0089793F">
              <w:rPr>
                <w:rFonts w:cstheme="minorHAnsi"/>
              </w:rPr>
              <w:t>two logical DU cells as different physical cells</w:t>
            </w:r>
            <w:r>
              <w:rPr>
                <w:rFonts w:cstheme="minorHAnsi"/>
              </w:rPr>
              <w:t xml:space="preserve"> (</w:t>
            </w:r>
            <w:proofErr w:type="gramStart"/>
            <w:r>
              <w:rPr>
                <w:rFonts w:cstheme="minorHAnsi"/>
              </w:rPr>
              <w:t>e.g.</w:t>
            </w:r>
            <w:proofErr w:type="gramEnd"/>
            <w:r>
              <w:rPr>
                <w:rFonts w:cstheme="minorHAnsi"/>
              </w:rPr>
              <w:t xml:space="preserve"> with different PCI if same carrier), and where </w:t>
            </w:r>
            <w:r w:rsidRPr="0089793F">
              <w:rPr>
                <w:rFonts w:cstheme="minorHAnsi"/>
              </w:rPr>
              <w:t>the two logical DU cells use separate physical resources (i.e., different carriers, or orthogonal time and frequency resources of the same carrier</w:t>
            </w:r>
            <w:r>
              <w:rPr>
                <w:rFonts w:cstheme="minorHAnsi"/>
              </w:rPr>
              <w:t>, as supported by legacy L1</w:t>
            </w:r>
            <w:r w:rsidRPr="0089793F">
              <w:rPr>
                <w:rFonts w:cstheme="minorHAnsi"/>
              </w:rPr>
              <w:t>).</w:t>
            </w:r>
          </w:p>
        </w:tc>
      </w:tr>
    </w:tbl>
    <w:p w14:paraId="7508DC9E" w14:textId="7A0AAD3C" w:rsidR="00D45014" w:rsidRDefault="006B559F" w:rsidP="00AD7483">
      <w:pPr>
        <w:rPr>
          <w:rFonts w:ascii="Times New Roman" w:hAnsi="Times New Roman"/>
          <w:lang w:val="en-GB"/>
        </w:rPr>
      </w:pPr>
      <w:r w:rsidRPr="7B1BA71F">
        <w:rPr>
          <w:rFonts w:ascii="Times New Roman" w:hAnsi="Times New Roman"/>
          <w:lang w:val="en-GB"/>
        </w:rPr>
        <w:t>RAN3 agreed that PCI space partitioning can be supported</w:t>
      </w:r>
      <w:r w:rsidR="009F1FF2" w:rsidRPr="7B1BA71F">
        <w:rPr>
          <w:rFonts w:ascii="Times New Roman" w:hAnsi="Times New Roman"/>
          <w:lang w:val="en-GB"/>
        </w:rPr>
        <w:t xml:space="preserve"> via OAM by implementation.</w:t>
      </w:r>
      <w:r w:rsidR="00034E71" w:rsidRPr="7B1BA71F">
        <w:rPr>
          <w:rFonts w:ascii="Times New Roman" w:hAnsi="Times New Roman"/>
          <w:lang w:val="en-GB"/>
        </w:rPr>
        <w:t xml:space="preserve"> </w:t>
      </w:r>
      <w:r w:rsidR="006E0786" w:rsidRPr="7B1BA71F">
        <w:rPr>
          <w:rFonts w:ascii="Times New Roman" w:hAnsi="Times New Roman"/>
          <w:lang w:val="en-GB"/>
        </w:rPr>
        <w:t xml:space="preserve">This PCI space partitioning approach can also support if </w:t>
      </w:r>
      <w:r w:rsidR="00AC1B02" w:rsidRPr="7B1BA71F">
        <w:rPr>
          <w:rFonts w:ascii="Times New Roman" w:hAnsi="Times New Roman"/>
          <w:lang w:val="en-GB"/>
        </w:rPr>
        <w:t xml:space="preserve">two different PCIs are used </w:t>
      </w:r>
      <w:r w:rsidR="006E0786" w:rsidRPr="7B1BA71F">
        <w:rPr>
          <w:rFonts w:ascii="Times New Roman" w:hAnsi="Times New Roman"/>
          <w:lang w:val="en-GB"/>
        </w:rPr>
        <w:t xml:space="preserve">for different physical cells at two logical DUs. </w:t>
      </w:r>
      <w:r w:rsidR="3063AC22" w:rsidRPr="7B1BA71F">
        <w:rPr>
          <w:rFonts w:ascii="Times New Roman" w:hAnsi="Times New Roman"/>
          <w:lang w:val="en-GB"/>
        </w:rPr>
        <w:t xml:space="preserve">This allows use of legacy HO procedure between the two cells.  </w:t>
      </w:r>
      <w:r w:rsidR="006E0786" w:rsidRPr="7B1BA71F">
        <w:rPr>
          <w:rFonts w:ascii="Times New Roman" w:hAnsi="Times New Roman"/>
          <w:lang w:val="en-GB"/>
        </w:rPr>
        <w:t>OAM can simply reserve two PCIs for one mobile IAB-nod</w:t>
      </w:r>
      <w:r w:rsidR="000E26AF" w:rsidRPr="7B1BA71F">
        <w:rPr>
          <w:rFonts w:ascii="Times New Roman" w:hAnsi="Times New Roman"/>
          <w:lang w:val="en-GB"/>
        </w:rPr>
        <w:t>e</w:t>
      </w:r>
      <w:r w:rsidR="00694AD6" w:rsidRPr="7B1BA71F">
        <w:rPr>
          <w:rFonts w:ascii="Times New Roman" w:hAnsi="Times New Roman"/>
          <w:lang w:val="en-GB"/>
        </w:rPr>
        <w:t xml:space="preserve">. </w:t>
      </w:r>
      <w:r w:rsidR="00694AD6" w:rsidRPr="7B1BA71F">
        <w:rPr>
          <w:rFonts w:ascii="Times New Roman" w:hAnsi="Times New Roman"/>
          <w:lang w:val="en-GB"/>
        </w:rPr>
        <w:lastRenderedPageBreak/>
        <w:t xml:space="preserve">During full migration, the mobile IAB-node can use </w:t>
      </w:r>
      <w:r w:rsidR="006C523C" w:rsidRPr="7B1BA71F">
        <w:rPr>
          <w:rFonts w:ascii="Times New Roman" w:hAnsi="Times New Roman"/>
          <w:lang w:val="en-GB"/>
        </w:rPr>
        <w:t>the 2</w:t>
      </w:r>
      <w:r w:rsidR="006C523C" w:rsidRPr="7B1BA71F">
        <w:rPr>
          <w:rFonts w:ascii="Times New Roman" w:hAnsi="Times New Roman"/>
          <w:vertAlign w:val="superscript"/>
          <w:lang w:val="en-GB"/>
        </w:rPr>
        <w:t>nd</w:t>
      </w:r>
      <w:r w:rsidR="006C523C" w:rsidRPr="7B1BA71F">
        <w:rPr>
          <w:rFonts w:ascii="Times New Roman" w:hAnsi="Times New Roman"/>
          <w:lang w:val="en-GB"/>
        </w:rPr>
        <w:t xml:space="preserve"> PCI reserved by OAM as the PCI of the physical cell at the 2</w:t>
      </w:r>
      <w:r w:rsidR="006C523C" w:rsidRPr="7B1BA71F">
        <w:rPr>
          <w:rFonts w:ascii="Times New Roman" w:hAnsi="Times New Roman"/>
          <w:vertAlign w:val="superscript"/>
          <w:lang w:val="en-GB"/>
        </w:rPr>
        <w:t>nd</w:t>
      </w:r>
      <w:r w:rsidR="006C523C" w:rsidRPr="7B1BA71F">
        <w:rPr>
          <w:rFonts w:ascii="Times New Roman" w:hAnsi="Times New Roman"/>
          <w:lang w:val="en-GB"/>
        </w:rPr>
        <w:t xml:space="preserve"> logical DU. </w:t>
      </w:r>
      <w:r w:rsidR="002D5359" w:rsidRPr="7B1BA71F">
        <w:rPr>
          <w:rFonts w:ascii="Times New Roman" w:hAnsi="Times New Roman"/>
          <w:lang w:val="en-GB"/>
        </w:rPr>
        <w:t>The PCI of 1</w:t>
      </w:r>
      <w:r w:rsidR="002D5359" w:rsidRPr="7B1BA71F">
        <w:rPr>
          <w:rFonts w:ascii="Times New Roman" w:hAnsi="Times New Roman"/>
          <w:vertAlign w:val="superscript"/>
          <w:lang w:val="en-GB"/>
        </w:rPr>
        <w:t>st</w:t>
      </w:r>
      <w:r w:rsidR="002D5359" w:rsidRPr="7B1BA71F">
        <w:rPr>
          <w:rFonts w:ascii="Times New Roman" w:hAnsi="Times New Roman"/>
          <w:lang w:val="en-GB"/>
        </w:rPr>
        <w:t xml:space="preserve"> logical DU can then be released and </w:t>
      </w:r>
      <w:r w:rsidR="00CF3AF9" w:rsidRPr="7B1BA71F">
        <w:rPr>
          <w:rFonts w:ascii="Times New Roman" w:hAnsi="Times New Roman"/>
          <w:lang w:val="en-GB"/>
        </w:rPr>
        <w:t xml:space="preserve">reused for the new established logical DU during mobile IAB-node’s next full migration. The two reserved PCIs can be </w:t>
      </w:r>
      <w:r w:rsidR="000E27D8" w:rsidRPr="7B1BA71F">
        <w:rPr>
          <w:rFonts w:ascii="Times New Roman" w:hAnsi="Times New Roman"/>
          <w:lang w:val="en-GB"/>
        </w:rPr>
        <w:t>switched between existing logical DU and new-established logical DU</w:t>
      </w:r>
      <w:r w:rsidR="001E1262" w:rsidRPr="7B1BA71F">
        <w:rPr>
          <w:rFonts w:ascii="Times New Roman" w:hAnsi="Times New Roman"/>
          <w:lang w:val="en-GB"/>
        </w:rPr>
        <w:t xml:space="preserve">. </w:t>
      </w:r>
    </w:p>
    <w:p w14:paraId="32662B2D" w14:textId="521314D5" w:rsidR="1FEC61C6" w:rsidRDefault="1FEC61C6" w:rsidP="00AE2B89">
      <w:pPr>
        <w:pStyle w:val="Obs-prop"/>
      </w:pPr>
      <w:r w:rsidRPr="7B1BA71F">
        <w:t>Observation</w:t>
      </w:r>
      <w:r w:rsidR="00BA1C9A">
        <w:t xml:space="preserve"> 1</w:t>
      </w:r>
      <w:r w:rsidRPr="7B1BA71F">
        <w:t>: Two PCIs are required for the two cells of the two logical DUs during the full migration</w:t>
      </w:r>
      <w:r w:rsidR="0810B894" w:rsidRPr="7B1BA71F">
        <w:t xml:space="preserve"> to allow HO between the two cells</w:t>
      </w:r>
      <w:r w:rsidRPr="7B1BA71F">
        <w:t>.</w:t>
      </w:r>
      <w:r w:rsidR="00E579D2">
        <w:t xml:space="preserve">  No other mechanism is necessary.</w:t>
      </w:r>
    </w:p>
    <w:p w14:paraId="09FF8884" w14:textId="77A388E6" w:rsidR="00034E71" w:rsidRPr="00537C78" w:rsidRDefault="00034E71" w:rsidP="00537C78">
      <w:pPr>
        <w:pStyle w:val="Obs-prop"/>
        <w:rPr>
          <w:rFonts w:cs="Times New Roman"/>
          <w:szCs w:val="20"/>
        </w:rPr>
      </w:pPr>
      <w:r w:rsidRPr="00537C78">
        <w:rPr>
          <w:rFonts w:cs="Times New Roman"/>
          <w:szCs w:val="20"/>
        </w:rPr>
        <w:t>Proposal</w:t>
      </w:r>
      <w:r w:rsidR="00BA1C9A">
        <w:rPr>
          <w:rFonts w:cs="Times New Roman"/>
          <w:szCs w:val="20"/>
        </w:rPr>
        <w:t xml:space="preserve"> 1</w:t>
      </w:r>
      <w:r w:rsidRPr="00537C78">
        <w:rPr>
          <w:rFonts w:cs="Times New Roman"/>
          <w:szCs w:val="20"/>
        </w:rPr>
        <w:t xml:space="preserve">: Two PCIs </w:t>
      </w:r>
      <w:r w:rsidR="00B23FC8">
        <w:rPr>
          <w:rFonts w:cs="Times New Roman"/>
          <w:szCs w:val="20"/>
        </w:rPr>
        <w:t xml:space="preserve">are </w:t>
      </w:r>
      <w:r w:rsidRPr="00537C78">
        <w:rPr>
          <w:rFonts w:cs="Times New Roman"/>
          <w:szCs w:val="20"/>
        </w:rPr>
        <w:t xml:space="preserve">reserved to mobile IAB-node </w:t>
      </w:r>
      <w:r w:rsidR="00E97769">
        <w:rPr>
          <w:rFonts w:cs="Times New Roman"/>
          <w:szCs w:val="20"/>
        </w:rPr>
        <w:t xml:space="preserve">by OAM during PCI space partitioning and switch between two logical DUs </w:t>
      </w:r>
      <w:r w:rsidR="006C1668">
        <w:rPr>
          <w:rFonts w:cs="Times New Roman"/>
          <w:szCs w:val="20"/>
        </w:rPr>
        <w:t>during full migration.</w:t>
      </w:r>
    </w:p>
    <w:p w14:paraId="1A9E7D92" w14:textId="549F8D7D" w:rsidR="00AD7483" w:rsidRPr="0041589D" w:rsidRDefault="00193B20" w:rsidP="00AD7483">
      <w:pPr>
        <w:rPr>
          <w:rFonts w:ascii="Times New Roman" w:hAnsi="Times New Roman"/>
          <w:lang w:val="en-GB"/>
        </w:rPr>
      </w:pPr>
      <w:r w:rsidRPr="0041589D">
        <w:rPr>
          <w:rFonts w:ascii="Times New Roman" w:hAnsi="Times New Roman"/>
          <w:lang w:val="en-GB"/>
        </w:rPr>
        <w:t>Another aspect to discuss whether PCI collision detection and avoidance</w:t>
      </w:r>
      <w:r w:rsidR="00672D94">
        <w:rPr>
          <w:rFonts w:ascii="Times New Roman" w:hAnsi="Times New Roman"/>
          <w:lang w:val="en-GB"/>
        </w:rPr>
        <w:t xml:space="preserve"> is needed</w:t>
      </w:r>
      <w:r w:rsidRPr="0041589D">
        <w:rPr>
          <w:rFonts w:ascii="Times New Roman" w:hAnsi="Times New Roman"/>
          <w:lang w:val="en-GB"/>
        </w:rPr>
        <w:t xml:space="preserve">. </w:t>
      </w:r>
      <w:r w:rsidR="00B73B25" w:rsidRPr="0041589D">
        <w:rPr>
          <w:rFonts w:ascii="Times New Roman" w:hAnsi="Times New Roman"/>
          <w:lang w:val="en-GB"/>
        </w:rPr>
        <w:t>Even with split allocation of PCIs to fixed and m</w:t>
      </w:r>
      <w:r w:rsidR="003F403B">
        <w:rPr>
          <w:rFonts w:ascii="Times New Roman" w:hAnsi="Times New Roman"/>
          <w:lang w:val="en-GB"/>
        </w:rPr>
        <w:t xml:space="preserve">obile </w:t>
      </w:r>
      <w:r w:rsidR="00B73B25" w:rsidRPr="0041589D">
        <w:rPr>
          <w:rFonts w:ascii="Times New Roman" w:hAnsi="Times New Roman"/>
          <w:lang w:val="en-GB"/>
        </w:rPr>
        <w:t>IAB nodes, i</w:t>
      </w:r>
      <w:r w:rsidRPr="0041589D">
        <w:rPr>
          <w:rFonts w:ascii="Times New Roman" w:hAnsi="Times New Roman"/>
          <w:lang w:val="en-GB"/>
        </w:rPr>
        <w:t xml:space="preserve">t is possible that PCI collision may happen between </w:t>
      </w:r>
      <w:r w:rsidR="00B73B25" w:rsidRPr="0041589D">
        <w:rPr>
          <w:rFonts w:ascii="Times New Roman" w:hAnsi="Times New Roman"/>
          <w:lang w:val="en-GB"/>
        </w:rPr>
        <w:t xml:space="preserve">two </w:t>
      </w:r>
      <w:proofErr w:type="spellStart"/>
      <w:r w:rsidRPr="0041589D">
        <w:rPr>
          <w:rFonts w:ascii="Times New Roman" w:hAnsi="Times New Roman"/>
          <w:lang w:val="en-GB"/>
        </w:rPr>
        <w:t>mIAB</w:t>
      </w:r>
      <w:proofErr w:type="spellEnd"/>
      <w:r w:rsidRPr="0041589D">
        <w:rPr>
          <w:rFonts w:ascii="Times New Roman" w:hAnsi="Times New Roman"/>
          <w:lang w:val="en-GB"/>
        </w:rPr>
        <w:t xml:space="preserve"> nodes due to the nature of their unpredictable mobility </w:t>
      </w:r>
      <w:r w:rsidR="00B73B25" w:rsidRPr="0041589D">
        <w:rPr>
          <w:rFonts w:ascii="Times New Roman" w:hAnsi="Times New Roman"/>
          <w:lang w:val="en-GB"/>
        </w:rPr>
        <w:t xml:space="preserve">pattern. The conventional method of detecting PCI collision is when the network notices it during measurement reporting. It can be verified by using ANR reporting from UEs. While ANR can report the different NCGIs of the PCIs to detect PCI collision, it may not always do it reliably </w:t>
      </w:r>
      <w:r w:rsidR="00EC231A" w:rsidRPr="0041589D">
        <w:rPr>
          <w:rFonts w:ascii="Times New Roman" w:hAnsi="Times New Roman"/>
          <w:lang w:val="en-GB"/>
        </w:rPr>
        <w:t xml:space="preserve">as it </w:t>
      </w:r>
      <w:r w:rsidR="000C5CEA">
        <w:rPr>
          <w:rFonts w:ascii="Times New Roman" w:hAnsi="Times New Roman"/>
          <w:lang w:val="en-GB"/>
        </w:rPr>
        <w:t xml:space="preserve">is </w:t>
      </w:r>
      <w:r w:rsidR="00EC231A" w:rsidRPr="0041589D">
        <w:rPr>
          <w:rFonts w:ascii="Times New Roman" w:hAnsi="Times New Roman"/>
          <w:lang w:val="en-GB"/>
        </w:rPr>
        <w:t xml:space="preserve">a slow procedure and the period of collision due to </w:t>
      </w:r>
      <w:proofErr w:type="spellStart"/>
      <w:r w:rsidR="00EC231A" w:rsidRPr="0041589D">
        <w:rPr>
          <w:rFonts w:ascii="Times New Roman" w:hAnsi="Times New Roman"/>
          <w:lang w:val="en-GB"/>
        </w:rPr>
        <w:t>mIAB</w:t>
      </w:r>
      <w:proofErr w:type="spellEnd"/>
      <w:r w:rsidR="00EC231A" w:rsidRPr="0041589D">
        <w:rPr>
          <w:rFonts w:ascii="Times New Roman" w:hAnsi="Times New Roman"/>
          <w:lang w:val="en-GB"/>
        </w:rPr>
        <w:t xml:space="preserve"> mobility could be too short to detect it.  However, even if it is detected quickly, changing the PCI of a cell (</w:t>
      </w:r>
      <w:r w:rsidR="00A662B5" w:rsidRPr="0041589D">
        <w:rPr>
          <w:rFonts w:ascii="Times New Roman" w:hAnsi="Times New Roman"/>
          <w:lang w:val="en-GB"/>
        </w:rPr>
        <w:t>as discussed below</w:t>
      </w:r>
      <w:r w:rsidR="00EC231A" w:rsidRPr="0041589D">
        <w:rPr>
          <w:rFonts w:ascii="Times New Roman" w:hAnsi="Times New Roman"/>
          <w:lang w:val="en-GB"/>
        </w:rPr>
        <w:t>) to avoid the collision is likely to take even longer as all the UEs will need to be moved to the new PCI.  Hence the current ANR can be considered sufficient for PCI collision detection.</w:t>
      </w:r>
      <w:r w:rsidR="0035644D">
        <w:rPr>
          <w:rFonts w:ascii="Times New Roman" w:hAnsi="Times New Roman"/>
          <w:lang w:val="en-GB"/>
        </w:rPr>
        <w:t xml:space="preserve"> There’s no need to </w:t>
      </w:r>
      <w:r w:rsidR="006E4590">
        <w:rPr>
          <w:rFonts w:ascii="Times New Roman" w:hAnsi="Times New Roman"/>
          <w:lang w:val="en-GB"/>
        </w:rPr>
        <w:t>introduce</w:t>
      </w:r>
      <w:r w:rsidR="0035644D">
        <w:rPr>
          <w:rFonts w:ascii="Times New Roman" w:hAnsi="Times New Roman"/>
          <w:lang w:val="en-GB"/>
        </w:rPr>
        <w:t xml:space="preserve"> </w:t>
      </w:r>
      <w:r w:rsidR="006E4590">
        <w:rPr>
          <w:rFonts w:ascii="Times New Roman" w:hAnsi="Times New Roman"/>
          <w:lang w:val="en-GB"/>
        </w:rPr>
        <w:t>new UE reporting to improve PCI collision detection.</w:t>
      </w:r>
    </w:p>
    <w:p w14:paraId="6CABAD3F" w14:textId="2650B04C" w:rsidR="00A662B5" w:rsidRPr="0041589D" w:rsidRDefault="00EC231A" w:rsidP="00485952">
      <w:pPr>
        <w:pStyle w:val="Obs-prop"/>
        <w:rPr>
          <w:rFonts w:cs="Times New Roman"/>
          <w:szCs w:val="20"/>
        </w:rPr>
      </w:pPr>
      <w:r w:rsidRPr="0041589D">
        <w:rPr>
          <w:rFonts w:cs="Times New Roman"/>
          <w:szCs w:val="20"/>
        </w:rPr>
        <w:t>Proposal</w:t>
      </w:r>
      <w:r w:rsidR="00BA1C9A">
        <w:rPr>
          <w:rFonts w:cs="Times New Roman"/>
          <w:szCs w:val="20"/>
        </w:rPr>
        <w:t xml:space="preserve"> 2</w:t>
      </w:r>
      <w:r w:rsidRPr="0041589D">
        <w:rPr>
          <w:rFonts w:cs="Times New Roman"/>
          <w:szCs w:val="20"/>
        </w:rPr>
        <w:t xml:space="preserve">: Current ANR procedure is sufficient for PCI collision detection for </w:t>
      </w:r>
      <w:proofErr w:type="spellStart"/>
      <w:r w:rsidRPr="0041589D">
        <w:rPr>
          <w:rFonts w:cs="Times New Roman"/>
          <w:szCs w:val="20"/>
        </w:rPr>
        <w:t>mIAB</w:t>
      </w:r>
      <w:proofErr w:type="spellEnd"/>
      <w:r w:rsidRPr="0041589D">
        <w:rPr>
          <w:rFonts w:cs="Times New Roman"/>
          <w:szCs w:val="20"/>
        </w:rPr>
        <w:t>.</w:t>
      </w:r>
      <w:r w:rsidR="001F5999">
        <w:rPr>
          <w:rFonts w:cs="Times New Roman"/>
          <w:szCs w:val="20"/>
        </w:rPr>
        <w:t xml:space="preserve"> No need to introduce new UE reporting to improve PCI collision detection.</w:t>
      </w:r>
    </w:p>
    <w:bookmarkEnd w:id="0"/>
    <w:p w14:paraId="0A91FFF6" w14:textId="0F67E4F8" w:rsidR="002A529C" w:rsidRPr="0041589D" w:rsidRDefault="002A529C" w:rsidP="002A529C">
      <w:pPr>
        <w:pStyle w:val="Heading2"/>
        <w:rPr>
          <w:rFonts w:ascii="Times New Roman" w:hAnsi="Times New Roman" w:cs="Times New Roman"/>
        </w:rPr>
      </w:pPr>
      <w:r w:rsidRPr="0041589D">
        <w:rPr>
          <w:rFonts w:ascii="Times New Roman" w:hAnsi="Times New Roman" w:cs="Times New Roman"/>
        </w:rPr>
        <w:t>TAC/R</w:t>
      </w:r>
      <w:r w:rsidR="000129ED">
        <w:rPr>
          <w:rFonts w:ascii="Times New Roman" w:hAnsi="Times New Roman" w:cs="Times New Roman"/>
        </w:rPr>
        <w:t>AN</w:t>
      </w:r>
      <w:r w:rsidRPr="0041589D">
        <w:rPr>
          <w:rFonts w:ascii="Times New Roman" w:hAnsi="Times New Roman" w:cs="Times New Roman"/>
        </w:rPr>
        <w:t>A</w:t>
      </w:r>
      <w:r w:rsidR="000129ED">
        <w:rPr>
          <w:rFonts w:ascii="Times New Roman" w:hAnsi="Times New Roman" w:cs="Times New Roman"/>
        </w:rPr>
        <w:t>C</w:t>
      </w:r>
      <w:r w:rsidRPr="0041589D">
        <w:rPr>
          <w:rFonts w:ascii="Times New Roman" w:hAnsi="Times New Roman" w:cs="Times New Roman"/>
        </w:rPr>
        <w:t xml:space="preserve"> for the mIAB node </w:t>
      </w:r>
    </w:p>
    <w:p w14:paraId="5E86C5CE" w14:textId="75694A94" w:rsidR="000129ED" w:rsidRDefault="000129ED" w:rsidP="002A529C">
      <w:pPr>
        <w:rPr>
          <w:rFonts w:ascii="Times New Roman" w:hAnsi="Times New Roman"/>
          <w:lang w:val="en-GB"/>
        </w:rPr>
      </w:pPr>
      <w:r>
        <w:rPr>
          <w:rFonts w:ascii="Times New Roman" w:hAnsi="Times New Roman"/>
          <w:lang w:val="en-GB"/>
        </w:rPr>
        <w:t>During RAN3 #117bis-e meeting, TAC/RANAC issue had following agreement:</w:t>
      </w:r>
    </w:p>
    <w:tbl>
      <w:tblPr>
        <w:tblStyle w:val="TableGrid"/>
        <w:tblW w:w="0" w:type="auto"/>
        <w:tblLook w:val="04A0" w:firstRow="1" w:lastRow="0" w:firstColumn="1" w:lastColumn="0" w:noHBand="0" w:noVBand="1"/>
      </w:tblPr>
      <w:tblGrid>
        <w:gridCol w:w="9350"/>
      </w:tblGrid>
      <w:tr w:rsidR="000129ED" w14:paraId="19DBE645" w14:textId="77777777" w:rsidTr="000129ED">
        <w:tc>
          <w:tcPr>
            <w:tcW w:w="9350" w:type="dxa"/>
          </w:tcPr>
          <w:p w14:paraId="241DABE0" w14:textId="77777777" w:rsidR="000129ED" w:rsidRPr="000A03B0" w:rsidRDefault="000129ED" w:rsidP="000129ED">
            <w:pPr>
              <w:widowControl w:val="0"/>
              <w:ind w:left="144" w:hanging="144"/>
              <w:rPr>
                <w:rFonts w:ascii="Calibri" w:hAnsi="Calibri" w:cs="Calibri"/>
                <w:b/>
                <w:color w:val="008000"/>
                <w:sz w:val="18"/>
                <w:szCs w:val="18"/>
              </w:rPr>
            </w:pPr>
            <w:r w:rsidRPr="000A03B0">
              <w:rPr>
                <w:rFonts w:ascii="Calibri" w:hAnsi="Calibri" w:cs="Calibri"/>
                <w:b/>
                <w:color w:val="008000"/>
                <w:sz w:val="18"/>
                <w:szCs w:val="18"/>
              </w:rPr>
              <w:t>RAN3 to further discuss the following options for TAC/RANAC issue:</w:t>
            </w:r>
          </w:p>
          <w:p w14:paraId="21577CCE" w14:textId="77777777" w:rsidR="000129ED" w:rsidRPr="000A03B0" w:rsidRDefault="000129ED" w:rsidP="000129ED">
            <w:pPr>
              <w:widowControl w:val="0"/>
              <w:ind w:left="144" w:hanging="144"/>
              <w:rPr>
                <w:rFonts w:ascii="Calibri" w:hAnsi="Calibri" w:cs="Calibri"/>
                <w:b/>
                <w:color w:val="008000"/>
                <w:sz w:val="18"/>
                <w:szCs w:val="18"/>
              </w:rPr>
            </w:pPr>
            <w:r w:rsidRPr="000A03B0">
              <w:rPr>
                <w:rFonts w:ascii="Calibri" w:hAnsi="Calibri" w:cs="Calibri"/>
                <w:b/>
                <w:color w:val="008000"/>
                <w:sz w:val="18"/>
                <w:szCs w:val="18"/>
              </w:rPr>
              <w:t>-</w:t>
            </w:r>
            <w:r w:rsidRPr="000A03B0">
              <w:rPr>
                <w:rFonts w:ascii="Calibri" w:hAnsi="Calibri" w:cs="Calibri"/>
                <w:b/>
                <w:color w:val="008000"/>
                <w:sz w:val="18"/>
                <w:szCs w:val="18"/>
              </w:rPr>
              <w:tab/>
              <w:t xml:space="preserve">Option 1: The TAC/RANAC for the mobile IAB cell can be changed </w:t>
            </w:r>
            <w:proofErr w:type="gramStart"/>
            <w:r w:rsidRPr="000A03B0">
              <w:rPr>
                <w:rFonts w:ascii="Calibri" w:hAnsi="Calibri" w:cs="Calibri"/>
                <w:b/>
                <w:color w:val="008000"/>
                <w:sz w:val="18"/>
                <w:szCs w:val="18"/>
              </w:rPr>
              <w:t>in order to</w:t>
            </w:r>
            <w:proofErr w:type="gramEnd"/>
            <w:r w:rsidRPr="000A03B0">
              <w:rPr>
                <w:rFonts w:ascii="Calibri" w:hAnsi="Calibri" w:cs="Calibri"/>
                <w:b/>
                <w:color w:val="008000"/>
                <w:sz w:val="18"/>
                <w:szCs w:val="18"/>
              </w:rPr>
              <w:t xml:space="preserve"> reflect the physical location when the mobile IAB-node moves. </w:t>
            </w:r>
          </w:p>
          <w:p w14:paraId="45CE63EA" w14:textId="3578196B" w:rsidR="000129ED" w:rsidRPr="000129ED" w:rsidRDefault="000129ED" w:rsidP="000129ED">
            <w:pPr>
              <w:widowControl w:val="0"/>
              <w:ind w:left="144" w:hanging="144"/>
              <w:rPr>
                <w:rFonts w:ascii="Calibri" w:hAnsi="Calibri" w:cs="Calibri"/>
                <w:b/>
                <w:color w:val="008000"/>
                <w:sz w:val="18"/>
                <w:szCs w:val="18"/>
              </w:rPr>
            </w:pPr>
            <w:r w:rsidRPr="000A03B0">
              <w:rPr>
                <w:rFonts w:ascii="Calibri" w:hAnsi="Calibri" w:cs="Calibri"/>
                <w:b/>
                <w:color w:val="008000"/>
                <w:sz w:val="18"/>
                <w:szCs w:val="18"/>
              </w:rPr>
              <w:t>-</w:t>
            </w:r>
            <w:r w:rsidRPr="000A03B0">
              <w:rPr>
                <w:rFonts w:ascii="Calibri" w:hAnsi="Calibri" w:cs="Calibri"/>
                <w:b/>
                <w:color w:val="008000"/>
                <w:sz w:val="18"/>
                <w:szCs w:val="18"/>
              </w:rPr>
              <w:tab/>
              <w:t>Option 2: Using static TAC/RANAC for mobile IAB when it moves. Involvement of SA2 may be needed</w:t>
            </w:r>
          </w:p>
        </w:tc>
      </w:tr>
    </w:tbl>
    <w:p w14:paraId="480C5E91" w14:textId="29436668" w:rsidR="002A529C" w:rsidRPr="0041589D" w:rsidRDefault="002A529C" w:rsidP="002A529C">
      <w:pPr>
        <w:rPr>
          <w:rFonts w:ascii="Times New Roman" w:hAnsi="Times New Roman"/>
          <w:lang w:val="en-GB"/>
        </w:rPr>
      </w:pPr>
      <w:r w:rsidRPr="0041589D">
        <w:rPr>
          <w:rFonts w:ascii="Times New Roman" w:hAnsi="Times New Roman"/>
          <w:lang w:val="en-GB"/>
        </w:rPr>
        <w:t>From UE point of view, both options can be well-supported by existing mechanisms</w:t>
      </w:r>
      <w:r w:rsidR="021B9F57" w:rsidRPr="32E3A275">
        <w:rPr>
          <w:rFonts w:ascii="Times New Roman" w:hAnsi="Times New Roman"/>
          <w:lang w:val="en-GB"/>
        </w:rPr>
        <w:t xml:space="preserve"> as UE simply provides an update message when it sees that the TAC has changed</w:t>
      </w:r>
      <w:r w:rsidRPr="0041589D">
        <w:rPr>
          <w:rFonts w:ascii="Times New Roman" w:hAnsi="Times New Roman"/>
          <w:lang w:val="en-GB"/>
        </w:rPr>
        <w:t>.</w:t>
      </w:r>
    </w:p>
    <w:p w14:paraId="3CADE1F6" w14:textId="57E98FD1" w:rsidR="6371644E" w:rsidRDefault="6371644E" w:rsidP="00AE2B89">
      <w:pPr>
        <w:pStyle w:val="Obs-prop"/>
      </w:pPr>
      <w:r>
        <w:t xml:space="preserve">Observation </w:t>
      </w:r>
      <w:r w:rsidR="102C3AAD">
        <w:t>2</w:t>
      </w:r>
      <w:r>
        <w:t xml:space="preserve">: </w:t>
      </w:r>
      <w:r w:rsidR="00E579D2">
        <w:t xml:space="preserve">RAN2 specifications support both options for TAC/RANAC for </w:t>
      </w:r>
      <w:proofErr w:type="spellStart"/>
      <w:r w:rsidR="00E579D2">
        <w:t>mIAB</w:t>
      </w:r>
      <w:proofErr w:type="spellEnd"/>
    </w:p>
    <w:p w14:paraId="1D94B965" w14:textId="1A142358" w:rsidR="002A529C" w:rsidRPr="0041589D" w:rsidRDefault="002A529C" w:rsidP="002A529C">
      <w:pPr>
        <w:rPr>
          <w:rFonts w:ascii="Times New Roman" w:hAnsi="Times New Roman"/>
          <w:lang w:val="en-GB"/>
        </w:rPr>
      </w:pPr>
      <w:r w:rsidRPr="0041589D">
        <w:rPr>
          <w:rFonts w:ascii="Times New Roman" w:hAnsi="Times New Roman"/>
          <w:lang w:val="en-GB"/>
        </w:rPr>
        <w:t xml:space="preserve">For Option </w:t>
      </w:r>
      <w:r w:rsidR="00703803">
        <w:rPr>
          <w:rFonts w:ascii="Times New Roman" w:hAnsi="Times New Roman"/>
          <w:lang w:val="en-GB"/>
        </w:rPr>
        <w:t>2</w:t>
      </w:r>
      <w:r w:rsidRPr="0041589D">
        <w:rPr>
          <w:rFonts w:ascii="Times New Roman" w:hAnsi="Times New Roman"/>
          <w:lang w:val="en-GB"/>
        </w:rPr>
        <w:t xml:space="preserve">, the network can use this unique TAC/RNA and send paging messages to the corresponding </w:t>
      </w:r>
      <w:proofErr w:type="gramStart"/>
      <w:r w:rsidRPr="0041589D">
        <w:rPr>
          <w:rFonts w:ascii="Times New Roman" w:hAnsi="Times New Roman"/>
          <w:lang w:val="en-GB"/>
        </w:rPr>
        <w:t>UEs</w:t>
      </w:r>
      <w:proofErr w:type="gramEnd"/>
      <w:r w:rsidRPr="0041589D">
        <w:rPr>
          <w:rFonts w:ascii="Times New Roman" w:hAnsi="Times New Roman"/>
          <w:lang w:val="en-GB"/>
        </w:rPr>
        <w:t xml:space="preserve"> and UE will not need to preform tracking area update while it is camped on the </w:t>
      </w:r>
      <w:proofErr w:type="spellStart"/>
      <w:r w:rsidRPr="0041589D">
        <w:rPr>
          <w:rFonts w:ascii="Times New Roman" w:hAnsi="Times New Roman"/>
          <w:lang w:val="en-GB"/>
        </w:rPr>
        <w:t>mIAB</w:t>
      </w:r>
      <w:proofErr w:type="spellEnd"/>
      <w:r w:rsidRPr="0041589D">
        <w:rPr>
          <w:rFonts w:ascii="Times New Roman" w:hAnsi="Times New Roman"/>
          <w:lang w:val="en-GB"/>
        </w:rPr>
        <w:t xml:space="preserve"> node. However</w:t>
      </w:r>
      <w:r w:rsidR="00703803">
        <w:rPr>
          <w:rFonts w:ascii="Times New Roman" w:hAnsi="Times New Roman"/>
          <w:lang w:val="en-GB"/>
        </w:rPr>
        <w:t>,</w:t>
      </w:r>
      <w:r w:rsidRPr="0041589D">
        <w:rPr>
          <w:rFonts w:ascii="Times New Roman" w:hAnsi="Times New Roman"/>
          <w:lang w:val="en-GB"/>
        </w:rPr>
        <w:t xml:space="preserve"> the consequences of mapping this unique TAC to different geographic area due to mobile IAB-node’s mobility should be studied in SA2. </w:t>
      </w:r>
    </w:p>
    <w:p w14:paraId="6D990D90" w14:textId="77777777" w:rsidR="002A529C" w:rsidRPr="0041589D" w:rsidRDefault="002A529C" w:rsidP="002A529C">
      <w:pPr>
        <w:rPr>
          <w:rFonts w:ascii="Times New Roman" w:hAnsi="Times New Roman"/>
          <w:lang w:val="en-GB"/>
        </w:rPr>
      </w:pPr>
      <w:r w:rsidRPr="0041589D">
        <w:rPr>
          <w:rFonts w:ascii="Times New Roman" w:hAnsi="Times New Roman"/>
          <w:lang w:val="en-GB"/>
        </w:rPr>
        <w:t xml:space="preserve">Since RNA is a subdivision of the TAC, its handling is dependent on the TAC design.  The design of RNA mapping to different geographic area can follow the same principle as TAC discussion in SA2. </w:t>
      </w:r>
    </w:p>
    <w:p w14:paraId="23AA3E28" w14:textId="363F1879" w:rsidR="002A529C" w:rsidRPr="0041589D" w:rsidRDefault="002A529C" w:rsidP="000925FC">
      <w:pPr>
        <w:pStyle w:val="Obs-prop"/>
        <w:rPr>
          <w:rFonts w:cs="Times New Roman"/>
        </w:rPr>
      </w:pPr>
      <w:r w:rsidRPr="4D2AB365">
        <w:rPr>
          <w:rFonts w:cs="Times New Roman"/>
        </w:rPr>
        <w:t>Observation</w:t>
      </w:r>
      <w:r w:rsidR="00BA1C9A" w:rsidRPr="4D2AB365">
        <w:rPr>
          <w:rFonts w:cs="Times New Roman"/>
        </w:rPr>
        <w:t xml:space="preserve"> </w:t>
      </w:r>
      <w:r w:rsidR="6C2EE585" w:rsidRPr="4D2AB365">
        <w:rPr>
          <w:rFonts w:cs="Times New Roman"/>
        </w:rPr>
        <w:t>3</w:t>
      </w:r>
      <w:r w:rsidRPr="4D2AB365">
        <w:rPr>
          <w:rFonts w:cs="Times New Roman"/>
        </w:rPr>
        <w:t xml:space="preserve">: How/whether to use a unique/unchanged TAC for a </w:t>
      </w:r>
      <w:proofErr w:type="spellStart"/>
      <w:r w:rsidRPr="4D2AB365">
        <w:rPr>
          <w:rFonts w:cs="Times New Roman"/>
        </w:rPr>
        <w:t>mIAB</w:t>
      </w:r>
      <w:proofErr w:type="spellEnd"/>
      <w:r w:rsidRPr="4D2AB365">
        <w:rPr>
          <w:rFonts w:cs="Times New Roman"/>
        </w:rPr>
        <w:t xml:space="preserve"> cell while moving in different geographic areas should be studied in SA2.</w:t>
      </w:r>
    </w:p>
    <w:p w14:paraId="551F4D49" w14:textId="43982E26" w:rsidR="002A529C" w:rsidRPr="0041589D" w:rsidRDefault="002A529C" w:rsidP="002A529C">
      <w:pPr>
        <w:rPr>
          <w:rFonts w:ascii="Times New Roman" w:hAnsi="Times New Roman"/>
          <w:lang w:val="en-GB"/>
        </w:rPr>
      </w:pPr>
      <w:r w:rsidRPr="0041589D">
        <w:rPr>
          <w:rFonts w:ascii="Times New Roman" w:hAnsi="Times New Roman"/>
          <w:lang w:val="en-GB"/>
        </w:rPr>
        <w:t xml:space="preserve">For Option </w:t>
      </w:r>
      <w:r w:rsidR="00703803">
        <w:rPr>
          <w:rFonts w:ascii="Times New Roman" w:hAnsi="Times New Roman"/>
          <w:lang w:val="en-GB"/>
        </w:rPr>
        <w:t>1</w:t>
      </w:r>
      <w:r w:rsidRPr="0041589D">
        <w:rPr>
          <w:rFonts w:ascii="Times New Roman" w:hAnsi="Times New Roman"/>
          <w:lang w:val="en-GB"/>
        </w:rPr>
        <w:t xml:space="preserve">, when the mobile IAB-node broadcasts the same TAC/RNA as its parent IAB-node or IAB-donor DU, for the UEs.  There are (at least) two areas to address.  One is about having to update the TAC/RNA in the SIB to match the TAC/RNA of the neighbouring cells while the </w:t>
      </w:r>
      <w:proofErr w:type="spellStart"/>
      <w:r w:rsidRPr="0041589D">
        <w:rPr>
          <w:rFonts w:ascii="Times New Roman" w:hAnsi="Times New Roman"/>
          <w:lang w:val="en-GB"/>
        </w:rPr>
        <w:t>mIAB</w:t>
      </w:r>
      <w:proofErr w:type="spellEnd"/>
      <w:r w:rsidRPr="0041589D">
        <w:rPr>
          <w:rFonts w:ascii="Times New Roman" w:hAnsi="Times New Roman"/>
          <w:lang w:val="en-GB"/>
        </w:rPr>
        <w:t xml:space="preserve"> node is moving around.  From </w:t>
      </w:r>
      <w:proofErr w:type="spellStart"/>
      <w:r w:rsidRPr="0041589D">
        <w:rPr>
          <w:rFonts w:ascii="Times New Roman" w:hAnsi="Times New Roman"/>
          <w:lang w:val="en-GB"/>
        </w:rPr>
        <w:t>Uu</w:t>
      </w:r>
      <w:proofErr w:type="spellEnd"/>
      <w:r w:rsidRPr="0041589D">
        <w:rPr>
          <w:rFonts w:ascii="Times New Roman" w:hAnsi="Times New Roman"/>
          <w:lang w:val="en-GB"/>
        </w:rPr>
        <w:t xml:space="preserve"> point of view, the frequent update of the TAC/RNA in SIB1 should not cause big problems.  RAN3/SA2 may need to evaluate how the neighbouring TAC/RNA information is updated in the </w:t>
      </w:r>
      <w:proofErr w:type="spellStart"/>
      <w:r w:rsidRPr="0041589D">
        <w:rPr>
          <w:rFonts w:ascii="Times New Roman" w:hAnsi="Times New Roman"/>
          <w:lang w:val="en-GB"/>
        </w:rPr>
        <w:t>mIAB</w:t>
      </w:r>
      <w:proofErr w:type="spellEnd"/>
      <w:r w:rsidRPr="0041589D">
        <w:rPr>
          <w:rFonts w:ascii="Times New Roman" w:hAnsi="Times New Roman"/>
          <w:lang w:val="en-GB"/>
        </w:rPr>
        <w:t xml:space="preserve"> node.  </w:t>
      </w:r>
    </w:p>
    <w:p w14:paraId="2CE4D1AC" w14:textId="560634E2" w:rsidR="002A529C" w:rsidRPr="0041589D" w:rsidRDefault="002A529C" w:rsidP="002A529C">
      <w:pPr>
        <w:rPr>
          <w:rFonts w:ascii="Times New Roman" w:hAnsi="Times New Roman"/>
          <w:lang w:val="en-GB"/>
        </w:rPr>
      </w:pPr>
      <w:r w:rsidRPr="0041589D">
        <w:rPr>
          <w:rFonts w:ascii="Times New Roman" w:hAnsi="Times New Roman"/>
          <w:lang w:val="en-GB"/>
        </w:rPr>
        <w:t xml:space="preserve">The other concern is that the group of UEs inside of mobile IAB-node may need to send tracking area update to the network at the same time, which may cause congestion. However, the same problem also occurs when considering </w:t>
      </w:r>
      <w:r w:rsidRPr="0041589D">
        <w:rPr>
          <w:rFonts w:ascii="Times New Roman" w:hAnsi="Times New Roman"/>
          <w:lang w:val="en-GB"/>
        </w:rPr>
        <w:lastRenderedPageBreak/>
        <w:t xml:space="preserve">massive number of UEs served by high-speed train </w:t>
      </w:r>
      <w:r w:rsidR="001837B3" w:rsidRPr="0041589D">
        <w:rPr>
          <w:rFonts w:ascii="Times New Roman" w:hAnsi="Times New Roman"/>
          <w:lang w:val="en-GB"/>
        </w:rPr>
        <w:t>performing</w:t>
      </w:r>
      <w:r w:rsidRPr="0041589D">
        <w:rPr>
          <w:rFonts w:ascii="Times New Roman" w:hAnsi="Times New Roman"/>
          <w:lang w:val="en-GB"/>
        </w:rPr>
        <w:t xml:space="preserve"> the tracking area</w:t>
      </w:r>
      <w:r w:rsidR="001837B3" w:rsidRPr="0041589D">
        <w:rPr>
          <w:rFonts w:ascii="Times New Roman" w:hAnsi="Times New Roman"/>
          <w:lang w:val="en-GB"/>
        </w:rPr>
        <w:t xml:space="preserve"> update</w:t>
      </w:r>
      <w:r w:rsidRPr="0041589D">
        <w:rPr>
          <w:rFonts w:ascii="Times New Roman" w:hAnsi="Times New Roman"/>
          <w:lang w:val="en-GB"/>
        </w:rPr>
        <w:t xml:space="preserve"> simultaneously when a train arrives at a station and passengers come out of the train. For such scenario, the existing congestion control mechanism can support it well without further optimization, regardless the frequency of changing tracking area or simultaneous messages of tracking area update. </w:t>
      </w:r>
    </w:p>
    <w:p w14:paraId="614C7964" w14:textId="2D9AA1BD" w:rsidR="002A529C" w:rsidRPr="0041589D" w:rsidRDefault="002A529C" w:rsidP="000925FC">
      <w:pPr>
        <w:pStyle w:val="Obs-prop"/>
        <w:rPr>
          <w:rFonts w:cs="Times New Roman"/>
        </w:rPr>
      </w:pPr>
      <w:r w:rsidRPr="4D2AB365">
        <w:rPr>
          <w:rFonts w:cs="Times New Roman"/>
        </w:rPr>
        <w:t>Observation</w:t>
      </w:r>
      <w:r w:rsidR="00BA1C9A" w:rsidRPr="4D2AB365">
        <w:rPr>
          <w:rFonts w:cs="Times New Roman"/>
        </w:rPr>
        <w:t xml:space="preserve"> </w:t>
      </w:r>
      <w:r w:rsidR="3DA82C2F" w:rsidRPr="4D2AB365">
        <w:rPr>
          <w:rFonts w:cs="Times New Roman"/>
        </w:rPr>
        <w:t>4</w:t>
      </w:r>
      <w:r w:rsidRPr="4D2AB365">
        <w:rPr>
          <w:rFonts w:cs="Times New Roman"/>
        </w:rPr>
        <w:t>: If mobile IAB-node broadcasts the same TAC/RNA as its parent IAB-node, the existing congestion control mechanism can well-support for frequent and large number of tracking area updates from group of served UEs.</w:t>
      </w:r>
    </w:p>
    <w:p w14:paraId="4DD9DD39" w14:textId="77777777" w:rsidR="002A529C" w:rsidRPr="0041589D" w:rsidRDefault="002A529C" w:rsidP="002A529C">
      <w:pPr>
        <w:rPr>
          <w:rFonts w:ascii="Times New Roman" w:hAnsi="Times New Roman"/>
          <w:lang w:val="en-GB"/>
        </w:rPr>
      </w:pPr>
      <w:r w:rsidRPr="0041589D">
        <w:rPr>
          <w:rFonts w:ascii="Times New Roman" w:hAnsi="Times New Roman"/>
          <w:lang w:val="en-GB"/>
        </w:rPr>
        <w:t>Therefore, from RAN2 point of view, both changed/unchanged TAC/RNA can be supported without further optimization. How to design TAC of the mobile IAB-node is a SA2/RAN3 decision.</w:t>
      </w:r>
    </w:p>
    <w:p w14:paraId="02DDC3BF" w14:textId="1F5809DC" w:rsidR="0041589D" w:rsidRPr="00281CAB" w:rsidRDefault="002A529C" w:rsidP="00281CAB">
      <w:pPr>
        <w:pStyle w:val="Obs-prop"/>
        <w:rPr>
          <w:rFonts w:cs="Times New Roman"/>
          <w:szCs w:val="20"/>
        </w:rPr>
      </w:pPr>
      <w:r w:rsidRPr="0041589D">
        <w:rPr>
          <w:rFonts w:cs="Times New Roman"/>
          <w:szCs w:val="20"/>
        </w:rPr>
        <w:t>Proposal</w:t>
      </w:r>
      <w:r w:rsidR="00BA1C9A">
        <w:rPr>
          <w:rFonts w:cs="Times New Roman"/>
          <w:szCs w:val="20"/>
        </w:rPr>
        <w:t xml:space="preserve"> 3</w:t>
      </w:r>
      <w:r w:rsidRPr="0041589D">
        <w:rPr>
          <w:rFonts w:cs="Times New Roman"/>
          <w:szCs w:val="20"/>
        </w:rPr>
        <w:t>: RAN2 to conclude that both changed and unchanged TAC/RNA of mobile IAB-node can be supported by existing mechanism</w:t>
      </w:r>
      <w:r w:rsidR="00E579D2">
        <w:rPr>
          <w:rFonts w:cs="Times New Roman"/>
          <w:szCs w:val="20"/>
        </w:rPr>
        <w:t xml:space="preserve"> in RAN2 specifications</w:t>
      </w:r>
      <w:r w:rsidRPr="0041589D">
        <w:rPr>
          <w:rFonts w:cs="Times New Roman"/>
          <w:szCs w:val="20"/>
        </w:rPr>
        <w:t>. How to design TAC of the mobile IAB-node is left to SA2/RAN3.</w:t>
      </w:r>
    </w:p>
    <w:p w14:paraId="2D3797AA" w14:textId="77777777" w:rsidR="00017FC6" w:rsidRPr="0041589D" w:rsidRDefault="00017FC6" w:rsidP="00017FC6">
      <w:pPr>
        <w:pStyle w:val="Heading1"/>
        <w:rPr>
          <w:rFonts w:ascii="Times New Roman" w:hAnsi="Times New Roman" w:cs="Times New Roman"/>
        </w:rPr>
      </w:pPr>
      <w:r w:rsidRPr="0041589D">
        <w:rPr>
          <w:rFonts w:ascii="Times New Roman" w:hAnsi="Times New Roman" w:cs="Times New Roman"/>
        </w:rPr>
        <w:t>Conclusion</w:t>
      </w:r>
    </w:p>
    <w:p w14:paraId="48C21BF1" w14:textId="00D7F9B6" w:rsidR="00025E78" w:rsidRPr="0041589D" w:rsidRDefault="00017FC6" w:rsidP="00025E78">
      <w:pPr>
        <w:rPr>
          <w:rFonts w:ascii="Times New Roman" w:hAnsi="Times New Roman"/>
        </w:rPr>
      </w:pPr>
      <w:r w:rsidRPr="0041589D">
        <w:rPr>
          <w:rFonts w:ascii="Times New Roman" w:hAnsi="Times New Roman"/>
        </w:rPr>
        <w:t xml:space="preserve">In this contribution, </w:t>
      </w:r>
      <w:r w:rsidR="00025E78" w:rsidRPr="0041589D">
        <w:rPr>
          <w:rFonts w:ascii="Times New Roman" w:hAnsi="Times New Roman"/>
        </w:rPr>
        <w:t>we mainly</w:t>
      </w:r>
      <w:r w:rsidR="00F53B17" w:rsidRPr="0041589D">
        <w:rPr>
          <w:rFonts w:ascii="Times New Roman" w:hAnsi="Times New Roman"/>
        </w:rPr>
        <w:t xml:space="preserve"> discussed </w:t>
      </w:r>
      <w:r w:rsidR="00B92BE0" w:rsidRPr="0041589D">
        <w:rPr>
          <w:rFonts w:ascii="Times New Roman" w:hAnsi="Times New Roman"/>
        </w:rPr>
        <w:t xml:space="preserve">RAN2 impacts of </w:t>
      </w:r>
      <w:r w:rsidR="00BA1C9A">
        <w:rPr>
          <w:rFonts w:ascii="Times New Roman" w:hAnsi="Times New Roman"/>
        </w:rPr>
        <w:t>PCI allocation and collision</w:t>
      </w:r>
      <w:r w:rsidR="00EC761E" w:rsidRPr="0041589D">
        <w:rPr>
          <w:rFonts w:ascii="Times New Roman" w:hAnsi="Times New Roman"/>
        </w:rPr>
        <w:t xml:space="preserve">. </w:t>
      </w:r>
      <w:r w:rsidR="00B92BE0" w:rsidRPr="0041589D">
        <w:rPr>
          <w:rFonts w:ascii="Times New Roman" w:hAnsi="Times New Roman"/>
        </w:rPr>
        <w:t xml:space="preserve">Additionally, we also discussed </w:t>
      </w:r>
      <w:r w:rsidR="00782745">
        <w:rPr>
          <w:rFonts w:ascii="Times New Roman" w:hAnsi="Times New Roman"/>
        </w:rPr>
        <w:t>TAC/RANAC update RAN2 impact</w:t>
      </w:r>
      <w:r w:rsidR="001E1C89" w:rsidRPr="0041589D">
        <w:rPr>
          <w:rFonts w:ascii="Times New Roman" w:hAnsi="Times New Roman"/>
        </w:rPr>
        <w:t>.</w:t>
      </w:r>
      <w:r w:rsidR="00782745">
        <w:rPr>
          <w:rFonts w:ascii="Times New Roman" w:hAnsi="Times New Roman"/>
        </w:rPr>
        <w:t xml:space="preserve"> </w:t>
      </w:r>
    </w:p>
    <w:p w14:paraId="29F86272" w14:textId="3CD84A56" w:rsidR="00742A32" w:rsidRDefault="00742A32" w:rsidP="00742A32">
      <w:pPr>
        <w:rPr>
          <w:rFonts w:ascii="Times New Roman" w:hAnsi="Times New Roman"/>
        </w:rPr>
      </w:pPr>
      <w:r w:rsidRPr="0041589D">
        <w:rPr>
          <w:rFonts w:ascii="Times New Roman" w:hAnsi="Times New Roman"/>
        </w:rPr>
        <w:t>We propose following observations and proposals:</w:t>
      </w:r>
    </w:p>
    <w:p w14:paraId="39F614DC" w14:textId="672CB5F8" w:rsidR="00782745" w:rsidRPr="0041589D" w:rsidRDefault="00782745" w:rsidP="00742A32">
      <w:pPr>
        <w:rPr>
          <w:rFonts w:ascii="Times New Roman" w:hAnsi="Times New Roman"/>
        </w:rPr>
      </w:pPr>
      <w:r w:rsidRPr="00782745">
        <w:rPr>
          <w:rFonts w:ascii="Times New Roman" w:hAnsi="Times New Roman"/>
          <w:highlight w:val="yellow"/>
        </w:rPr>
        <w:t>PCI</w:t>
      </w:r>
    </w:p>
    <w:p w14:paraId="0B2F0561" w14:textId="77777777" w:rsidR="00326C68" w:rsidRDefault="00326C68" w:rsidP="00326C68">
      <w:pPr>
        <w:pStyle w:val="Obs-prop"/>
      </w:pPr>
      <w:r w:rsidRPr="7B1BA71F">
        <w:t>Observation</w:t>
      </w:r>
      <w:r>
        <w:t xml:space="preserve"> 1</w:t>
      </w:r>
      <w:r w:rsidRPr="7B1BA71F">
        <w:t>: Two PCIs are required for the two cells of the two logical DUs during the full migration to allow HO between the two cells.</w:t>
      </w:r>
      <w:r>
        <w:t xml:space="preserve">  No other mechanism is necessary.</w:t>
      </w:r>
    </w:p>
    <w:p w14:paraId="28960530" w14:textId="77777777" w:rsidR="00326C68" w:rsidRDefault="00326C68" w:rsidP="00326C68">
      <w:pPr>
        <w:pStyle w:val="Obs-prop"/>
        <w:rPr>
          <w:rFonts w:cs="Times New Roman"/>
          <w:szCs w:val="20"/>
        </w:rPr>
      </w:pPr>
      <w:r w:rsidRPr="00537C78">
        <w:rPr>
          <w:rFonts w:cs="Times New Roman"/>
          <w:szCs w:val="20"/>
        </w:rPr>
        <w:t>Proposal</w:t>
      </w:r>
      <w:r>
        <w:rPr>
          <w:rFonts w:cs="Times New Roman"/>
          <w:szCs w:val="20"/>
        </w:rPr>
        <w:t xml:space="preserve"> 1</w:t>
      </w:r>
      <w:r w:rsidRPr="00537C78">
        <w:rPr>
          <w:rFonts w:cs="Times New Roman"/>
          <w:szCs w:val="20"/>
        </w:rPr>
        <w:t xml:space="preserve">: Two PCIs </w:t>
      </w:r>
      <w:r>
        <w:rPr>
          <w:rFonts w:cs="Times New Roman"/>
          <w:szCs w:val="20"/>
        </w:rPr>
        <w:t xml:space="preserve">are </w:t>
      </w:r>
      <w:r w:rsidRPr="00537C78">
        <w:rPr>
          <w:rFonts w:cs="Times New Roman"/>
          <w:szCs w:val="20"/>
        </w:rPr>
        <w:t xml:space="preserve">reserved to mobile IAB-node </w:t>
      </w:r>
      <w:r>
        <w:rPr>
          <w:rFonts w:cs="Times New Roman"/>
          <w:szCs w:val="20"/>
        </w:rPr>
        <w:t>by OAM during PCI space partitioning and switch between two logical DUs during full migration.</w:t>
      </w:r>
    </w:p>
    <w:p w14:paraId="1E51D2B0" w14:textId="77777777" w:rsidR="00326C68" w:rsidRPr="0041589D" w:rsidRDefault="00326C68" w:rsidP="00326C68">
      <w:pPr>
        <w:pStyle w:val="Obs-prop"/>
        <w:rPr>
          <w:rFonts w:cs="Times New Roman"/>
          <w:szCs w:val="20"/>
        </w:rPr>
      </w:pPr>
      <w:r w:rsidRPr="0041589D">
        <w:rPr>
          <w:rFonts w:cs="Times New Roman"/>
          <w:szCs w:val="20"/>
        </w:rPr>
        <w:t>Proposal</w:t>
      </w:r>
      <w:r>
        <w:rPr>
          <w:rFonts w:cs="Times New Roman"/>
          <w:szCs w:val="20"/>
        </w:rPr>
        <w:t xml:space="preserve"> 2</w:t>
      </w:r>
      <w:r w:rsidRPr="0041589D">
        <w:rPr>
          <w:rFonts w:cs="Times New Roman"/>
          <w:szCs w:val="20"/>
        </w:rPr>
        <w:t xml:space="preserve">: Current ANR procedure is sufficient for PCI collision detection for </w:t>
      </w:r>
      <w:proofErr w:type="spellStart"/>
      <w:r w:rsidRPr="0041589D">
        <w:rPr>
          <w:rFonts w:cs="Times New Roman"/>
          <w:szCs w:val="20"/>
        </w:rPr>
        <w:t>mIAB</w:t>
      </w:r>
      <w:proofErr w:type="spellEnd"/>
      <w:r w:rsidRPr="0041589D">
        <w:rPr>
          <w:rFonts w:cs="Times New Roman"/>
          <w:szCs w:val="20"/>
        </w:rPr>
        <w:t>.</w:t>
      </w:r>
      <w:r>
        <w:rPr>
          <w:rFonts w:cs="Times New Roman"/>
          <w:szCs w:val="20"/>
        </w:rPr>
        <w:t xml:space="preserve"> No need to introduce new UE reporting to improve PCI collision detection.</w:t>
      </w:r>
    </w:p>
    <w:p w14:paraId="6DF4140A" w14:textId="707A8D92" w:rsidR="00782745" w:rsidRPr="0041589D" w:rsidRDefault="6C247419" w:rsidP="00326C68">
      <w:pPr>
        <w:pStyle w:val="Obs-prop"/>
      </w:pPr>
      <w:r w:rsidRPr="4D2AB365">
        <w:rPr>
          <w:highlight w:val="yellow"/>
        </w:rPr>
        <w:t>TAC/RANAC</w:t>
      </w:r>
      <w:r w:rsidRPr="4D2AB365">
        <w:rPr>
          <w:rFonts w:cs="Times New Roman"/>
        </w:rPr>
        <w:t xml:space="preserve"> </w:t>
      </w:r>
    </w:p>
    <w:p w14:paraId="5B79D600" w14:textId="77777777" w:rsidR="00326C68" w:rsidRDefault="00326C68" w:rsidP="00326C68">
      <w:pPr>
        <w:pStyle w:val="Obs-prop"/>
      </w:pPr>
      <w:r>
        <w:t xml:space="preserve">Observation 2: RAN2 specifications support both options for TAC/RANAC for </w:t>
      </w:r>
      <w:proofErr w:type="spellStart"/>
      <w:r>
        <w:t>mIAB</w:t>
      </w:r>
      <w:proofErr w:type="spellEnd"/>
    </w:p>
    <w:p w14:paraId="16705A88" w14:textId="77777777" w:rsidR="00326C68" w:rsidRPr="0041589D" w:rsidRDefault="00326C68" w:rsidP="00326C68">
      <w:pPr>
        <w:pStyle w:val="Obs-prop"/>
        <w:rPr>
          <w:rFonts w:cs="Times New Roman"/>
        </w:rPr>
      </w:pPr>
      <w:r w:rsidRPr="4D2AB365">
        <w:rPr>
          <w:rFonts w:cs="Times New Roman"/>
        </w:rPr>
        <w:t xml:space="preserve">Observation 3: How/whether to use a unique/unchanged TAC for a </w:t>
      </w:r>
      <w:proofErr w:type="spellStart"/>
      <w:r w:rsidRPr="4D2AB365">
        <w:rPr>
          <w:rFonts w:cs="Times New Roman"/>
        </w:rPr>
        <w:t>mIAB</w:t>
      </w:r>
      <w:proofErr w:type="spellEnd"/>
      <w:r w:rsidRPr="4D2AB365">
        <w:rPr>
          <w:rFonts w:cs="Times New Roman"/>
        </w:rPr>
        <w:t xml:space="preserve"> cell while moving in different geographic areas should be studied in SA2.</w:t>
      </w:r>
    </w:p>
    <w:p w14:paraId="6BCA1674" w14:textId="77777777" w:rsidR="00326C68" w:rsidRPr="0041589D" w:rsidRDefault="00326C68" w:rsidP="00326C68">
      <w:pPr>
        <w:pStyle w:val="Obs-prop"/>
        <w:rPr>
          <w:rFonts w:cs="Times New Roman"/>
        </w:rPr>
      </w:pPr>
      <w:r w:rsidRPr="4D2AB365">
        <w:rPr>
          <w:rFonts w:cs="Times New Roman"/>
        </w:rPr>
        <w:t>Observation 4: If mobile IAB-node broadcasts the same TAC/RNA as its parent IAB-node, the existing congestion control mechanism can well-support for frequent and large number of tracking area updates from group of served UEs.</w:t>
      </w:r>
    </w:p>
    <w:p w14:paraId="55FF62C1" w14:textId="22628DEC" w:rsidR="00BD68EE" w:rsidRPr="00326C68" w:rsidRDefault="00326C68" w:rsidP="00326C68">
      <w:pPr>
        <w:pStyle w:val="Obs-prop"/>
        <w:rPr>
          <w:rFonts w:cs="Times New Roman"/>
          <w:szCs w:val="20"/>
        </w:rPr>
      </w:pPr>
      <w:r w:rsidRPr="0041589D">
        <w:rPr>
          <w:rFonts w:cs="Times New Roman"/>
          <w:szCs w:val="20"/>
        </w:rPr>
        <w:t>Proposal</w:t>
      </w:r>
      <w:r>
        <w:rPr>
          <w:rFonts w:cs="Times New Roman"/>
          <w:szCs w:val="20"/>
        </w:rPr>
        <w:t xml:space="preserve"> 3</w:t>
      </w:r>
      <w:r w:rsidRPr="0041589D">
        <w:rPr>
          <w:rFonts w:cs="Times New Roman"/>
          <w:szCs w:val="20"/>
        </w:rPr>
        <w:t>: RAN2 to conclude that both changed and unchanged TAC/RNA of mobile IAB-node can be supported by existing mechanism</w:t>
      </w:r>
      <w:r>
        <w:rPr>
          <w:rFonts w:cs="Times New Roman"/>
          <w:szCs w:val="20"/>
        </w:rPr>
        <w:t xml:space="preserve"> in RAN2 specifications</w:t>
      </w:r>
      <w:r w:rsidRPr="0041589D">
        <w:rPr>
          <w:rFonts w:cs="Times New Roman"/>
          <w:szCs w:val="20"/>
        </w:rPr>
        <w:t>. How to design TAC of the mobile IAB-node is left to SA2/RAN3.</w:t>
      </w:r>
    </w:p>
    <w:p w14:paraId="0F50A711" w14:textId="77777777" w:rsidR="00017FC6" w:rsidRPr="0041589D" w:rsidRDefault="00017FC6" w:rsidP="00017FC6">
      <w:pPr>
        <w:pStyle w:val="Heading1"/>
        <w:rPr>
          <w:rFonts w:ascii="Times New Roman" w:hAnsi="Times New Roman" w:cs="Times New Roman"/>
        </w:rPr>
      </w:pPr>
      <w:r w:rsidRPr="0041589D">
        <w:rPr>
          <w:rFonts w:ascii="Times New Roman" w:hAnsi="Times New Roman" w:cs="Times New Roman"/>
        </w:rPr>
        <w:t>References</w:t>
      </w:r>
    </w:p>
    <w:p w14:paraId="6AA2EB11" w14:textId="138B6A14" w:rsidR="006D4B70" w:rsidRPr="0041589D" w:rsidRDefault="006D4B70" w:rsidP="006D4B70">
      <w:pPr>
        <w:ind w:left="360"/>
        <w:rPr>
          <w:rFonts w:ascii="Times New Roman" w:hAnsi="Times New Roman"/>
          <w:lang w:eastAsia="zh-CN"/>
        </w:rPr>
      </w:pPr>
    </w:p>
    <w:p w14:paraId="6DDA6BC8" w14:textId="1ABA61BF" w:rsidR="005D76C4" w:rsidRDefault="005D76C4" w:rsidP="00EC761E">
      <w:pPr>
        <w:ind w:left="360"/>
        <w:rPr>
          <w:rFonts w:ascii="Times New Roman" w:hAnsi="Times New Roman"/>
        </w:rPr>
      </w:pPr>
    </w:p>
    <w:p w14:paraId="64994C40" w14:textId="77777777" w:rsidR="0041589D" w:rsidRPr="0041589D" w:rsidRDefault="0041589D" w:rsidP="00EC761E">
      <w:pPr>
        <w:ind w:left="360"/>
        <w:rPr>
          <w:rFonts w:ascii="Times New Roman" w:hAnsi="Times New Roman"/>
        </w:rPr>
      </w:pPr>
    </w:p>
    <w:sectPr w:rsidR="0041589D" w:rsidRPr="004158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6263" w14:textId="77777777" w:rsidR="00082BA9" w:rsidRDefault="00082BA9" w:rsidP="00094E6A">
      <w:pPr>
        <w:spacing w:after="0"/>
      </w:pPr>
      <w:r>
        <w:separator/>
      </w:r>
    </w:p>
  </w:endnote>
  <w:endnote w:type="continuationSeparator" w:id="0">
    <w:p w14:paraId="52C39F26" w14:textId="77777777" w:rsidR="00082BA9" w:rsidRDefault="00082BA9" w:rsidP="00094E6A">
      <w:pPr>
        <w:spacing w:after="0"/>
      </w:pPr>
      <w:r>
        <w:continuationSeparator/>
      </w:r>
    </w:p>
  </w:endnote>
  <w:endnote w:type="continuationNotice" w:id="1">
    <w:p w14:paraId="3DD1BB55" w14:textId="77777777" w:rsidR="00082BA9" w:rsidRDefault="00082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nSymbol10">
    <w:altName w:val="Cambria"/>
    <w:charset w:val="00"/>
    <w:family w:val="roman"/>
    <w:pitch w:val="default"/>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56103" w14:textId="77777777" w:rsidR="00082BA9" w:rsidRDefault="00082BA9" w:rsidP="00094E6A">
      <w:pPr>
        <w:spacing w:after="0"/>
      </w:pPr>
      <w:r>
        <w:separator/>
      </w:r>
    </w:p>
  </w:footnote>
  <w:footnote w:type="continuationSeparator" w:id="0">
    <w:p w14:paraId="7E16ADEF" w14:textId="77777777" w:rsidR="00082BA9" w:rsidRDefault="00082BA9" w:rsidP="00094E6A">
      <w:pPr>
        <w:spacing w:after="0"/>
      </w:pPr>
      <w:r>
        <w:continuationSeparator/>
      </w:r>
    </w:p>
  </w:footnote>
  <w:footnote w:type="continuationNotice" w:id="1">
    <w:p w14:paraId="092BD954" w14:textId="77777777" w:rsidR="00082BA9" w:rsidRDefault="00082B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7E3D99"/>
    <w:multiLevelType w:val="hybridMultilevel"/>
    <w:tmpl w:val="6CC66C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162D2F"/>
    <w:multiLevelType w:val="multilevel"/>
    <w:tmpl w:val="16A4029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3">
      <w:start w:val="1"/>
      <w:numFmt w:val="decimal"/>
      <w:pStyle w:val="Heading4"/>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61FC553B"/>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D12EA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6C322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6"/>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num>
  <w:num w:numId="9">
    <w:abstractNumId w:val="9"/>
  </w:num>
  <w:num w:numId="10">
    <w:abstractNumId w:val="5"/>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FC6"/>
    <w:rsid w:val="00001460"/>
    <w:rsid w:val="00001929"/>
    <w:rsid w:val="00001C9B"/>
    <w:rsid w:val="0000299A"/>
    <w:rsid w:val="00002BB7"/>
    <w:rsid w:val="00002D70"/>
    <w:rsid w:val="000039FD"/>
    <w:rsid w:val="0000423A"/>
    <w:rsid w:val="0001154F"/>
    <w:rsid w:val="0001190B"/>
    <w:rsid w:val="000129ED"/>
    <w:rsid w:val="00013BEF"/>
    <w:rsid w:val="00015A3B"/>
    <w:rsid w:val="00016354"/>
    <w:rsid w:val="00016EDE"/>
    <w:rsid w:val="00017FC6"/>
    <w:rsid w:val="00021810"/>
    <w:rsid w:val="0002231B"/>
    <w:rsid w:val="00022440"/>
    <w:rsid w:val="00025E78"/>
    <w:rsid w:val="000267DC"/>
    <w:rsid w:val="00031AC3"/>
    <w:rsid w:val="000322AF"/>
    <w:rsid w:val="000323E2"/>
    <w:rsid w:val="00033397"/>
    <w:rsid w:val="00034E71"/>
    <w:rsid w:val="000369AD"/>
    <w:rsid w:val="00036DA9"/>
    <w:rsid w:val="000372FF"/>
    <w:rsid w:val="00042A0F"/>
    <w:rsid w:val="000433AF"/>
    <w:rsid w:val="000440C5"/>
    <w:rsid w:val="000454F8"/>
    <w:rsid w:val="0004594A"/>
    <w:rsid w:val="00045DFE"/>
    <w:rsid w:val="00045EBF"/>
    <w:rsid w:val="00050865"/>
    <w:rsid w:val="00051AF7"/>
    <w:rsid w:val="0005226F"/>
    <w:rsid w:val="000540CD"/>
    <w:rsid w:val="0005516D"/>
    <w:rsid w:val="0005751E"/>
    <w:rsid w:val="0006201C"/>
    <w:rsid w:val="00062A9B"/>
    <w:rsid w:val="000637E1"/>
    <w:rsid w:val="0006619D"/>
    <w:rsid w:val="00070265"/>
    <w:rsid w:val="00071180"/>
    <w:rsid w:val="00072091"/>
    <w:rsid w:val="000731E0"/>
    <w:rsid w:val="000743FB"/>
    <w:rsid w:val="00081B91"/>
    <w:rsid w:val="00082BA9"/>
    <w:rsid w:val="0008391E"/>
    <w:rsid w:val="00083DC4"/>
    <w:rsid w:val="000909E2"/>
    <w:rsid w:val="000915D2"/>
    <w:rsid w:val="00091753"/>
    <w:rsid w:val="000925FC"/>
    <w:rsid w:val="00092C77"/>
    <w:rsid w:val="00093AEA"/>
    <w:rsid w:val="00093DDA"/>
    <w:rsid w:val="00094E6A"/>
    <w:rsid w:val="000963FA"/>
    <w:rsid w:val="00096E8F"/>
    <w:rsid w:val="000A1A97"/>
    <w:rsid w:val="000A1AAC"/>
    <w:rsid w:val="000A1E37"/>
    <w:rsid w:val="000A5E63"/>
    <w:rsid w:val="000B011B"/>
    <w:rsid w:val="000B0966"/>
    <w:rsid w:val="000B0C79"/>
    <w:rsid w:val="000B1312"/>
    <w:rsid w:val="000B1D8B"/>
    <w:rsid w:val="000B1EAD"/>
    <w:rsid w:val="000B27B8"/>
    <w:rsid w:val="000B5316"/>
    <w:rsid w:val="000C093F"/>
    <w:rsid w:val="000C1A5A"/>
    <w:rsid w:val="000C1E8A"/>
    <w:rsid w:val="000C3449"/>
    <w:rsid w:val="000C5CEA"/>
    <w:rsid w:val="000D072A"/>
    <w:rsid w:val="000D1C01"/>
    <w:rsid w:val="000D200B"/>
    <w:rsid w:val="000D5D40"/>
    <w:rsid w:val="000D63A3"/>
    <w:rsid w:val="000E1B51"/>
    <w:rsid w:val="000E26AF"/>
    <w:rsid w:val="000E27D8"/>
    <w:rsid w:val="000E3249"/>
    <w:rsid w:val="000E4EB9"/>
    <w:rsid w:val="000E5529"/>
    <w:rsid w:val="000E64BC"/>
    <w:rsid w:val="000E6774"/>
    <w:rsid w:val="000E67A7"/>
    <w:rsid w:val="000E6A0E"/>
    <w:rsid w:val="000E6D8D"/>
    <w:rsid w:val="000E7B9F"/>
    <w:rsid w:val="000E7CFE"/>
    <w:rsid w:val="000E7EC8"/>
    <w:rsid w:val="000F025C"/>
    <w:rsid w:val="000F0285"/>
    <w:rsid w:val="000F1CC0"/>
    <w:rsid w:val="000F554F"/>
    <w:rsid w:val="000F61D8"/>
    <w:rsid w:val="000F6492"/>
    <w:rsid w:val="000F68ED"/>
    <w:rsid w:val="001007F2"/>
    <w:rsid w:val="00105565"/>
    <w:rsid w:val="00107221"/>
    <w:rsid w:val="001108E5"/>
    <w:rsid w:val="00110D3A"/>
    <w:rsid w:val="001113CE"/>
    <w:rsid w:val="0011395D"/>
    <w:rsid w:val="001146ED"/>
    <w:rsid w:val="0011560A"/>
    <w:rsid w:val="0011783D"/>
    <w:rsid w:val="00120860"/>
    <w:rsid w:val="00122AE5"/>
    <w:rsid w:val="001231C6"/>
    <w:rsid w:val="00124176"/>
    <w:rsid w:val="0012599F"/>
    <w:rsid w:val="00126823"/>
    <w:rsid w:val="00130F66"/>
    <w:rsid w:val="00131C86"/>
    <w:rsid w:val="001333FC"/>
    <w:rsid w:val="0013453C"/>
    <w:rsid w:val="00134EA6"/>
    <w:rsid w:val="00135456"/>
    <w:rsid w:val="00140CA5"/>
    <w:rsid w:val="00142BE9"/>
    <w:rsid w:val="00142E31"/>
    <w:rsid w:val="00145799"/>
    <w:rsid w:val="00145E00"/>
    <w:rsid w:val="00147C10"/>
    <w:rsid w:val="00150047"/>
    <w:rsid w:val="00151876"/>
    <w:rsid w:val="0015354F"/>
    <w:rsid w:val="0015378F"/>
    <w:rsid w:val="001568B8"/>
    <w:rsid w:val="00156F7F"/>
    <w:rsid w:val="00162003"/>
    <w:rsid w:val="00163423"/>
    <w:rsid w:val="00174FBA"/>
    <w:rsid w:val="001837B3"/>
    <w:rsid w:val="00184007"/>
    <w:rsid w:val="00184C7E"/>
    <w:rsid w:val="001862EA"/>
    <w:rsid w:val="00186323"/>
    <w:rsid w:val="00186720"/>
    <w:rsid w:val="001937AD"/>
    <w:rsid w:val="00193B20"/>
    <w:rsid w:val="001954A1"/>
    <w:rsid w:val="0019598E"/>
    <w:rsid w:val="00197910"/>
    <w:rsid w:val="001A1D21"/>
    <w:rsid w:val="001A49F8"/>
    <w:rsid w:val="001A521C"/>
    <w:rsid w:val="001A6617"/>
    <w:rsid w:val="001A73D8"/>
    <w:rsid w:val="001A7C23"/>
    <w:rsid w:val="001B39BE"/>
    <w:rsid w:val="001B5AAE"/>
    <w:rsid w:val="001B6DBD"/>
    <w:rsid w:val="001B6E09"/>
    <w:rsid w:val="001B7083"/>
    <w:rsid w:val="001B79E5"/>
    <w:rsid w:val="001B7B05"/>
    <w:rsid w:val="001C09F8"/>
    <w:rsid w:val="001C1772"/>
    <w:rsid w:val="001C2736"/>
    <w:rsid w:val="001C2AED"/>
    <w:rsid w:val="001C2DC3"/>
    <w:rsid w:val="001C5455"/>
    <w:rsid w:val="001C549A"/>
    <w:rsid w:val="001C584C"/>
    <w:rsid w:val="001C5A7B"/>
    <w:rsid w:val="001C6AE1"/>
    <w:rsid w:val="001D1AEA"/>
    <w:rsid w:val="001D3B75"/>
    <w:rsid w:val="001D7F04"/>
    <w:rsid w:val="001E0022"/>
    <w:rsid w:val="001E068E"/>
    <w:rsid w:val="001E1262"/>
    <w:rsid w:val="001E1C89"/>
    <w:rsid w:val="001E3D76"/>
    <w:rsid w:val="001E4950"/>
    <w:rsid w:val="001E72DC"/>
    <w:rsid w:val="001E7FD6"/>
    <w:rsid w:val="001E7FF8"/>
    <w:rsid w:val="001F0239"/>
    <w:rsid w:val="001F076C"/>
    <w:rsid w:val="001F3CA5"/>
    <w:rsid w:val="001F4821"/>
    <w:rsid w:val="001F5999"/>
    <w:rsid w:val="001F6AA8"/>
    <w:rsid w:val="002139AC"/>
    <w:rsid w:val="00214CE4"/>
    <w:rsid w:val="00217172"/>
    <w:rsid w:val="00220E7A"/>
    <w:rsid w:val="002261B9"/>
    <w:rsid w:val="002276E6"/>
    <w:rsid w:val="002301C1"/>
    <w:rsid w:val="00231CD7"/>
    <w:rsid w:val="002324E4"/>
    <w:rsid w:val="00233447"/>
    <w:rsid w:val="002334A8"/>
    <w:rsid w:val="00234D63"/>
    <w:rsid w:val="00240625"/>
    <w:rsid w:val="00243288"/>
    <w:rsid w:val="0024497F"/>
    <w:rsid w:val="002457C7"/>
    <w:rsid w:val="00246360"/>
    <w:rsid w:val="00250481"/>
    <w:rsid w:val="0025124A"/>
    <w:rsid w:val="002515C6"/>
    <w:rsid w:val="00251CD6"/>
    <w:rsid w:val="002536D2"/>
    <w:rsid w:val="0025638B"/>
    <w:rsid w:val="00260415"/>
    <w:rsid w:val="00260A56"/>
    <w:rsid w:val="00261638"/>
    <w:rsid w:val="0026318E"/>
    <w:rsid w:val="0026374D"/>
    <w:rsid w:val="00265614"/>
    <w:rsid w:val="002704C4"/>
    <w:rsid w:val="00271484"/>
    <w:rsid w:val="0027381B"/>
    <w:rsid w:val="00273FDC"/>
    <w:rsid w:val="002747D8"/>
    <w:rsid w:val="0027565E"/>
    <w:rsid w:val="00275FB5"/>
    <w:rsid w:val="00277D72"/>
    <w:rsid w:val="00281386"/>
    <w:rsid w:val="00281CAB"/>
    <w:rsid w:val="00282C89"/>
    <w:rsid w:val="00286265"/>
    <w:rsid w:val="00286AC4"/>
    <w:rsid w:val="00287FAD"/>
    <w:rsid w:val="00290485"/>
    <w:rsid w:val="002910E5"/>
    <w:rsid w:val="00291236"/>
    <w:rsid w:val="0029271C"/>
    <w:rsid w:val="002965DC"/>
    <w:rsid w:val="00296878"/>
    <w:rsid w:val="002A2752"/>
    <w:rsid w:val="002A37AD"/>
    <w:rsid w:val="002A529C"/>
    <w:rsid w:val="002A6D02"/>
    <w:rsid w:val="002A6F06"/>
    <w:rsid w:val="002A758F"/>
    <w:rsid w:val="002A7DDB"/>
    <w:rsid w:val="002B026E"/>
    <w:rsid w:val="002B03B0"/>
    <w:rsid w:val="002B1FC8"/>
    <w:rsid w:val="002B20FB"/>
    <w:rsid w:val="002C0213"/>
    <w:rsid w:val="002C052F"/>
    <w:rsid w:val="002C12E0"/>
    <w:rsid w:val="002C3663"/>
    <w:rsid w:val="002C3775"/>
    <w:rsid w:val="002C4959"/>
    <w:rsid w:val="002D0291"/>
    <w:rsid w:val="002D03D8"/>
    <w:rsid w:val="002D1C28"/>
    <w:rsid w:val="002D2AC3"/>
    <w:rsid w:val="002D5359"/>
    <w:rsid w:val="002D6000"/>
    <w:rsid w:val="002E1863"/>
    <w:rsid w:val="002E191F"/>
    <w:rsid w:val="002E42D9"/>
    <w:rsid w:val="002E4581"/>
    <w:rsid w:val="002E5E41"/>
    <w:rsid w:val="002E6251"/>
    <w:rsid w:val="002F025F"/>
    <w:rsid w:val="002F0712"/>
    <w:rsid w:val="002F0DD0"/>
    <w:rsid w:val="002F4A2E"/>
    <w:rsid w:val="002F5AC8"/>
    <w:rsid w:val="002F61ED"/>
    <w:rsid w:val="003016F2"/>
    <w:rsid w:val="003048A1"/>
    <w:rsid w:val="003059EA"/>
    <w:rsid w:val="00305D0D"/>
    <w:rsid w:val="00306837"/>
    <w:rsid w:val="00314E24"/>
    <w:rsid w:val="00315F5E"/>
    <w:rsid w:val="0031603E"/>
    <w:rsid w:val="00316DCF"/>
    <w:rsid w:val="00320A63"/>
    <w:rsid w:val="00321AEB"/>
    <w:rsid w:val="00321D8E"/>
    <w:rsid w:val="00322633"/>
    <w:rsid w:val="00326C68"/>
    <w:rsid w:val="0033172F"/>
    <w:rsid w:val="00332FB7"/>
    <w:rsid w:val="003336E3"/>
    <w:rsid w:val="00335DA8"/>
    <w:rsid w:val="003400EF"/>
    <w:rsid w:val="00340810"/>
    <w:rsid w:val="00342593"/>
    <w:rsid w:val="00343182"/>
    <w:rsid w:val="003431D3"/>
    <w:rsid w:val="003437A1"/>
    <w:rsid w:val="00351A86"/>
    <w:rsid w:val="00354ED3"/>
    <w:rsid w:val="00355A05"/>
    <w:rsid w:val="0035644D"/>
    <w:rsid w:val="00356F99"/>
    <w:rsid w:val="003575D1"/>
    <w:rsid w:val="0036060B"/>
    <w:rsid w:val="003635D8"/>
    <w:rsid w:val="00364EFA"/>
    <w:rsid w:val="00364FCB"/>
    <w:rsid w:val="00367278"/>
    <w:rsid w:val="00367905"/>
    <w:rsid w:val="003725EA"/>
    <w:rsid w:val="00372F00"/>
    <w:rsid w:val="003739AA"/>
    <w:rsid w:val="00380A31"/>
    <w:rsid w:val="00381E59"/>
    <w:rsid w:val="003825DB"/>
    <w:rsid w:val="00382804"/>
    <w:rsid w:val="003835CA"/>
    <w:rsid w:val="0038379B"/>
    <w:rsid w:val="00384AC5"/>
    <w:rsid w:val="00386BC0"/>
    <w:rsid w:val="00386E50"/>
    <w:rsid w:val="0038739E"/>
    <w:rsid w:val="00387F4C"/>
    <w:rsid w:val="00390051"/>
    <w:rsid w:val="00390D8D"/>
    <w:rsid w:val="00391933"/>
    <w:rsid w:val="00391F57"/>
    <w:rsid w:val="00392F35"/>
    <w:rsid w:val="00393CD6"/>
    <w:rsid w:val="003952AD"/>
    <w:rsid w:val="00395663"/>
    <w:rsid w:val="00395A26"/>
    <w:rsid w:val="00395CCE"/>
    <w:rsid w:val="003A09C2"/>
    <w:rsid w:val="003A2A50"/>
    <w:rsid w:val="003A421C"/>
    <w:rsid w:val="003A5064"/>
    <w:rsid w:val="003A6DB4"/>
    <w:rsid w:val="003B2BD1"/>
    <w:rsid w:val="003B2C3B"/>
    <w:rsid w:val="003B325B"/>
    <w:rsid w:val="003B7F0A"/>
    <w:rsid w:val="003C09E9"/>
    <w:rsid w:val="003C0EC2"/>
    <w:rsid w:val="003C181B"/>
    <w:rsid w:val="003C19E9"/>
    <w:rsid w:val="003C238D"/>
    <w:rsid w:val="003C2E5D"/>
    <w:rsid w:val="003C37C2"/>
    <w:rsid w:val="003C41F5"/>
    <w:rsid w:val="003C47B4"/>
    <w:rsid w:val="003C4CD0"/>
    <w:rsid w:val="003C525E"/>
    <w:rsid w:val="003D1FD4"/>
    <w:rsid w:val="003D234B"/>
    <w:rsid w:val="003D407B"/>
    <w:rsid w:val="003D6112"/>
    <w:rsid w:val="003D6E99"/>
    <w:rsid w:val="003E1866"/>
    <w:rsid w:val="003E1E7C"/>
    <w:rsid w:val="003E38AE"/>
    <w:rsid w:val="003E4B41"/>
    <w:rsid w:val="003E4CD7"/>
    <w:rsid w:val="003E55E1"/>
    <w:rsid w:val="003E5B9A"/>
    <w:rsid w:val="003E686B"/>
    <w:rsid w:val="003E6A42"/>
    <w:rsid w:val="003F1323"/>
    <w:rsid w:val="003F14C0"/>
    <w:rsid w:val="003F1C8B"/>
    <w:rsid w:val="003F1D46"/>
    <w:rsid w:val="003F2355"/>
    <w:rsid w:val="003F403B"/>
    <w:rsid w:val="003F54EF"/>
    <w:rsid w:val="003F7E5F"/>
    <w:rsid w:val="00405E3A"/>
    <w:rsid w:val="00406113"/>
    <w:rsid w:val="004072BC"/>
    <w:rsid w:val="00410D30"/>
    <w:rsid w:val="0041140F"/>
    <w:rsid w:val="00411539"/>
    <w:rsid w:val="004119A7"/>
    <w:rsid w:val="00413B74"/>
    <w:rsid w:val="00415020"/>
    <w:rsid w:val="00415051"/>
    <w:rsid w:val="0041589D"/>
    <w:rsid w:val="00417021"/>
    <w:rsid w:val="004170DD"/>
    <w:rsid w:val="00421775"/>
    <w:rsid w:val="0042264A"/>
    <w:rsid w:val="00422658"/>
    <w:rsid w:val="00422993"/>
    <w:rsid w:val="00422DEB"/>
    <w:rsid w:val="00426AFA"/>
    <w:rsid w:val="00437C40"/>
    <w:rsid w:val="00440D96"/>
    <w:rsid w:val="00451783"/>
    <w:rsid w:val="0045335C"/>
    <w:rsid w:val="00455536"/>
    <w:rsid w:val="00455685"/>
    <w:rsid w:val="004611C5"/>
    <w:rsid w:val="004618CB"/>
    <w:rsid w:val="004619FD"/>
    <w:rsid w:val="004623CB"/>
    <w:rsid w:val="00464537"/>
    <w:rsid w:val="004652DF"/>
    <w:rsid w:val="00465367"/>
    <w:rsid w:val="004653EF"/>
    <w:rsid w:val="00466781"/>
    <w:rsid w:val="00467EA3"/>
    <w:rsid w:val="0047176C"/>
    <w:rsid w:val="00472742"/>
    <w:rsid w:val="00472E32"/>
    <w:rsid w:val="00473AEE"/>
    <w:rsid w:val="00473C6F"/>
    <w:rsid w:val="00474A69"/>
    <w:rsid w:val="00474BFB"/>
    <w:rsid w:val="00475DF6"/>
    <w:rsid w:val="00476171"/>
    <w:rsid w:val="004774FC"/>
    <w:rsid w:val="0047789F"/>
    <w:rsid w:val="00477A66"/>
    <w:rsid w:val="004801A3"/>
    <w:rsid w:val="004807F9"/>
    <w:rsid w:val="00485952"/>
    <w:rsid w:val="00486655"/>
    <w:rsid w:val="00486AAF"/>
    <w:rsid w:val="00486B15"/>
    <w:rsid w:val="004968E5"/>
    <w:rsid w:val="004A0145"/>
    <w:rsid w:val="004A09EB"/>
    <w:rsid w:val="004A1BE8"/>
    <w:rsid w:val="004A468B"/>
    <w:rsid w:val="004B0B6F"/>
    <w:rsid w:val="004B2DA7"/>
    <w:rsid w:val="004B4A6A"/>
    <w:rsid w:val="004C08AF"/>
    <w:rsid w:val="004D1D29"/>
    <w:rsid w:val="004D2936"/>
    <w:rsid w:val="004D3B8A"/>
    <w:rsid w:val="004D40FC"/>
    <w:rsid w:val="004D4666"/>
    <w:rsid w:val="004D48CC"/>
    <w:rsid w:val="004D498D"/>
    <w:rsid w:val="004D7DD6"/>
    <w:rsid w:val="004E16C4"/>
    <w:rsid w:val="004E26DA"/>
    <w:rsid w:val="004E3812"/>
    <w:rsid w:val="004E5848"/>
    <w:rsid w:val="004E701D"/>
    <w:rsid w:val="004E73C4"/>
    <w:rsid w:val="004F0020"/>
    <w:rsid w:val="004F3EC0"/>
    <w:rsid w:val="004F454B"/>
    <w:rsid w:val="004F53BC"/>
    <w:rsid w:val="00500C66"/>
    <w:rsid w:val="00500E1A"/>
    <w:rsid w:val="00500E52"/>
    <w:rsid w:val="0050104F"/>
    <w:rsid w:val="00501486"/>
    <w:rsid w:val="0050401C"/>
    <w:rsid w:val="005044A4"/>
    <w:rsid w:val="005077CD"/>
    <w:rsid w:val="005106C5"/>
    <w:rsid w:val="00510911"/>
    <w:rsid w:val="00510E98"/>
    <w:rsid w:val="0051222D"/>
    <w:rsid w:val="00512342"/>
    <w:rsid w:val="005136DD"/>
    <w:rsid w:val="00514118"/>
    <w:rsid w:val="0051607E"/>
    <w:rsid w:val="005202B5"/>
    <w:rsid w:val="00520A1B"/>
    <w:rsid w:val="00523194"/>
    <w:rsid w:val="00523F0C"/>
    <w:rsid w:val="0052551B"/>
    <w:rsid w:val="00526756"/>
    <w:rsid w:val="00530BC7"/>
    <w:rsid w:val="00531301"/>
    <w:rsid w:val="00533599"/>
    <w:rsid w:val="00537C78"/>
    <w:rsid w:val="00540226"/>
    <w:rsid w:val="00545DC2"/>
    <w:rsid w:val="005514EB"/>
    <w:rsid w:val="00555DC7"/>
    <w:rsid w:val="00556060"/>
    <w:rsid w:val="00560413"/>
    <w:rsid w:val="00560659"/>
    <w:rsid w:val="00563A54"/>
    <w:rsid w:val="00565494"/>
    <w:rsid w:val="00570682"/>
    <w:rsid w:val="00570F0E"/>
    <w:rsid w:val="005734A3"/>
    <w:rsid w:val="0057398F"/>
    <w:rsid w:val="005755FE"/>
    <w:rsid w:val="005761BE"/>
    <w:rsid w:val="00577B7B"/>
    <w:rsid w:val="00580060"/>
    <w:rsid w:val="0058626B"/>
    <w:rsid w:val="005872A5"/>
    <w:rsid w:val="00590913"/>
    <w:rsid w:val="0059097D"/>
    <w:rsid w:val="005924B0"/>
    <w:rsid w:val="005954A7"/>
    <w:rsid w:val="00597D90"/>
    <w:rsid w:val="00597EED"/>
    <w:rsid w:val="005A05BA"/>
    <w:rsid w:val="005A0EA8"/>
    <w:rsid w:val="005A19EF"/>
    <w:rsid w:val="005A2D06"/>
    <w:rsid w:val="005A4BE0"/>
    <w:rsid w:val="005B03C4"/>
    <w:rsid w:val="005B11D9"/>
    <w:rsid w:val="005B16B2"/>
    <w:rsid w:val="005B40AF"/>
    <w:rsid w:val="005B511E"/>
    <w:rsid w:val="005B711C"/>
    <w:rsid w:val="005B7C32"/>
    <w:rsid w:val="005C07A1"/>
    <w:rsid w:val="005C0923"/>
    <w:rsid w:val="005C19A1"/>
    <w:rsid w:val="005C1BAF"/>
    <w:rsid w:val="005C1F2C"/>
    <w:rsid w:val="005C3054"/>
    <w:rsid w:val="005C4BD2"/>
    <w:rsid w:val="005C69F2"/>
    <w:rsid w:val="005D1E1C"/>
    <w:rsid w:val="005D2345"/>
    <w:rsid w:val="005D5111"/>
    <w:rsid w:val="005D5F93"/>
    <w:rsid w:val="005D6184"/>
    <w:rsid w:val="005D76C4"/>
    <w:rsid w:val="005D7FBF"/>
    <w:rsid w:val="005D7FE0"/>
    <w:rsid w:val="005E0922"/>
    <w:rsid w:val="005E6A9D"/>
    <w:rsid w:val="005F2435"/>
    <w:rsid w:val="005F2BCD"/>
    <w:rsid w:val="005F3439"/>
    <w:rsid w:val="005F4434"/>
    <w:rsid w:val="005F667B"/>
    <w:rsid w:val="0060073E"/>
    <w:rsid w:val="00601A39"/>
    <w:rsid w:val="00603C1E"/>
    <w:rsid w:val="00605D52"/>
    <w:rsid w:val="00610307"/>
    <w:rsid w:val="00610EFC"/>
    <w:rsid w:val="00611404"/>
    <w:rsid w:val="00612085"/>
    <w:rsid w:val="006125E0"/>
    <w:rsid w:val="00612DD2"/>
    <w:rsid w:val="00612FF2"/>
    <w:rsid w:val="006131CE"/>
    <w:rsid w:val="00613522"/>
    <w:rsid w:val="00613DEB"/>
    <w:rsid w:val="00615EE9"/>
    <w:rsid w:val="006164C6"/>
    <w:rsid w:val="006212B4"/>
    <w:rsid w:val="0062151C"/>
    <w:rsid w:val="006219B0"/>
    <w:rsid w:val="00622A00"/>
    <w:rsid w:val="00623648"/>
    <w:rsid w:val="00625A27"/>
    <w:rsid w:val="00630C16"/>
    <w:rsid w:val="006313C4"/>
    <w:rsid w:val="006354D8"/>
    <w:rsid w:val="00635FE0"/>
    <w:rsid w:val="00636714"/>
    <w:rsid w:val="00637E90"/>
    <w:rsid w:val="006429D5"/>
    <w:rsid w:val="00647494"/>
    <w:rsid w:val="00647681"/>
    <w:rsid w:val="0065126D"/>
    <w:rsid w:val="0065359A"/>
    <w:rsid w:val="00653BF3"/>
    <w:rsid w:val="006560BB"/>
    <w:rsid w:val="0065697B"/>
    <w:rsid w:val="006602B1"/>
    <w:rsid w:val="00661F15"/>
    <w:rsid w:val="00662255"/>
    <w:rsid w:val="006628BB"/>
    <w:rsid w:val="006643A1"/>
    <w:rsid w:val="00664B64"/>
    <w:rsid w:val="00667574"/>
    <w:rsid w:val="00672D94"/>
    <w:rsid w:val="00673A47"/>
    <w:rsid w:val="006766D0"/>
    <w:rsid w:val="00680031"/>
    <w:rsid w:val="00680F66"/>
    <w:rsid w:val="006815CF"/>
    <w:rsid w:val="006817C8"/>
    <w:rsid w:val="0068454D"/>
    <w:rsid w:val="00684D85"/>
    <w:rsid w:val="00684F76"/>
    <w:rsid w:val="006859F2"/>
    <w:rsid w:val="00694AD6"/>
    <w:rsid w:val="0069544D"/>
    <w:rsid w:val="00696BA6"/>
    <w:rsid w:val="00696DA4"/>
    <w:rsid w:val="00696F62"/>
    <w:rsid w:val="0069749F"/>
    <w:rsid w:val="006A0DB9"/>
    <w:rsid w:val="006A5AB5"/>
    <w:rsid w:val="006A7575"/>
    <w:rsid w:val="006A7EC3"/>
    <w:rsid w:val="006B24C6"/>
    <w:rsid w:val="006B33EA"/>
    <w:rsid w:val="006B559F"/>
    <w:rsid w:val="006C0EF1"/>
    <w:rsid w:val="006C1668"/>
    <w:rsid w:val="006C1721"/>
    <w:rsid w:val="006C22C6"/>
    <w:rsid w:val="006C33E5"/>
    <w:rsid w:val="006C4EF1"/>
    <w:rsid w:val="006C523C"/>
    <w:rsid w:val="006C6265"/>
    <w:rsid w:val="006C6A65"/>
    <w:rsid w:val="006D098C"/>
    <w:rsid w:val="006D0CE1"/>
    <w:rsid w:val="006D2D54"/>
    <w:rsid w:val="006D4B70"/>
    <w:rsid w:val="006D5A48"/>
    <w:rsid w:val="006D5BAE"/>
    <w:rsid w:val="006D670B"/>
    <w:rsid w:val="006E0786"/>
    <w:rsid w:val="006E137D"/>
    <w:rsid w:val="006E355B"/>
    <w:rsid w:val="006E4590"/>
    <w:rsid w:val="006E48F6"/>
    <w:rsid w:val="006E579F"/>
    <w:rsid w:val="006E73A1"/>
    <w:rsid w:val="006F3AA1"/>
    <w:rsid w:val="006F47FD"/>
    <w:rsid w:val="006F5FDF"/>
    <w:rsid w:val="006F6806"/>
    <w:rsid w:val="007025D9"/>
    <w:rsid w:val="00703803"/>
    <w:rsid w:val="00703FBB"/>
    <w:rsid w:val="00705D68"/>
    <w:rsid w:val="00706415"/>
    <w:rsid w:val="00712C96"/>
    <w:rsid w:val="00715FD0"/>
    <w:rsid w:val="007164D4"/>
    <w:rsid w:val="00717223"/>
    <w:rsid w:val="00722A1B"/>
    <w:rsid w:val="00723A48"/>
    <w:rsid w:val="00724240"/>
    <w:rsid w:val="00725C57"/>
    <w:rsid w:val="00726BEF"/>
    <w:rsid w:val="007315F5"/>
    <w:rsid w:val="00734181"/>
    <w:rsid w:val="007347A2"/>
    <w:rsid w:val="00735DC6"/>
    <w:rsid w:val="00735E7D"/>
    <w:rsid w:val="00740AD5"/>
    <w:rsid w:val="00741B14"/>
    <w:rsid w:val="00741D44"/>
    <w:rsid w:val="00742A32"/>
    <w:rsid w:val="00745C47"/>
    <w:rsid w:val="0075551F"/>
    <w:rsid w:val="0075621B"/>
    <w:rsid w:val="007576C0"/>
    <w:rsid w:val="007577AE"/>
    <w:rsid w:val="00760968"/>
    <w:rsid w:val="007616F6"/>
    <w:rsid w:val="00761A80"/>
    <w:rsid w:val="007628E7"/>
    <w:rsid w:val="00762EFD"/>
    <w:rsid w:val="00763D4B"/>
    <w:rsid w:val="00764AFB"/>
    <w:rsid w:val="00765BCB"/>
    <w:rsid w:val="00767C23"/>
    <w:rsid w:val="007707C0"/>
    <w:rsid w:val="00770FBB"/>
    <w:rsid w:val="00771B45"/>
    <w:rsid w:val="007728E8"/>
    <w:rsid w:val="00776EAF"/>
    <w:rsid w:val="00777364"/>
    <w:rsid w:val="00780C4A"/>
    <w:rsid w:val="00780E7A"/>
    <w:rsid w:val="00782745"/>
    <w:rsid w:val="00782755"/>
    <w:rsid w:val="00782B86"/>
    <w:rsid w:val="00783B9F"/>
    <w:rsid w:val="00784FF3"/>
    <w:rsid w:val="007851DB"/>
    <w:rsid w:val="007853FB"/>
    <w:rsid w:val="00790F33"/>
    <w:rsid w:val="007A0D03"/>
    <w:rsid w:val="007A1E24"/>
    <w:rsid w:val="007A7EE2"/>
    <w:rsid w:val="007B0DA0"/>
    <w:rsid w:val="007B1DD4"/>
    <w:rsid w:val="007B44F1"/>
    <w:rsid w:val="007B54A0"/>
    <w:rsid w:val="007B5EDD"/>
    <w:rsid w:val="007C1D0B"/>
    <w:rsid w:val="007D02AF"/>
    <w:rsid w:val="007D42C4"/>
    <w:rsid w:val="007D5B85"/>
    <w:rsid w:val="007D67DD"/>
    <w:rsid w:val="007D6FE6"/>
    <w:rsid w:val="007D7FCD"/>
    <w:rsid w:val="007E0385"/>
    <w:rsid w:val="007E03C5"/>
    <w:rsid w:val="007E1218"/>
    <w:rsid w:val="007F34FB"/>
    <w:rsid w:val="007F3803"/>
    <w:rsid w:val="007F5C11"/>
    <w:rsid w:val="007F7F4E"/>
    <w:rsid w:val="007F7FD3"/>
    <w:rsid w:val="0080059D"/>
    <w:rsid w:val="008009A0"/>
    <w:rsid w:val="00800F96"/>
    <w:rsid w:val="00810E12"/>
    <w:rsid w:val="00811985"/>
    <w:rsid w:val="00815B83"/>
    <w:rsid w:val="00815FF5"/>
    <w:rsid w:val="00816F54"/>
    <w:rsid w:val="00817161"/>
    <w:rsid w:val="00822454"/>
    <w:rsid w:val="00823821"/>
    <w:rsid w:val="00825015"/>
    <w:rsid w:val="00825547"/>
    <w:rsid w:val="008274DC"/>
    <w:rsid w:val="00830BE8"/>
    <w:rsid w:val="008316B5"/>
    <w:rsid w:val="00832A36"/>
    <w:rsid w:val="00833D5B"/>
    <w:rsid w:val="0083441D"/>
    <w:rsid w:val="00835230"/>
    <w:rsid w:val="00840E3B"/>
    <w:rsid w:val="008413B5"/>
    <w:rsid w:val="0084253B"/>
    <w:rsid w:val="008435F1"/>
    <w:rsid w:val="008447AC"/>
    <w:rsid w:val="00845F72"/>
    <w:rsid w:val="0084678F"/>
    <w:rsid w:val="008472B9"/>
    <w:rsid w:val="008472D4"/>
    <w:rsid w:val="00851B93"/>
    <w:rsid w:val="0085323A"/>
    <w:rsid w:val="00856377"/>
    <w:rsid w:val="00856F48"/>
    <w:rsid w:val="008578C8"/>
    <w:rsid w:val="0086012D"/>
    <w:rsid w:val="0086047A"/>
    <w:rsid w:val="00860CE4"/>
    <w:rsid w:val="00866D02"/>
    <w:rsid w:val="00867473"/>
    <w:rsid w:val="00867ED2"/>
    <w:rsid w:val="00867F3C"/>
    <w:rsid w:val="00872CF6"/>
    <w:rsid w:val="008747D1"/>
    <w:rsid w:val="008752FB"/>
    <w:rsid w:val="0087790A"/>
    <w:rsid w:val="0088046A"/>
    <w:rsid w:val="00880E15"/>
    <w:rsid w:val="00881A0C"/>
    <w:rsid w:val="00882DFB"/>
    <w:rsid w:val="008846EA"/>
    <w:rsid w:val="008865AA"/>
    <w:rsid w:val="008872A3"/>
    <w:rsid w:val="008879FE"/>
    <w:rsid w:val="00893377"/>
    <w:rsid w:val="008962A6"/>
    <w:rsid w:val="008968E3"/>
    <w:rsid w:val="0089724D"/>
    <w:rsid w:val="008A1084"/>
    <w:rsid w:val="008A1A69"/>
    <w:rsid w:val="008A1B76"/>
    <w:rsid w:val="008A30D2"/>
    <w:rsid w:val="008A4AC4"/>
    <w:rsid w:val="008A62CB"/>
    <w:rsid w:val="008B0F44"/>
    <w:rsid w:val="008B4517"/>
    <w:rsid w:val="008B5486"/>
    <w:rsid w:val="008B6A65"/>
    <w:rsid w:val="008C072C"/>
    <w:rsid w:val="008C11CF"/>
    <w:rsid w:val="008C14E3"/>
    <w:rsid w:val="008C47ED"/>
    <w:rsid w:val="008C7E23"/>
    <w:rsid w:val="008D1D22"/>
    <w:rsid w:val="008D31C9"/>
    <w:rsid w:val="008D3D6D"/>
    <w:rsid w:val="008D74E7"/>
    <w:rsid w:val="008D7E2E"/>
    <w:rsid w:val="008E3741"/>
    <w:rsid w:val="008E45D0"/>
    <w:rsid w:val="008E48E6"/>
    <w:rsid w:val="008E4B7B"/>
    <w:rsid w:val="008E7DBC"/>
    <w:rsid w:val="008F2B60"/>
    <w:rsid w:val="008F3123"/>
    <w:rsid w:val="008F3E11"/>
    <w:rsid w:val="008F5F32"/>
    <w:rsid w:val="008F6940"/>
    <w:rsid w:val="008F7319"/>
    <w:rsid w:val="008F77CE"/>
    <w:rsid w:val="009023D8"/>
    <w:rsid w:val="00903E64"/>
    <w:rsid w:val="00904555"/>
    <w:rsid w:val="009063E0"/>
    <w:rsid w:val="0090687F"/>
    <w:rsid w:val="009077AF"/>
    <w:rsid w:val="00912C62"/>
    <w:rsid w:val="00912C70"/>
    <w:rsid w:val="009133E8"/>
    <w:rsid w:val="00913E38"/>
    <w:rsid w:val="0091404A"/>
    <w:rsid w:val="0091512D"/>
    <w:rsid w:val="00915EE4"/>
    <w:rsid w:val="009160FE"/>
    <w:rsid w:val="009161EF"/>
    <w:rsid w:val="00916895"/>
    <w:rsid w:val="00923D14"/>
    <w:rsid w:val="00924765"/>
    <w:rsid w:val="009254E5"/>
    <w:rsid w:val="00925607"/>
    <w:rsid w:val="00925DF7"/>
    <w:rsid w:val="009333DA"/>
    <w:rsid w:val="009350DC"/>
    <w:rsid w:val="00936B35"/>
    <w:rsid w:val="009373C4"/>
    <w:rsid w:val="00942556"/>
    <w:rsid w:val="009432C4"/>
    <w:rsid w:val="00945F09"/>
    <w:rsid w:val="009559E7"/>
    <w:rsid w:val="00956CBC"/>
    <w:rsid w:val="00964DF5"/>
    <w:rsid w:val="00965826"/>
    <w:rsid w:val="00967247"/>
    <w:rsid w:val="00971012"/>
    <w:rsid w:val="00972591"/>
    <w:rsid w:val="00974144"/>
    <w:rsid w:val="00974BEE"/>
    <w:rsid w:val="009834FF"/>
    <w:rsid w:val="00985306"/>
    <w:rsid w:val="00986912"/>
    <w:rsid w:val="009879C1"/>
    <w:rsid w:val="0099250A"/>
    <w:rsid w:val="00994770"/>
    <w:rsid w:val="00994C60"/>
    <w:rsid w:val="009975A1"/>
    <w:rsid w:val="009A0710"/>
    <w:rsid w:val="009A07E7"/>
    <w:rsid w:val="009A3362"/>
    <w:rsid w:val="009A6057"/>
    <w:rsid w:val="009A62F1"/>
    <w:rsid w:val="009B71C8"/>
    <w:rsid w:val="009C132D"/>
    <w:rsid w:val="009C3E8C"/>
    <w:rsid w:val="009C42F3"/>
    <w:rsid w:val="009C4A97"/>
    <w:rsid w:val="009C5AEE"/>
    <w:rsid w:val="009D0C41"/>
    <w:rsid w:val="009D2E8C"/>
    <w:rsid w:val="009D3C99"/>
    <w:rsid w:val="009D5E72"/>
    <w:rsid w:val="009D75C9"/>
    <w:rsid w:val="009D7F6E"/>
    <w:rsid w:val="009E0772"/>
    <w:rsid w:val="009E0959"/>
    <w:rsid w:val="009E1115"/>
    <w:rsid w:val="009E76C0"/>
    <w:rsid w:val="009E78D1"/>
    <w:rsid w:val="009F0D25"/>
    <w:rsid w:val="009F1FF2"/>
    <w:rsid w:val="009F3EBF"/>
    <w:rsid w:val="009F4E6D"/>
    <w:rsid w:val="009F5F9B"/>
    <w:rsid w:val="009F658D"/>
    <w:rsid w:val="00A0173E"/>
    <w:rsid w:val="00A02780"/>
    <w:rsid w:val="00A07319"/>
    <w:rsid w:val="00A1071C"/>
    <w:rsid w:val="00A130E5"/>
    <w:rsid w:val="00A1CACA"/>
    <w:rsid w:val="00A2062A"/>
    <w:rsid w:val="00A21AA0"/>
    <w:rsid w:val="00A2203B"/>
    <w:rsid w:val="00A222B7"/>
    <w:rsid w:val="00A22FA8"/>
    <w:rsid w:val="00A244C9"/>
    <w:rsid w:val="00A329A7"/>
    <w:rsid w:val="00A344F4"/>
    <w:rsid w:val="00A3620A"/>
    <w:rsid w:val="00A4128A"/>
    <w:rsid w:val="00A41DF2"/>
    <w:rsid w:val="00A425A5"/>
    <w:rsid w:val="00A42DEB"/>
    <w:rsid w:val="00A42EE5"/>
    <w:rsid w:val="00A4391F"/>
    <w:rsid w:val="00A44767"/>
    <w:rsid w:val="00A4669F"/>
    <w:rsid w:val="00A52FE6"/>
    <w:rsid w:val="00A53D98"/>
    <w:rsid w:val="00A55EA5"/>
    <w:rsid w:val="00A56731"/>
    <w:rsid w:val="00A57266"/>
    <w:rsid w:val="00A61057"/>
    <w:rsid w:val="00A61D00"/>
    <w:rsid w:val="00A62168"/>
    <w:rsid w:val="00A63392"/>
    <w:rsid w:val="00A6535B"/>
    <w:rsid w:val="00A662B5"/>
    <w:rsid w:val="00A67190"/>
    <w:rsid w:val="00A67CAA"/>
    <w:rsid w:val="00A72237"/>
    <w:rsid w:val="00A726B1"/>
    <w:rsid w:val="00A72B09"/>
    <w:rsid w:val="00A740CC"/>
    <w:rsid w:val="00A76CE5"/>
    <w:rsid w:val="00A804FD"/>
    <w:rsid w:val="00A82210"/>
    <w:rsid w:val="00A82211"/>
    <w:rsid w:val="00A825E8"/>
    <w:rsid w:val="00A931B8"/>
    <w:rsid w:val="00A93F3D"/>
    <w:rsid w:val="00A94344"/>
    <w:rsid w:val="00A9449D"/>
    <w:rsid w:val="00A960A3"/>
    <w:rsid w:val="00A97033"/>
    <w:rsid w:val="00A97B29"/>
    <w:rsid w:val="00A97C33"/>
    <w:rsid w:val="00AA047C"/>
    <w:rsid w:val="00AA0830"/>
    <w:rsid w:val="00AA16C7"/>
    <w:rsid w:val="00AA24FB"/>
    <w:rsid w:val="00AA5CB1"/>
    <w:rsid w:val="00AA7EBB"/>
    <w:rsid w:val="00AB34B5"/>
    <w:rsid w:val="00AB5DCB"/>
    <w:rsid w:val="00AC1B02"/>
    <w:rsid w:val="00AC2240"/>
    <w:rsid w:val="00AC6147"/>
    <w:rsid w:val="00AC690C"/>
    <w:rsid w:val="00AC747C"/>
    <w:rsid w:val="00AC761D"/>
    <w:rsid w:val="00AD18FC"/>
    <w:rsid w:val="00AD2430"/>
    <w:rsid w:val="00AD2769"/>
    <w:rsid w:val="00AD2D1E"/>
    <w:rsid w:val="00AD32BA"/>
    <w:rsid w:val="00AD3A3A"/>
    <w:rsid w:val="00AD6ABE"/>
    <w:rsid w:val="00AD7411"/>
    <w:rsid w:val="00AD7483"/>
    <w:rsid w:val="00AE13B9"/>
    <w:rsid w:val="00AE18A3"/>
    <w:rsid w:val="00AE1AD9"/>
    <w:rsid w:val="00AE2B89"/>
    <w:rsid w:val="00AE346D"/>
    <w:rsid w:val="00AE414A"/>
    <w:rsid w:val="00AE4547"/>
    <w:rsid w:val="00AE4CF5"/>
    <w:rsid w:val="00AE6A24"/>
    <w:rsid w:val="00AF17AE"/>
    <w:rsid w:val="00AF5CBA"/>
    <w:rsid w:val="00AF63E3"/>
    <w:rsid w:val="00B044A7"/>
    <w:rsid w:val="00B06B54"/>
    <w:rsid w:val="00B07087"/>
    <w:rsid w:val="00B07CA7"/>
    <w:rsid w:val="00B1325B"/>
    <w:rsid w:val="00B13C46"/>
    <w:rsid w:val="00B13EA0"/>
    <w:rsid w:val="00B1685C"/>
    <w:rsid w:val="00B16AC4"/>
    <w:rsid w:val="00B16B0E"/>
    <w:rsid w:val="00B176BC"/>
    <w:rsid w:val="00B20BC5"/>
    <w:rsid w:val="00B23FC8"/>
    <w:rsid w:val="00B26EC8"/>
    <w:rsid w:val="00B30084"/>
    <w:rsid w:val="00B30BB4"/>
    <w:rsid w:val="00B31C0C"/>
    <w:rsid w:val="00B3201F"/>
    <w:rsid w:val="00B32959"/>
    <w:rsid w:val="00B332AC"/>
    <w:rsid w:val="00B36A44"/>
    <w:rsid w:val="00B43794"/>
    <w:rsid w:val="00B46170"/>
    <w:rsid w:val="00B479FD"/>
    <w:rsid w:val="00B542F0"/>
    <w:rsid w:val="00B5525C"/>
    <w:rsid w:val="00B55889"/>
    <w:rsid w:val="00B65013"/>
    <w:rsid w:val="00B65220"/>
    <w:rsid w:val="00B65274"/>
    <w:rsid w:val="00B65362"/>
    <w:rsid w:val="00B657EB"/>
    <w:rsid w:val="00B66F3B"/>
    <w:rsid w:val="00B670B9"/>
    <w:rsid w:val="00B67AA0"/>
    <w:rsid w:val="00B70B44"/>
    <w:rsid w:val="00B7150B"/>
    <w:rsid w:val="00B73B25"/>
    <w:rsid w:val="00B74643"/>
    <w:rsid w:val="00B776EF"/>
    <w:rsid w:val="00B80A16"/>
    <w:rsid w:val="00B83A76"/>
    <w:rsid w:val="00B8492D"/>
    <w:rsid w:val="00B84E13"/>
    <w:rsid w:val="00B85CBB"/>
    <w:rsid w:val="00B92BE0"/>
    <w:rsid w:val="00B94E60"/>
    <w:rsid w:val="00B96B20"/>
    <w:rsid w:val="00BA03BA"/>
    <w:rsid w:val="00BA0E11"/>
    <w:rsid w:val="00BA12AA"/>
    <w:rsid w:val="00BA147C"/>
    <w:rsid w:val="00BA1900"/>
    <w:rsid w:val="00BA1C9A"/>
    <w:rsid w:val="00BA1D4D"/>
    <w:rsid w:val="00BA312C"/>
    <w:rsid w:val="00BB4F9E"/>
    <w:rsid w:val="00BB7401"/>
    <w:rsid w:val="00BC074F"/>
    <w:rsid w:val="00BC1A3B"/>
    <w:rsid w:val="00BC1B6D"/>
    <w:rsid w:val="00BC4253"/>
    <w:rsid w:val="00BC47D7"/>
    <w:rsid w:val="00BC58E5"/>
    <w:rsid w:val="00BC5BCE"/>
    <w:rsid w:val="00BC748C"/>
    <w:rsid w:val="00BC7699"/>
    <w:rsid w:val="00BD3394"/>
    <w:rsid w:val="00BD36F8"/>
    <w:rsid w:val="00BD68EE"/>
    <w:rsid w:val="00BD715C"/>
    <w:rsid w:val="00BE0DD1"/>
    <w:rsid w:val="00BE0FE5"/>
    <w:rsid w:val="00BE60E3"/>
    <w:rsid w:val="00BE73B2"/>
    <w:rsid w:val="00BF0DD0"/>
    <w:rsid w:val="00BF32B5"/>
    <w:rsid w:val="00BF352E"/>
    <w:rsid w:val="00BF7313"/>
    <w:rsid w:val="00BF7403"/>
    <w:rsid w:val="00C00FE3"/>
    <w:rsid w:val="00C028BD"/>
    <w:rsid w:val="00C05987"/>
    <w:rsid w:val="00C072AB"/>
    <w:rsid w:val="00C07551"/>
    <w:rsid w:val="00C07D07"/>
    <w:rsid w:val="00C11430"/>
    <w:rsid w:val="00C133E6"/>
    <w:rsid w:val="00C21771"/>
    <w:rsid w:val="00C21A6D"/>
    <w:rsid w:val="00C22B79"/>
    <w:rsid w:val="00C22C5A"/>
    <w:rsid w:val="00C23396"/>
    <w:rsid w:val="00C23AA1"/>
    <w:rsid w:val="00C24900"/>
    <w:rsid w:val="00C25404"/>
    <w:rsid w:val="00C2749E"/>
    <w:rsid w:val="00C31FA5"/>
    <w:rsid w:val="00C33557"/>
    <w:rsid w:val="00C33AB4"/>
    <w:rsid w:val="00C36AAE"/>
    <w:rsid w:val="00C36C03"/>
    <w:rsid w:val="00C37EA8"/>
    <w:rsid w:val="00C42CF7"/>
    <w:rsid w:val="00C43303"/>
    <w:rsid w:val="00C43411"/>
    <w:rsid w:val="00C441FB"/>
    <w:rsid w:val="00C44528"/>
    <w:rsid w:val="00C44616"/>
    <w:rsid w:val="00C44F4F"/>
    <w:rsid w:val="00C515A0"/>
    <w:rsid w:val="00C528E3"/>
    <w:rsid w:val="00C5319D"/>
    <w:rsid w:val="00C53B54"/>
    <w:rsid w:val="00C54990"/>
    <w:rsid w:val="00C54C0F"/>
    <w:rsid w:val="00C54F2C"/>
    <w:rsid w:val="00C57191"/>
    <w:rsid w:val="00C67336"/>
    <w:rsid w:val="00C70019"/>
    <w:rsid w:val="00C70ABA"/>
    <w:rsid w:val="00C7161D"/>
    <w:rsid w:val="00C71CF8"/>
    <w:rsid w:val="00C74DFE"/>
    <w:rsid w:val="00C75523"/>
    <w:rsid w:val="00C76189"/>
    <w:rsid w:val="00C768DE"/>
    <w:rsid w:val="00C80FE1"/>
    <w:rsid w:val="00C816D3"/>
    <w:rsid w:val="00C85581"/>
    <w:rsid w:val="00C863B3"/>
    <w:rsid w:val="00C9047D"/>
    <w:rsid w:val="00C91EF4"/>
    <w:rsid w:val="00C92297"/>
    <w:rsid w:val="00C92FDE"/>
    <w:rsid w:val="00C94D27"/>
    <w:rsid w:val="00C95041"/>
    <w:rsid w:val="00CA01AC"/>
    <w:rsid w:val="00CA28FF"/>
    <w:rsid w:val="00CA29E5"/>
    <w:rsid w:val="00CA5E8F"/>
    <w:rsid w:val="00CA6851"/>
    <w:rsid w:val="00CA6FFF"/>
    <w:rsid w:val="00CB4357"/>
    <w:rsid w:val="00CB4DB2"/>
    <w:rsid w:val="00CB677B"/>
    <w:rsid w:val="00CB7BEB"/>
    <w:rsid w:val="00CC0953"/>
    <w:rsid w:val="00CC2D50"/>
    <w:rsid w:val="00CD095F"/>
    <w:rsid w:val="00CD1D8F"/>
    <w:rsid w:val="00CD2960"/>
    <w:rsid w:val="00CD42FD"/>
    <w:rsid w:val="00CD55A1"/>
    <w:rsid w:val="00CE0C6C"/>
    <w:rsid w:val="00CE313E"/>
    <w:rsid w:val="00CE5786"/>
    <w:rsid w:val="00CF093E"/>
    <w:rsid w:val="00CF0C2C"/>
    <w:rsid w:val="00CF3AF9"/>
    <w:rsid w:val="00CF4938"/>
    <w:rsid w:val="00CF525C"/>
    <w:rsid w:val="00CF5CF9"/>
    <w:rsid w:val="00CF61E4"/>
    <w:rsid w:val="00D007A4"/>
    <w:rsid w:val="00D010A1"/>
    <w:rsid w:val="00D04634"/>
    <w:rsid w:val="00D06E4E"/>
    <w:rsid w:val="00D109F5"/>
    <w:rsid w:val="00D11C4B"/>
    <w:rsid w:val="00D12235"/>
    <w:rsid w:val="00D12331"/>
    <w:rsid w:val="00D12348"/>
    <w:rsid w:val="00D13E1B"/>
    <w:rsid w:val="00D15668"/>
    <w:rsid w:val="00D2132F"/>
    <w:rsid w:val="00D217FA"/>
    <w:rsid w:val="00D2182E"/>
    <w:rsid w:val="00D24AF7"/>
    <w:rsid w:val="00D24F22"/>
    <w:rsid w:val="00D26492"/>
    <w:rsid w:val="00D2666C"/>
    <w:rsid w:val="00D315C0"/>
    <w:rsid w:val="00D31A08"/>
    <w:rsid w:val="00D37AE9"/>
    <w:rsid w:val="00D402A3"/>
    <w:rsid w:val="00D4163B"/>
    <w:rsid w:val="00D441E0"/>
    <w:rsid w:val="00D45014"/>
    <w:rsid w:val="00D46079"/>
    <w:rsid w:val="00D46865"/>
    <w:rsid w:val="00D52611"/>
    <w:rsid w:val="00D54874"/>
    <w:rsid w:val="00D62D15"/>
    <w:rsid w:val="00D6412C"/>
    <w:rsid w:val="00D711B3"/>
    <w:rsid w:val="00D74D46"/>
    <w:rsid w:val="00D7575F"/>
    <w:rsid w:val="00D75CBD"/>
    <w:rsid w:val="00D81D17"/>
    <w:rsid w:val="00D829EC"/>
    <w:rsid w:val="00D843D0"/>
    <w:rsid w:val="00D8481A"/>
    <w:rsid w:val="00D8649F"/>
    <w:rsid w:val="00D90697"/>
    <w:rsid w:val="00D911B5"/>
    <w:rsid w:val="00D92E7C"/>
    <w:rsid w:val="00DA00BF"/>
    <w:rsid w:val="00DA1FAF"/>
    <w:rsid w:val="00DA2BB4"/>
    <w:rsid w:val="00DA5486"/>
    <w:rsid w:val="00DB095F"/>
    <w:rsid w:val="00DB1CED"/>
    <w:rsid w:val="00DB2209"/>
    <w:rsid w:val="00DB2265"/>
    <w:rsid w:val="00DB26AB"/>
    <w:rsid w:val="00DB57FB"/>
    <w:rsid w:val="00DB5F60"/>
    <w:rsid w:val="00DB6A2E"/>
    <w:rsid w:val="00DB77B7"/>
    <w:rsid w:val="00DC1554"/>
    <w:rsid w:val="00DC47E1"/>
    <w:rsid w:val="00DC4F94"/>
    <w:rsid w:val="00DC5131"/>
    <w:rsid w:val="00DD0DCC"/>
    <w:rsid w:val="00DD109D"/>
    <w:rsid w:val="00DD222B"/>
    <w:rsid w:val="00DD57A7"/>
    <w:rsid w:val="00DD729A"/>
    <w:rsid w:val="00DE00AE"/>
    <w:rsid w:val="00DE2F4E"/>
    <w:rsid w:val="00DE6601"/>
    <w:rsid w:val="00DE70EF"/>
    <w:rsid w:val="00DE7612"/>
    <w:rsid w:val="00DF01D1"/>
    <w:rsid w:val="00DF3391"/>
    <w:rsid w:val="00DF4DEC"/>
    <w:rsid w:val="00DF5BF3"/>
    <w:rsid w:val="00DF6AAA"/>
    <w:rsid w:val="00E0059E"/>
    <w:rsid w:val="00E00E3B"/>
    <w:rsid w:val="00E02B6F"/>
    <w:rsid w:val="00E10F36"/>
    <w:rsid w:val="00E11E37"/>
    <w:rsid w:val="00E13506"/>
    <w:rsid w:val="00E16250"/>
    <w:rsid w:val="00E168D0"/>
    <w:rsid w:val="00E17546"/>
    <w:rsid w:val="00E2029D"/>
    <w:rsid w:val="00E27C8A"/>
    <w:rsid w:val="00E27E24"/>
    <w:rsid w:val="00E32507"/>
    <w:rsid w:val="00E33164"/>
    <w:rsid w:val="00E34AA6"/>
    <w:rsid w:val="00E37C47"/>
    <w:rsid w:val="00E4234C"/>
    <w:rsid w:val="00E43753"/>
    <w:rsid w:val="00E445B6"/>
    <w:rsid w:val="00E44B3D"/>
    <w:rsid w:val="00E45A6A"/>
    <w:rsid w:val="00E46C3A"/>
    <w:rsid w:val="00E46E9C"/>
    <w:rsid w:val="00E47223"/>
    <w:rsid w:val="00E474B1"/>
    <w:rsid w:val="00E47A59"/>
    <w:rsid w:val="00E52D19"/>
    <w:rsid w:val="00E5490D"/>
    <w:rsid w:val="00E55506"/>
    <w:rsid w:val="00E5636E"/>
    <w:rsid w:val="00E579D2"/>
    <w:rsid w:val="00E62183"/>
    <w:rsid w:val="00E65722"/>
    <w:rsid w:val="00E66757"/>
    <w:rsid w:val="00E71053"/>
    <w:rsid w:val="00E7180D"/>
    <w:rsid w:val="00E71EF9"/>
    <w:rsid w:val="00E7304F"/>
    <w:rsid w:val="00E73074"/>
    <w:rsid w:val="00E73691"/>
    <w:rsid w:val="00E745F0"/>
    <w:rsid w:val="00E82DBC"/>
    <w:rsid w:val="00E856B0"/>
    <w:rsid w:val="00E8608B"/>
    <w:rsid w:val="00E929DE"/>
    <w:rsid w:val="00E937AE"/>
    <w:rsid w:val="00E938DC"/>
    <w:rsid w:val="00E945A6"/>
    <w:rsid w:val="00E94B91"/>
    <w:rsid w:val="00E95537"/>
    <w:rsid w:val="00E962D6"/>
    <w:rsid w:val="00E970F8"/>
    <w:rsid w:val="00E97769"/>
    <w:rsid w:val="00E97FB4"/>
    <w:rsid w:val="00EA08FA"/>
    <w:rsid w:val="00EA30B2"/>
    <w:rsid w:val="00EA4005"/>
    <w:rsid w:val="00EA769A"/>
    <w:rsid w:val="00EB18A1"/>
    <w:rsid w:val="00EB2E73"/>
    <w:rsid w:val="00EB42A9"/>
    <w:rsid w:val="00EB5562"/>
    <w:rsid w:val="00EB7909"/>
    <w:rsid w:val="00EC231A"/>
    <w:rsid w:val="00EC573D"/>
    <w:rsid w:val="00EC75C8"/>
    <w:rsid w:val="00EC761E"/>
    <w:rsid w:val="00ED0781"/>
    <w:rsid w:val="00ED0BA6"/>
    <w:rsid w:val="00ED271C"/>
    <w:rsid w:val="00ED4C8A"/>
    <w:rsid w:val="00ED7B61"/>
    <w:rsid w:val="00EE01A8"/>
    <w:rsid w:val="00EE0282"/>
    <w:rsid w:val="00EE4C0F"/>
    <w:rsid w:val="00EE5354"/>
    <w:rsid w:val="00EF014E"/>
    <w:rsid w:val="00EF12E4"/>
    <w:rsid w:val="00EF2411"/>
    <w:rsid w:val="00EF2613"/>
    <w:rsid w:val="00EF4C75"/>
    <w:rsid w:val="00EF59DB"/>
    <w:rsid w:val="00F02128"/>
    <w:rsid w:val="00F064F3"/>
    <w:rsid w:val="00F07C46"/>
    <w:rsid w:val="00F07D87"/>
    <w:rsid w:val="00F07F77"/>
    <w:rsid w:val="00F141B3"/>
    <w:rsid w:val="00F14E50"/>
    <w:rsid w:val="00F169FC"/>
    <w:rsid w:val="00F217D1"/>
    <w:rsid w:val="00F21BD6"/>
    <w:rsid w:val="00F220FA"/>
    <w:rsid w:val="00F2486F"/>
    <w:rsid w:val="00F24A67"/>
    <w:rsid w:val="00F25019"/>
    <w:rsid w:val="00F25672"/>
    <w:rsid w:val="00F3012C"/>
    <w:rsid w:val="00F30693"/>
    <w:rsid w:val="00F33F0F"/>
    <w:rsid w:val="00F40CCC"/>
    <w:rsid w:val="00F42D8F"/>
    <w:rsid w:val="00F46BE0"/>
    <w:rsid w:val="00F4789B"/>
    <w:rsid w:val="00F53623"/>
    <w:rsid w:val="00F53B17"/>
    <w:rsid w:val="00F553D2"/>
    <w:rsid w:val="00F55BD4"/>
    <w:rsid w:val="00F565C3"/>
    <w:rsid w:val="00F56724"/>
    <w:rsid w:val="00F570BA"/>
    <w:rsid w:val="00F602D5"/>
    <w:rsid w:val="00F60BB3"/>
    <w:rsid w:val="00F61998"/>
    <w:rsid w:val="00F62449"/>
    <w:rsid w:val="00F62C3D"/>
    <w:rsid w:val="00F647E3"/>
    <w:rsid w:val="00F658C8"/>
    <w:rsid w:val="00F71129"/>
    <w:rsid w:val="00F73187"/>
    <w:rsid w:val="00F74336"/>
    <w:rsid w:val="00F7441C"/>
    <w:rsid w:val="00F7464E"/>
    <w:rsid w:val="00F74F40"/>
    <w:rsid w:val="00F808C2"/>
    <w:rsid w:val="00F82086"/>
    <w:rsid w:val="00F85C5B"/>
    <w:rsid w:val="00F866A6"/>
    <w:rsid w:val="00F86855"/>
    <w:rsid w:val="00F9042E"/>
    <w:rsid w:val="00F9086D"/>
    <w:rsid w:val="00F918AA"/>
    <w:rsid w:val="00F91FF3"/>
    <w:rsid w:val="00F93181"/>
    <w:rsid w:val="00F94C51"/>
    <w:rsid w:val="00F95B28"/>
    <w:rsid w:val="00F96BA2"/>
    <w:rsid w:val="00FA13E6"/>
    <w:rsid w:val="00FA3E3F"/>
    <w:rsid w:val="00FA4133"/>
    <w:rsid w:val="00FA41F0"/>
    <w:rsid w:val="00FA45C8"/>
    <w:rsid w:val="00FA4948"/>
    <w:rsid w:val="00FA5909"/>
    <w:rsid w:val="00FA7528"/>
    <w:rsid w:val="00FA7CDB"/>
    <w:rsid w:val="00FB1652"/>
    <w:rsid w:val="00FB1CC1"/>
    <w:rsid w:val="00FB1F37"/>
    <w:rsid w:val="00FB33C9"/>
    <w:rsid w:val="00FB468D"/>
    <w:rsid w:val="00FB508B"/>
    <w:rsid w:val="00FB67E4"/>
    <w:rsid w:val="00FB6F5F"/>
    <w:rsid w:val="00FB7CF2"/>
    <w:rsid w:val="00FC07A4"/>
    <w:rsid w:val="00FC0FB4"/>
    <w:rsid w:val="00FC4720"/>
    <w:rsid w:val="00FC54D3"/>
    <w:rsid w:val="00FC61FB"/>
    <w:rsid w:val="00FD09D0"/>
    <w:rsid w:val="00FD11C2"/>
    <w:rsid w:val="00FD29D4"/>
    <w:rsid w:val="00FD6336"/>
    <w:rsid w:val="00FD6F04"/>
    <w:rsid w:val="00FE3C37"/>
    <w:rsid w:val="00FE53C0"/>
    <w:rsid w:val="00FE6E89"/>
    <w:rsid w:val="00FF0A26"/>
    <w:rsid w:val="00FF1212"/>
    <w:rsid w:val="00FF58CC"/>
    <w:rsid w:val="00FF7641"/>
    <w:rsid w:val="021B9F57"/>
    <w:rsid w:val="0786D8A1"/>
    <w:rsid w:val="0810B894"/>
    <w:rsid w:val="08B7A14D"/>
    <w:rsid w:val="0BD6EED9"/>
    <w:rsid w:val="0CA08572"/>
    <w:rsid w:val="102C3AAD"/>
    <w:rsid w:val="156F4EA2"/>
    <w:rsid w:val="19DD1DF5"/>
    <w:rsid w:val="1FEC61C6"/>
    <w:rsid w:val="2253317E"/>
    <w:rsid w:val="231EEE22"/>
    <w:rsid w:val="25D24813"/>
    <w:rsid w:val="2A80B1E3"/>
    <w:rsid w:val="3063AC22"/>
    <w:rsid w:val="32BD584F"/>
    <w:rsid w:val="32E3A275"/>
    <w:rsid w:val="34A826B2"/>
    <w:rsid w:val="3C7AF77D"/>
    <w:rsid w:val="3C9762E5"/>
    <w:rsid w:val="3DA82C2F"/>
    <w:rsid w:val="427B1E4D"/>
    <w:rsid w:val="4379ACB0"/>
    <w:rsid w:val="44F4B777"/>
    <w:rsid w:val="4626EA64"/>
    <w:rsid w:val="4A1D5833"/>
    <w:rsid w:val="4D2AB365"/>
    <w:rsid w:val="54BA56D3"/>
    <w:rsid w:val="5D7094BE"/>
    <w:rsid w:val="5E1B7FB0"/>
    <w:rsid w:val="60DA601C"/>
    <w:rsid w:val="6371644E"/>
    <w:rsid w:val="6A0E26D6"/>
    <w:rsid w:val="6C247419"/>
    <w:rsid w:val="6C2EE585"/>
    <w:rsid w:val="7029279E"/>
    <w:rsid w:val="7807549C"/>
    <w:rsid w:val="7A0B1ACD"/>
    <w:rsid w:val="7B1BA71F"/>
    <w:rsid w:val="7C8E46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DF54D"/>
  <w15:chartTrackingRefBased/>
  <w15:docId w15:val="{E86A4467-89ED-45B0-8AC1-C3C5B0ED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2B5"/>
    <w:pPr>
      <w:overflowPunct w:val="0"/>
      <w:autoSpaceDE w:val="0"/>
      <w:autoSpaceDN w:val="0"/>
      <w:adjustRightInd w:val="0"/>
      <w:spacing w:after="180" w:line="240" w:lineRule="auto"/>
      <w:textAlignment w:val="baseline"/>
    </w:pPr>
    <w:rPr>
      <w:rFonts w:eastAsia="SimSun" w:cs="Times New Roman"/>
      <w:sz w:val="20"/>
      <w:szCs w:val="20"/>
      <w:lang w:eastAsia="en-US"/>
    </w:rPr>
  </w:style>
  <w:style w:type="paragraph" w:styleId="Heading1">
    <w:name w:val="heading 1"/>
    <w:aliases w:val="H1,h1,Heading 1 3GPP"/>
    <w:basedOn w:val="Header"/>
    <w:next w:val="Normal"/>
    <w:link w:val="Heading1Char"/>
    <w:autoRedefine/>
    <w:qFormat/>
    <w:rsid w:val="00017FC6"/>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017FC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17FC6"/>
    <w:pPr>
      <w:numPr>
        <w:ilvl w:val="2"/>
      </w:numPr>
      <w:spacing w:before="120"/>
      <w:outlineLvl w:val="2"/>
    </w:pPr>
    <w:rPr>
      <w:rFonts w:cs="Times New Roman"/>
      <w:sz w:val="28"/>
    </w:rPr>
  </w:style>
  <w:style w:type="paragraph" w:styleId="Heading4">
    <w:name w:val="heading 4"/>
    <w:basedOn w:val="Heading3"/>
    <w:next w:val="Normal"/>
    <w:link w:val="Heading4Char"/>
    <w:autoRedefine/>
    <w:uiPriority w:val="9"/>
    <w:unhideWhenUsed/>
    <w:qFormat/>
    <w:rsid w:val="00070265"/>
    <w:pPr>
      <w:numPr>
        <w:ilvl w:val="3"/>
      </w:numPr>
      <w:spacing w:before="40" w:after="120"/>
      <w:ind w:left="1299" w:hanging="1225"/>
      <w:outlineLvl w:val="3"/>
    </w:pPr>
    <w:rPr>
      <w:rFonts w:ascii="Times New Roman" w:eastAsiaTheme="majorEastAsia" w:hAnsi="Times New Roman" w:cstheme="majorBidi"/>
      <w:iC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17FC6"/>
    <w:rPr>
      <w:rFonts w:ascii="Arial" w:eastAsia="Arial" w:hAnsi="Arial" w:cstheme="majorBidi"/>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017FC6"/>
    <w:rPr>
      <w:rFonts w:ascii="Arial" w:eastAsia="Arial" w:hAnsi="Arial" w:cstheme="majorBidi"/>
      <w:noProof/>
      <w:sz w:val="32"/>
      <w:szCs w:val="20"/>
      <w:lang w:val="en-GB" w:eastAsia="en-US"/>
    </w:rPr>
  </w:style>
  <w:style w:type="character" w:customStyle="1" w:styleId="Heading3Char">
    <w:name w:val="Heading 3 Char"/>
    <w:aliases w:val="Heading 3 3GPP Char"/>
    <w:basedOn w:val="DefaultParagraphFont"/>
    <w:link w:val="Heading3"/>
    <w:rsid w:val="00017FC6"/>
    <w:rPr>
      <w:rFonts w:ascii="Arial" w:eastAsia="Arial" w:hAnsi="Arial" w:cs="Times New Roman"/>
      <w:noProof/>
      <w:sz w:val="28"/>
      <w:szCs w:val="20"/>
      <w:lang w:val="en-GB" w:eastAsia="en-US"/>
    </w:rPr>
  </w:style>
  <w:style w:type="paragraph" w:customStyle="1" w:styleId="3GPPHeader">
    <w:name w:val="3GPP_Header"/>
    <w:basedOn w:val="Normal"/>
    <w:rsid w:val="00017FC6"/>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017FC6"/>
    <w:pPr>
      <w:overflowPunct/>
      <w:autoSpaceDE/>
      <w:autoSpaceDN/>
      <w:adjustRightInd/>
      <w:spacing w:after="200" w:line="276" w:lineRule="auto"/>
      <w:ind w:left="720"/>
      <w:contextualSpacing/>
      <w:textAlignment w:val="auto"/>
    </w:pPr>
    <w:rPr>
      <w:rFonts w:ascii="Calibri" w:eastAsia="Calibri" w:hAnsi="Calibri"/>
      <w:sz w:val="22"/>
      <w:szCs w:val="22"/>
    </w:rPr>
  </w:style>
  <w:style w:type="table" w:styleId="TableGrid">
    <w:name w:val="Table Grid"/>
    <w:basedOn w:val="TableNormal"/>
    <w:uiPriority w:val="39"/>
    <w:rsid w:val="00017FC6"/>
    <w:pPr>
      <w:spacing w:after="0" w:line="240" w:lineRule="auto"/>
    </w:pPr>
    <w:rPr>
      <w:rFonts w:ascii="CG Times (WN)" w:eastAsia="Calibri"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017FC6"/>
    <w:rPr>
      <w:rFonts w:ascii="Calibri" w:eastAsia="Calibri" w:hAnsi="Calibri" w:cs="Times New Roman"/>
      <w:lang w:eastAsia="en-US"/>
    </w:rPr>
  </w:style>
  <w:style w:type="paragraph" w:customStyle="1" w:styleId="ListParagraph3">
    <w:name w:val="List Paragraph3"/>
    <w:basedOn w:val="Normal"/>
    <w:qFormat/>
    <w:rsid w:val="00017FC6"/>
    <w:pPr>
      <w:overflowPunct/>
      <w:autoSpaceDE/>
      <w:autoSpaceDN/>
      <w:adjustRightInd/>
      <w:spacing w:before="100" w:beforeAutospacing="1" w:line="259" w:lineRule="auto"/>
      <w:ind w:left="720"/>
      <w:contextualSpacing/>
      <w:textAlignment w:val="auto"/>
    </w:pPr>
    <w:rPr>
      <w:sz w:val="24"/>
      <w:szCs w:val="24"/>
      <w:lang w:eastAsia="zh-CN"/>
    </w:rPr>
  </w:style>
  <w:style w:type="paragraph" w:styleId="Header">
    <w:name w:val="header"/>
    <w:basedOn w:val="Normal"/>
    <w:link w:val="HeaderChar"/>
    <w:uiPriority w:val="99"/>
    <w:unhideWhenUsed/>
    <w:rsid w:val="00017FC6"/>
    <w:pPr>
      <w:tabs>
        <w:tab w:val="center" w:pos="4680"/>
        <w:tab w:val="right" w:pos="9360"/>
      </w:tabs>
      <w:spacing w:after="0"/>
    </w:pPr>
  </w:style>
  <w:style w:type="character" w:customStyle="1" w:styleId="HeaderChar">
    <w:name w:val="Header Char"/>
    <w:basedOn w:val="DefaultParagraphFont"/>
    <w:link w:val="Header"/>
    <w:uiPriority w:val="99"/>
    <w:rsid w:val="00017FC6"/>
    <w:rPr>
      <w:rFonts w:ascii="Times New Roman" w:eastAsia="SimSun" w:hAnsi="Times New Roman" w:cs="Times New Roman"/>
      <w:sz w:val="20"/>
      <w:szCs w:val="20"/>
      <w:lang w:eastAsia="en-US"/>
    </w:rPr>
  </w:style>
  <w:style w:type="character" w:customStyle="1" w:styleId="maintextChar">
    <w:name w:val="main text Char"/>
    <w:link w:val="maintext"/>
    <w:qFormat/>
    <w:locked/>
    <w:rsid w:val="00025E78"/>
    <w:rPr>
      <w:rFonts w:eastAsia="Malgun Gothic" w:cs="Batang"/>
      <w:lang w:eastAsia="ko-KR"/>
    </w:rPr>
  </w:style>
  <w:style w:type="paragraph" w:customStyle="1" w:styleId="maintext">
    <w:name w:val="main text"/>
    <w:basedOn w:val="Normal"/>
    <w:link w:val="maintextChar"/>
    <w:qFormat/>
    <w:rsid w:val="00025E78"/>
    <w:pPr>
      <w:overflowPunct/>
      <w:autoSpaceDE/>
      <w:autoSpaceDN/>
      <w:adjustRightInd/>
      <w:spacing w:before="60" w:after="60" w:line="288" w:lineRule="auto"/>
      <w:ind w:firstLineChars="200" w:firstLine="200"/>
      <w:jc w:val="both"/>
      <w:textAlignment w:val="auto"/>
    </w:pPr>
    <w:rPr>
      <w:rFonts w:eastAsia="Malgun Gothic" w:cs="Batang"/>
      <w:sz w:val="22"/>
      <w:szCs w:val="22"/>
      <w:lang w:eastAsia="ko-KR"/>
    </w:rPr>
  </w:style>
  <w:style w:type="paragraph" w:customStyle="1" w:styleId="NO">
    <w:name w:val="NO"/>
    <w:basedOn w:val="Normal"/>
    <w:link w:val="NOChar"/>
    <w:rsid w:val="00B65220"/>
    <w:pPr>
      <w:keepLines/>
      <w:ind w:left="1135" w:hanging="851"/>
    </w:pPr>
    <w:rPr>
      <w:rFonts w:eastAsia="Times New Roman"/>
      <w:lang w:val="en-GB" w:eastAsia="en-GB"/>
    </w:rPr>
  </w:style>
  <w:style w:type="paragraph" w:customStyle="1" w:styleId="B1">
    <w:name w:val="B1"/>
    <w:basedOn w:val="List"/>
    <w:link w:val="B1Char1"/>
    <w:rsid w:val="00B65220"/>
    <w:pPr>
      <w:ind w:left="568" w:hanging="284"/>
      <w:contextualSpacing w:val="0"/>
    </w:pPr>
    <w:rPr>
      <w:rFonts w:eastAsia="Times New Roman"/>
      <w:lang w:val="en-GB" w:eastAsia="en-GB"/>
    </w:rPr>
  </w:style>
  <w:style w:type="character" w:customStyle="1" w:styleId="B1Char1">
    <w:name w:val="B1 Char1"/>
    <w:link w:val="B1"/>
    <w:rsid w:val="00B65220"/>
    <w:rPr>
      <w:rFonts w:ascii="Times New Roman" w:eastAsia="Times New Roman" w:hAnsi="Times New Roman" w:cs="Times New Roman"/>
      <w:sz w:val="20"/>
      <w:szCs w:val="20"/>
      <w:lang w:val="en-GB" w:eastAsia="en-GB"/>
    </w:rPr>
  </w:style>
  <w:style w:type="character" w:customStyle="1" w:styleId="NOChar">
    <w:name w:val="NO Char"/>
    <w:link w:val="NO"/>
    <w:rsid w:val="00B6522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65220"/>
    <w:pPr>
      <w:ind w:left="360" w:hanging="360"/>
      <w:contextualSpacing/>
    </w:pPr>
  </w:style>
  <w:style w:type="character" w:styleId="CommentReference">
    <w:name w:val="annotation reference"/>
    <w:basedOn w:val="DefaultParagraphFont"/>
    <w:uiPriority w:val="99"/>
    <w:semiHidden/>
    <w:unhideWhenUsed/>
    <w:rsid w:val="0002231B"/>
    <w:rPr>
      <w:sz w:val="16"/>
      <w:szCs w:val="16"/>
    </w:rPr>
  </w:style>
  <w:style w:type="paragraph" w:styleId="CommentText">
    <w:name w:val="annotation text"/>
    <w:basedOn w:val="Normal"/>
    <w:link w:val="CommentTextChar"/>
    <w:uiPriority w:val="99"/>
    <w:semiHidden/>
    <w:unhideWhenUsed/>
    <w:rsid w:val="0002231B"/>
  </w:style>
  <w:style w:type="character" w:customStyle="1" w:styleId="CommentTextChar">
    <w:name w:val="Comment Text Char"/>
    <w:basedOn w:val="DefaultParagraphFont"/>
    <w:link w:val="CommentText"/>
    <w:uiPriority w:val="99"/>
    <w:semiHidden/>
    <w:rsid w:val="0002231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02231B"/>
    <w:rPr>
      <w:b/>
      <w:bCs/>
    </w:rPr>
  </w:style>
  <w:style w:type="character" w:customStyle="1" w:styleId="CommentSubjectChar">
    <w:name w:val="Comment Subject Char"/>
    <w:basedOn w:val="CommentTextChar"/>
    <w:link w:val="CommentSubject"/>
    <w:uiPriority w:val="99"/>
    <w:semiHidden/>
    <w:rsid w:val="0002231B"/>
    <w:rPr>
      <w:rFonts w:ascii="Times New Roman" w:eastAsia="SimSun" w:hAnsi="Times New Roman" w:cs="Times New Roman"/>
      <w:b/>
      <w:bCs/>
      <w:sz w:val="20"/>
      <w:szCs w:val="20"/>
      <w:lang w:eastAsia="en-US"/>
    </w:rPr>
  </w:style>
  <w:style w:type="character" w:customStyle="1" w:styleId="fontstyle01">
    <w:name w:val="fontstyle01"/>
    <w:basedOn w:val="DefaultParagraphFont"/>
    <w:rsid w:val="00315F5E"/>
    <w:rPr>
      <w:rFonts w:ascii="MnSymbol10" w:hAnsi="MnSymbol10" w:hint="default"/>
      <w:b w:val="0"/>
      <w:bCs w:val="0"/>
      <w:i w:val="0"/>
      <w:iCs w:val="0"/>
      <w:color w:val="000000"/>
      <w:sz w:val="22"/>
      <w:szCs w:val="22"/>
    </w:rPr>
  </w:style>
  <w:style w:type="character" w:customStyle="1" w:styleId="fontstyle21">
    <w:name w:val="fontstyle21"/>
    <w:basedOn w:val="DefaultParagraphFont"/>
    <w:rsid w:val="00315F5E"/>
    <w:rPr>
      <w:rFonts w:ascii="TimesNewRomanPSMT" w:hAnsi="TimesNewRomanPSMT" w:hint="default"/>
      <w:b w:val="0"/>
      <w:bCs w:val="0"/>
      <w:i w:val="0"/>
      <w:iCs w:val="0"/>
      <w:color w:val="000000"/>
      <w:sz w:val="22"/>
      <w:szCs w:val="22"/>
    </w:rPr>
  </w:style>
  <w:style w:type="paragraph" w:styleId="Footer">
    <w:name w:val="footer"/>
    <w:basedOn w:val="Normal"/>
    <w:link w:val="FooterChar"/>
    <w:uiPriority w:val="99"/>
    <w:unhideWhenUsed/>
    <w:rsid w:val="00094E6A"/>
    <w:pPr>
      <w:tabs>
        <w:tab w:val="center" w:pos="4680"/>
        <w:tab w:val="right" w:pos="9360"/>
      </w:tabs>
      <w:spacing w:after="0"/>
    </w:pPr>
  </w:style>
  <w:style w:type="character" w:customStyle="1" w:styleId="FooterChar">
    <w:name w:val="Footer Char"/>
    <w:basedOn w:val="DefaultParagraphFont"/>
    <w:link w:val="Footer"/>
    <w:uiPriority w:val="99"/>
    <w:rsid w:val="00094E6A"/>
    <w:rPr>
      <w:rFonts w:ascii="Times New Roman" w:eastAsia="SimSun" w:hAnsi="Times New Roman" w:cs="Times New Roman"/>
      <w:sz w:val="20"/>
      <w:szCs w:val="20"/>
      <w:lang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E3250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B85CBB"/>
    <w:rPr>
      <w:rFonts w:ascii="Times New Roman" w:eastAsia="SimSun" w:hAnsi="Times New Roman" w:cs="Times New Roman"/>
      <w:i/>
      <w:iCs/>
      <w:color w:val="44546A" w:themeColor="text2"/>
      <w:sz w:val="18"/>
      <w:szCs w:val="18"/>
      <w:lang w:eastAsia="en-US"/>
    </w:rPr>
  </w:style>
  <w:style w:type="character" w:customStyle="1" w:styleId="Heading4Char">
    <w:name w:val="Heading 4 Char"/>
    <w:basedOn w:val="DefaultParagraphFont"/>
    <w:link w:val="Heading4"/>
    <w:uiPriority w:val="9"/>
    <w:rsid w:val="00070265"/>
    <w:rPr>
      <w:rFonts w:ascii="Times New Roman" w:eastAsiaTheme="majorEastAsia" w:hAnsi="Times New Roman" w:cstheme="majorBidi"/>
      <w:iCs/>
      <w:noProof/>
      <w:sz w:val="24"/>
      <w:szCs w:val="20"/>
      <w:lang w:val="en-GB"/>
    </w:rPr>
  </w:style>
  <w:style w:type="character" w:styleId="Hyperlink">
    <w:name w:val="Hyperlink"/>
    <w:basedOn w:val="DefaultParagraphFont"/>
    <w:uiPriority w:val="99"/>
    <w:semiHidden/>
    <w:unhideWhenUsed/>
    <w:rsid w:val="00016354"/>
    <w:rPr>
      <w:color w:val="0000FF"/>
      <w:u w:val="single"/>
    </w:rPr>
  </w:style>
  <w:style w:type="paragraph" w:customStyle="1" w:styleId="Obs-prop">
    <w:name w:val="Obs-prop"/>
    <w:basedOn w:val="Normal"/>
    <w:next w:val="Normal"/>
    <w:qFormat/>
    <w:rsid w:val="00537C78"/>
    <w:pPr>
      <w:overflowPunct/>
      <w:autoSpaceDE/>
      <w:autoSpaceDN/>
      <w:adjustRightInd/>
      <w:spacing w:after="160"/>
      <w:textAlignment w:val="auto"/>
    </w:pPr>
    <w:rPr>
      <w:rFonts w:ascii="Times New Roman" w:eastAsiaTheme="minorHAnsi" w:hAnsi="Times New Roman" w:cstheme="minorBidi"/>
      <w:b/>
      <w:bCs/>
      <w:szCs w:val="22"/>
      <w:lang w:val="en-GB"/>
    </w:rPr>
  </w:style>
  <w:style w:type="paragraph" w:customStyle="1" w:styleId="Agreement">
    <w:name w:val="Agreement"/>
    <w:basedOn w:val="Normal"/>
    <w:next w:val="Normal"/>
    <w:qFormat/>
    <w:rsid w:val="00A82210"/>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styleId="IntenseEmphasis">
    <w:name w:val="Intense Emphasis"/>
    <w:basedOn w:val="DefaultParagraphFont"/>
    <w:uiPriority w:val="21"/>
    <w:qFormat/>
    <w:rsid w:val="00E73691"/>
    <w:rPr>
      <w:i/>
      <w:iCs/>
      <w:color w:val="4472C4" w:themeColor="accent1"/>
    </w:rPr>
  </w:style>
  <w:style w:type="paragraph" w:styleId="Revision">
    <w:name w:val="Revision"/>
    <w:hidden/>
    <w:uiPriority w:val="99"/>
    <w:semiHidden/>
    <w:rsid w:val="000925FC"/>
    <w:pPr>
      <w:spacing w:after="0" w:line="240" w:lineRule="auto"/>
    </w:pPr>
    <w:rPr>
      <w:rFonts w:eastAsia="SimSu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69028">
      <w:bodyDiv w:val="1"/>
      <w:marLeft w:val="0"/>
      <w:marRight w:val="0"/>
      <w:marTop w:val="0"/>
      <w:marBottom w:val="0"/>
      <w:divBdr>
        <w:top w:val="none" w:sz="0" w:space="0" w:color="auto"/>
        <w:left w:val="none" w:sz="0" w:space="0" w:color="auto"/>
        <w:bottom w:val="none" w:sz="0" w:space="0" w:color="auto"/>
        <w:right w:val="none" w:sz="0" w:space="0" w:color="auto"/>
      </w:divBdr>
    </w:div>
    <w:div w:id="180908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 Ziyi</DisplayName>
        <AccountId>51</AccountId>
        <AccountType/>
      </UserInfo>
      <UserInfo>
        <DisplayName>Heo, Youn Hyoung</DisplayName>
        <AccountId>15</AccountId>
        <AccountType/>
      </UserInfo>
      <UserInfo>
        <DisplayName>Palat, Sudeep K</DisplayName>
        <AccountId>18</AccountId>
        <AccountType/>
      </UserInfo>
      <UserInfo>
        <DisplayName>Han, Jaemin</DisplayName>
        <AccountId>52</AccountId>
        <AccountType/>
      </UserInfo>
      <UserInfo>
        <DisplayName>Burbidge, Richard C</DisplayName>
        <AccountId>7</AccountId>
        <AccountType/>
      </UserInfo>
      <UserInfo>
        <DisplayName>Han, Seunghee</DisplayName>
        <AccountId>12</AccountId>
        <AccountType/>
      </UserInfo>
      <UserInfo>
        <DisplayName>Shi, Xiaoyan</DisplayName>
        <AccountId>123</AccountId>
        <AccountType/>
      </UserInfo>
      <UserInfo>
        <DisplayName>Stojanovski, Saso</DisplayName>
        <AccountId>81</AccountId>
        <AccountType/>
      </UserInfo>
      <UserInfo>
        <DisplayName>Jain, Puneet</DisplayName>
        <AccountId>47</AccountId>
        <AccountType/>
      </UserInfo>
    </SharedWithUsers>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FE7B0-E8DF-40D5-B45E-106766AA0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82241-9495-4AED-8FAA-E7E833459913}">
  <ds:schemaRefs>
    <ds:schemaRef ds:uri="http://schemas.microsoft.com/sharepoint/v3/contenttype/forms"/>
  </ds:schemaRefs>
</ds:datastoreItem>
</file>

<file path=customXml/itemProps3.xml><?xml version="1.0" encoding="utf-8"?>
<ds:datastoreItem xmlns:ds="http://schemas.openxmlformats.org/officeDocument/2006/customXml" ds:itemID="{10A33902-14B9-4C4B-B581-164D988D44BB}">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4.xml><?xml version="1.0" encoding="utf-8"?>
<ds:datastoreItem xmlns:ds="http://schemas.openxmlformats.org/officeDocument/2006/customXml" ds:itemID="{108AB8E7-A1A2-43C7-8D4B-A8030B60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1304</Words>
  <Characters>7439</Characters>
  <Application>Microsoft Office Word</Application>
  <DocSecurity>0</DocSecurity>
  <Lines>61</Lines>
  <Paragraphs>17</Paragraphs>
  <ScaleCrop>false</ScaleCrop>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Intel-Ziyi</dc:creator>
  <cp:keywords/>
  <dc:description/>
  <cp:lastModifiedBy>Intel-Ziyi</cp:lastModifiedBy>
  <cp:revision>11</cp:revision>
  <dcterms:created xsi:type="dcterms:W3CDTF">2022-11-04T03:26:00Z</dcterms:created>
  <dcterms:modified xsi:type="dcterms:W3CDTF">2022-11-04T04:09:00Z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