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[AT119-e][652][IDC]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Heading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[AT119-e][652][IDC]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(e.g.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Heading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646C8629" w:rsidR="00685F6E" w:rsidRDefault="000E3FB8">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7E12C701" w14:textId="18A63005" w:rsidR="00685F6E" w:rsidRDefault="000E3FB8">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1696295" w14:textId="00B31394" w:rsidR="00685F6E" w:rsidRDefault="000E3FB8">
            <w:pPr>
              <w:pStyle w:val="TAC"/>
              <w:spacing w:before="20" w:after="20"/>
              <w:ind w:left="57" w:right="57"/>
              <w:jc w:val="left"/>
              <w:rPr>
                <w:rFonts w:cs="Arial"/>
              </w:rPr>
            </w:pPr>
            <w:r>
              <w:rPr>
                <w:rFonts w:cs="Arial"/>
              </w:rPr>
              <w:t>yuqin_chen@apple.com</w:t>
            </w: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77777777" w:rsidR="00685F6E" w:rsidRDefault="00685F6E">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F207CC4"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C5F6B7B" w14:textId="77777777" w:rsidR="00685F6E" w:rsidRDefault="00685F6E">
            <w:pPr>
              <w:pStyle w:val="TAC"/>
              <w:spacing w:before="20" w:after="20"/>
              <w:ind w:left="57" w:right="57"/>
              <w:jc w:val="left"/>
              <w:rPr>
                <w:rFonts w:cs="Arial"/>
              </w:rPr>
            </w:pP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77777777" w:rsidR="00685F6E" w:rsidRDefault="00685F6E">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9F7E4D5" w14:textId="77777777" w:rsidR="00685F6E" w:rsidRDefault="00685F6E">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612ADF9" w14:textId="77777777" w:rsidR="00685F6E" w:rsidRDefault="00685F6E">
            <w:pPr>
              <w:pStyle w:val="TAC"/>
              <w:spacing w:before="20" w:after="20"/>
              <w:ind w:left="57" w:right="57"/>
              <w:jc w:val="left"/>
              <w:rPr>
                <w:rFonts w:cs="Arial"/>
                <w:lang w:val="en-US"/>
              </w:rPr>
            </w:pPr>
          </w:p>
        </w:tc>
      </w:tr>
      <w:tr w:rsidR="00685F6E"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F8C1DC"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031F6A2" w14:textId="77777777" w:rsidR="00685F6E" w:rsidRDefault="00685F6E">
            <w:pPr>
              <w:pStyle w:val="TAC"/>
              <w:spacing w:before="20" w:after="20"/>
              <w:ind w:left="57" w:right="57"/>
              <w:jc w:val="left"/>
              <w:rPr>
                <w:rFonts w:cs="Arial"/>
              </w:rPr>
            </w:pPr>
          </w:p>
        </w:tc>
      </w:tr>
      <w:tr w:rsidR="00685F6E"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2B53112"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C2835D9" w14:textId="77777777" w:rsidR="00685F6E" w:rsidRDefault="00685F6E">
            <w:pPr>
              <w:pStyle w:val="TAC"/>
              <w:spacing w:before="20" w:after="20"/>
              <w:ind w:left="57" w:right="57"/>
              <w:jc w:val="left"/>
              <w:rPr>
                <w:rFonts w:cs="Arial"/>
              </w:rPr>
            </w:pPr>
          </w:p>
        </w:tc>
      </w:tr>
      <w:tr w:rsidR="00685F6E"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F2FC8CD"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7376731" w14:textId="77777777" w:rsidR="00685F6E" w:rsidRDefault="00685F6E">
            <w:pPr>
              <w:pStyle w:val="TAC"/>
              <w:spacing w:before="20" w:after="20"/>
              <w:ind w:left="57" w:right="57"/>
              <w:jc w:val="left"/>
              <w:rPr>
                <w:rFonts w:eastAsiaTheme="minorEastAsia" w:cs="Arial"/>
              </w:rPr>
            </w:pPr>
          </w:p>
        </w:tc>
      </w:tr>
      <w:tr w:rsidR="00685F6E"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685F6E" w:rsidRDefault="00685F6E">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685F6E" w:rsidRDefault="00685F6E">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685F6E" w:rsidRDefault="00685F6E">
            <w:pPr>
              <w:pStyle w:val="TAC"/>
              <w:spacing w:before="20" w:after="20"/>
              <w:ind w:left="57" w:right="57"/>
              <w:jc w:val="left"/>
              <w:rPr>
                <w:rFonts w:eastAsia="Yu Mincho" w:cs="Arial"/>
              </w:rPr>
            </w:pPr>
          </w:p>
        </w:tc>
      </w:tr>
      <w:tr w:rsidR="00685F6E"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685F6E" w:rsidRDefault="00685F6E">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685F6E" w:rsidRDefault="00685F6E">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685F6E" w:rsidRDefault="00685F6E">
            <w:pPr>
              <w:pStyle w:val="TAC"/>
              <w:spacing w:before="20" w:after="20"/>
              <w:ind w:left="57" w:right="57"/>
              <w:jc w:val="left"/>
              <w:rPr>
                <w:rFonts w:eastAsia="PMingLiU" w:cs="Arial"/>
              </w:rPr>
            </w:pPr>
          </w:p>
        </w:tc>
      </w:tr>
      <w:tr w:rsidR="00685F6E"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685F6E" w:rsidRDefault="00685F6E">
            <w:pPr>
              <w:pStyle w:val="TAC"/>
              <w:spacing w:before="20" w:after="20"/>
              <w:ind w:left="57" w:right="57"/>
              <w:jc w:val="left"/>
              <w:rPr>
                <w:rFonts w:eastAsiaTheme="minorEastAsia" w:cs="Arial"/>
              </w:rPr>
            </w:pPr>
          </w:p>
        </w:tc>
      </w:tr>
      <w:tr w:rsidR="00685F6E"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685F6E" w:rsidRDefault="00685F6E">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685F6E" w:rsidRDefault="00685F6E">
            <w:pPr>
              <w:pStyle w:val="TAC"/>
              <w:spacing w:before="20" w:after="20"/>
              <w:ind w:left="57" w:right="57"/>
              <w:jc w:val="left"/>
              <w:rPr>
                <w:rFonts w:eastAsiaTheme="minorEastAsia" w:cs="Arial"/>
              </w:rPr>
            </w:pPr>
          </w:p>
        </w:tc>
      </w:tr>
      <w:tr w:rsidR="00685F6E"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685F6E" w:rsidRDefault="00685F6E">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685F6E" w:rsidRDefault="00685F6E">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685F6E" w:rsidRDefault="00685F6E">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Heading1"/>
      </w:pPr>
      <w:r>
        <w:t>2.</w:t>
      </w:r>
      <w:r>
        <w:tab/>
        <w:t>Discussion</w:t>
      </w:r>
    </w:p>
    <w:p w14:paraId="6696BE6F" w14:textId="77777777" w:rsidR="00685F6E" w:rsidRDefault="00453C58">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This WI expects to address interference between 3GPP (including various MR-DC architectures, i.e. NR-DC and EN-DC) and non-3GPP RAT (e.g. WiFi).</w:t>
            </w:r>
          </w:p>
          <w:p w14:paraId="71D1A8E3" w14:textId="77777777" w:rsidR="00685F6E" w:rsidRDefault="00453C58">
            <w:pPr>
              <w:pStyle w:val="ListParagraph"/>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Heading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ListParagraph"/>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08F9A384" w14:textId="77777777" w:rsidR="00685F6E" w:rsidRDefault="00453C58">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6C02C05D" w14:textId="77777777" w:rsidR="00685F6E" w:rsidRDefault="00453C58">
      <w:pPr>
        <w:pStyle w:val="ListParagraph"/>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409A9F94" w14:textId="77777777" w:rsidR="00685F6E" w:rsidRDefault="00453C58">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SCO, eSCO, A2DP and ACL protocols are assumed to be supported by in-device BT radio when analyzing the TDM solutions for LTE-BT coexistence. Beacon, power saving and DCF protocols are assumed to be supported by in-device WiFi radio when analyzing the TDM solutions for LTE-WiFi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E.g. with BT voice, it is possible to configure DRX cycle to 10 ms or 5 ms and then achieve a desired gap pattern with appropriate setting on drx-OnDurationTimer, drx-InactivityTimer, drx-retransmissionTimer and DRX offset. In some cases, drx-retransmissionTimer of 0 ms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BodyText"/>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UE can autonomously deny LTE resources due to some critical short-term events of ISM side, e.g. some events during BT/WiFi connection-setup or other important signalling.</w:t>
            </w:r>
          </w:p>
          <w:p w14:paraId="09F77677" w14:textId="77777777" w:rsidR="00685F6E" w:rsidRDefault="00453C58">
            <w:pPr>
              <w:pStyle w:val="B1"/>
              <w:ind w:left="0" w:firstLine="0"/>
              <w:rPr>
                <w:lang w:eastAsia="zh-CN"/>
              </w:rPr>
            </w:pPr>
            <w:r>
              <w:rPr>
                <w:lang w:eastAsia="zh-CN"/>
              </w:rPr>
              <w:t>During stable situation of ISM operation, some LTE resources can be denied by UE autonomously to protect ISM data packets, so e.g. the BT eSCO connection or WiFi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WLAN beacon and BT eSCO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Heading4"/>
        <w:rPr>
          <w:lang w:eastAsia="zh-CN"/>
        </w:rPr>
      </w:pPr>
      <w:r>
        <w:rPr>
          <w:lang w:eastAsia="zh-CN"/>
        </w:rPr>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ListParagraph"/>
        <w:numPr>
          <w:ilvl w:val="0"/>
          <w:numId w:val="11"/>
        </w:numPr>
        <w:rPr>
          <w:lang w:eastAsia="zh-CN"/>
        </w:rPr>
      </w:pPr>
      <w:r>
        <w:rPr>
          <w:color w:val="000000"/>
          <w:lang w:eastAsia="zh-CN"/>
        </w:rPr>
        <w:lastRenderedPageBreak/>
        <w:t>BT voice [6]</w:t>
      </w:r>
    </w:p>
    <w:p w14:paraId="1541B1CA" w14:textId="77777777" w:rsidR="00685F6E" w:rsidRDefault="00453C58">
      <w:pPr>
        <w:pStyle w:val="ListParagraph"/>
        <w:numPr>
          <w:ilvl w:val="0"/>
          <w:numId w:val="11"/>
        </w:numPr>
        <w:rPr>
          <w:lang w:eastAsia="zh-CN"/>
        </w:rPr>
      </w:pPr>
      <w:r>
        <w:rPr>
          <w:lang w:eastAsia="zh-CN"/>
        </w:rPr>
        <w:t>WLAN beacon [8]</w:t>
      </w:r>
    </w:p>
    <w:p w14:paraId="144E5B97" w14:textId="77777777" w:rsidR="00685F6E" w:rsidRDefault="00453C58">
      <w:pPr>
        <w:pStyle w:val="ListParagraph"/>
        <w:numPr>
          <w:ilvl w:val="0"/>
          <w:numId w:val="11"/>
        </w:numPr>
        <w:rPr>
          <w:lang w:eastAsia="zh-CN"/>
        </w:rPr>
      </w:pPr>
      <w:r>
        <w:rPr>
          <w:lang w:eastAsia="zh-CN"/>
        </w:rPr>
        <w:t>BT eSCO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Since the Rel-18 IDC WID is targeting at reusing the LTE TDM solutions as baseline, we think that the use cases as described in 36.816 for LTE TDM solutions should also be considered for NR. It is quite obvious that the services/signalling via the BT or WLAN wiil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2AE6A21B" w:rsidR="00685F6E" w:rsidRPr="000E3FB8" w:rsidRDefault="000E3FB8">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7B894B" w14:textId="3F550776"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B26076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95053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A5DE0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A449FD2" w14:textId="77777777" w:rsidR="00685F6E" w:rsidRDefault="00685F6E">
            <w:pPr>
              <w:spacing w:after="0"/>
              <w:rPr>
                <w:rFonts w:ascii="Arial" w:eastAsia="MS Mincho" w:hAnsi="Arial" w:cs="Arial"/>
                <w:bCs/>
                <w:lang w:eastAsia="ja-JP"/>
              </w:rPr>
            </w:pP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C132F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soluton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ListParagraph"/>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ListParagraph"/>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ListParagraph"/>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ListParagraph"/>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ListParagraph"/>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ListParagraph"/>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resovling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Heading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resovled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(Pcell) was reported. For the IMD, the eNB may deactivate the scell</w:t>
            </w:r>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65FD1BF4"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D74CC34" w14:textId="2375200D"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685F6E"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4B6BEF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685F6E" w:rsidRDefault="00685F6E">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B5B9B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A099B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135555A" w14:textId="77777777" w:rsidR="00685F6E" w:rsidRDefault="00685F6E">
            <w:pPr>
              <w:spacing w:after="0"/>
              <w:rPr>
                <w:rFonts w:ascii="Arial" w:eastAsia="MS Mincho" w:hAnsi="Arial" w:cs="Arial"/>
                <w:bCs/>
                <w:lang w:eastAsia="ja-JP"/>
              </w:rPr>
            </w:pP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6ED38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Heading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ListParagraph"/>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451DF48C" w14:textId="77777777" w:rsidR="00685F6E" w:rsidRDefault="00453C58">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293B85BD" w14:textId="77777777" w:rsidR="00685F6E" w:rsidRDefault="00453C58">
      <w:pPr>
        <w:pStyle w:val="ListParagraph"/>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6B866632" w14:textId="77777777" w:rsidR="00685F6E" w:rsidRDefault="00453C58">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The rapporteur’s understanding is that RAN2 can firstly confirm what has been stated in the IDC WID, i.e. using the LTE TDM solutions as baseline.</w:t>
      </w:r>
    </w:p>
    <w:p w14:paraId="3809F274" w14:textId="77777777" w:rsidR="00685F6E" w:rsidRDefault="00453C58">
      <w:pPr>
        <w:pStyle w:val="Heading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downselection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granurality between NR and LTE is difference as Samsung mentioned. The important point is that UE needs to report the time-domain information to network. Then, the network reconfigures TDM to UE. </w:t>
            </w:r>
            <w:r w:rsidR="00CE715A">
              <w:rPr>
                <w:rFonts w:ascii="Arial" w:eastAsia="DengXian" w:hAnsi="Arial" w:cs="Arial"/>
                <w:bCs/>
                <w:lang w:eastAsia="zh-CN"/>
              </w:rPr>
              <w:t>RAN2 needs to evaluate/discuss</w:t>
            </w:r>
            <w:r>
              <w:rPr>
                <w:rFonts w:ascii="Arial" w:eastAsia="DengXian" w:hAnsi="Arial" w:cs="Arial"/>
                <w:bCs/>
                <w:lang w:eastAsia="zh-CN"/>
              </w:rPr>
              <w:t xml:space="preserve"> </w:t>
            </w:r>
            <w:r w:rsidR="00CE715A">
              <w:rPr>
                <w:rFonts w:ascii="Arial" w:eastAsia="DengXian" w:hAnsi="Arial" w:cs="Arial"/>
                <w:bCs/>
                <w:lang w:eastAsia="zh-CN"/>
              </w:rPr>
              <w:t>which one (</w:t>
            </w:r>
            <w:r>
              <w:rPr>
                <w:rFonts w:ascii="Arial" w:eastAsia="DengXian" w:hAnsi="Arial" w:cs="Arial"/>
                <w:bCs/>
                <w:lang w:eastAsia="zh-CN"/>
              </w:rPr>
              <w:t>DRX</w:t>
            </w:r>
            <w:r w:rsidR="00CE715A">
              <w:rPr>
                <w:rFonts w:ascii="Arial" w:eastAsia="DengXian" w:hAnsi="Arial" w:cs="Arial"/>
                <w:bCs/>
                <w:lang w:eastAsia="zh-CN"/>
              </w:rPr>
              <w:t>-like or MUSIM gap-like</w:t>
            </w:r>
            <w:r>
              <w:rPr>
                <w:rFonts w:ascii="Arial" w:eastAsia="DengXian" w:hAnsi="Arial" w:cs="Arial"/>
                <w:bCs/>
                <w:lang w:eastAsia="zh-CN"/>
              </w:rPr>
              <w:t xml:space="preserve"> is </w:t>
            </w:r>
            <w:r w:rsidR="00CE715A">
              <w:rPr>
                <w:rFonts w:ascii="Arial" w:eastAsia="DengXian" w:hAnsi="Arial" w:cs="Arial"/>
                <w:bCs/>
                <w:lang w:eastAsia="zh-CN"/>
              </w:rPr>
              <w:t>better</w:t>
            </w:r>
            <w:r>
              <w:rPr>
                <w:rFonts w:ascii="Arial" w:eastAsia="DengXian"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0C923BA9"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AEB96F9" w14:textId="300DDC4C" w:rsidR="00685F6E" w:rsidRDefault="000E3FB8">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52EEA4B0" w14:textId="42AFB9C5" w:rsidR="000E3FB8" w:rsidRDefault="000E3FB8">
            <w:pPr>
              <w:spacing w:after="0"/>
              <w:rPr>
                <w:rFonts w:ascii="Arial" w:eastAsia="MS Mincho" w:hAnsi="Arial" w:cs="Arial"/>
                <w:bCs/>
                <w:lang w:eastAsia="ja-JP"/>
              </w:rPr>
            </w:pPr>
            <w:r>
              <w:rPr>
                <w:rFonts w:ascii="Arial" w:eastAsia="MS Mincho" w:hAnsi="Arial" w:cs="Arial"/>
                <w:bCs/>
                <w:lang w:eastAsia="ja-JP"/>
              </w:rPr>
              <w:t>We can confirm DRX like</w:t>
            </w:r>
            <w:r w:rsidR="001946A5">
              <w:rPr>
                <w:rFonts w:ascii="Arial" w:eastAsia="MS Mincho" w:hAnsi="Arial" w:cs="Arial"/>
                <w:bCs/>
                <w:lang w:eastAsia="ja-JP"/>
              </w:rPr>
              <w:t xml:space="preserve"> (or MUSIM gap like)</w:t>
            </w:r>
            <w:r>
              <w:rPr>
                <w:rFonts w:ascii="Arial" w:eastAsia="MS Mincho" w:hAnsi="Arial" w:cs="Arial"/>
                <w:bCs/>
                <w:lang w:eastAsia="ja-JP"/>
              </w:rPr>
              <w:t xml:space="preserve"> solution</w:t>
            </w:r>
            <w:r w:rsidR="001946A5">
              <w:rPr>
                <w:rFonts w:ascii="Arial" w:eastAsia="MS Mincho" w:hAnsi="Arial" w:cs="Arial"/>
                <w:bCs/>
                <w:lang w:eastAsia="ja-JP"/>
              </w:rPr>
              <w:t xml:space="preserve"> as the main motivation is to get an off time duration</w:t>
            </w:r>
            <w:r>
              <w:rPr>
                <w:rFonts w:ascii="Arial" w:eastAsia="MS Mincho" w:hAnsi="Arial" w:cs="Arial"/>
                <w:bCs/>
                <w:lang w:eastAsia="ja-JP"/>
              </w:rPr>
              <w:t>. For HARQ process reservation based solution, we have a big question mark if it is still needed since NR HARQ pattern is much more flexible.</w:t>
            </w:r>
          </w:p>
          <w:p w14:paraId="0B0B726D" w14:textId="0B6A9ACE" w:rsidR="000E3FB8" w:rsidRPr="000E3FB8" w:rsidRDefault="000E3FB8">
            <w:pPr>
              <w:spacing w:after="0"/>
              <w:rPr>
                <w:rFonts w:ascii="Arial" w:eastAsia="MS Mincho" w:hAnsi="Arial" w:cs="Arial" w:hint="eastAsia"/>
                <w:bCs/>
                <w:lang w:eastAsia="ja-JP"/>
              </w:rPr>
            </w:pPr>
            <w:r>
              <w:rPr>
                <w:rFonts w:ascii="Arial" w:eastAsia="MS Mincho" w:hAnsi="Arial" w:cs="Arial"/>
                <w:bCs/>
                <w:lang w:eastAsia="ja-JP"/>
              </w:rPr>
              <w:t xml:space="preserve">For autonomous denial, we don’t have strong views </w:t>
            </w:r>
            <w:r w:rsidR="001946A5">
              <w:rPr>
                <w:rFonts w:ascii="Arial" w:eastAsia="MS Mincho" w:hAnsi="Arial" w:cs="Arial"/>
                <w:bCs/>
                <w:lang w:eastAsia="ja-JP"/>
              </w:rPr>
              <w:t>but RAN4 work would be required on the allowed denial rate.</w:t>
            </w: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C31A3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7526684" w14:textId="77777777" w:rsidR="00685F6E" w:rsidRDefault="00685F6E">
            <w:pPr>
              <w:spacing w:after="0"/>
              <w:rPr>
                <w:rFonts w:ascii="Arial" w:eastAsia="MS Mincho" w:hAnsi="Arial" w:cs="Arial"/>
                <w:bCs/>
                <w:lang w:eastAsia="ja-JP"/>
              </w:rPr>
            </w:pP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1A14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6860AE7" w14:textId="77777777" w:rsidR="00685F6E" w:rsidRDefault="00685F6E">
            <w:pPr>
              <w:spacing w:after="0"/>
              <w:rPr>
                <w:rFonts w:ascii="Arial" w:eastAsia="MS Mincho" w:hAnsi="Arial" w:cs="Arial"/>
                <w:bCs/>
                <w:lang w:eastAsia="ja-JP"/>
              </w:rPr>
            </w:pP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AACBBB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FAA2CA1" w14:textId="77777777" w:rsidR="00685F6E" w:rsidRDefault="00685F6E">
            <w:pPr>
              <w:spacing w:after="0"/>
              <w:rPr>
                <w:rFonts w:ascii="Arial" w:eastAsia="MS Mincho" w:hAnsi="Arial" w:cs="Arial"/>
                <w:bCs/>
                <w:lang w:eastAsia="ja-JP"/>
              </w:rPr>
            </w:pP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29FEA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1C3DD6" w14:textId="77777777" w:rsidR="00685F6E" w:rsidRDefault="00685F6E">
            <w:pPr>
              <w:spacing w:after="0"/>
              <w:rPr>
                <w:rFonts w:ascii="Arial" w:eastAsia="MS Mincho" w:hAnsi="Arial" w:cs="Arial"/>
                <w:bCs/>
                <w:lang w:eastAsia="ja-JP"/>
              </w:rPr>
            </w:pP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1463FD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F0D1019" w14:textId="77777777" w:rsidR="00685F6E" w:rsidRDefault="00685F6E">
            <w:pPr>
              <w:spacing w:after="0"/>
              <w:rPr>
                <w:rFonts w:ascii="Arial" w:eastAsia="MS Mincho" w:hAnsi="Arial" w:cs="Arial"/>
                <w:bCs/>
                <w:lang w:eastAsia="ja-JP"/>
              </w:rPr>
            </w:pP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TableGrid"/>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lastRenderedPageBreak/>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t>2&gt;</w:t>
            </w:r>
            <w:r>
              <w:rPr>
                <w:highlight w:val="green"/>
                <w:lang w:eastAsia="zh-CN"/>
              </w:rPr>
              <w:tab/>
              <w:t xml:space="preserve">include the field </w:t>
            </w:r>
            <w:r>
              <w:rPr>
                <w:i/>
                <w:highlight w:val="green"/>
                <w:lang w:eastAsia="zh-CN"/>
              </w:rPr>
              <w:t>affectedCarrierFreqList</w:t>
            </w:r>
            <w:r>
              <w:rPr>
                <w:highlight w:val="green"/>
                <w:lang w:eastAsia="zh-CN"/>
              </w:rPr>
              <w:t xml:space="preserve"> with an entry for each affected E-UTRA carrier frequency for which a measurement object is configured;</w:t>
            </w:r>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r>
              <w:rPr>
                <w:i/>
                <w:highlight w:val="green"/>
                <w:lang w:eastAsia="zh-CN"/>
              </w:rPr>
              <w:t>affectedCarrierFreqList</w:t>
            </w:r>
            <w:r>
              <w:rPr>
                <w:highlight w:val="green"/>
                <w:lang w:eastAsia="zh-CN"/>
              </w:rPr>
              <w:t xml:space="preserve">, include </w:t>
            </w:r>
            <w:r>
              <w:rPr>
                <w:i/>
                <w:highlight w:val="green"/>
                <w:lang w:eastAsia="zh-CN"/>
              </w:rPr>
              <w:t xml:space="preserve">interferenceDirection </w:t>
            </w:r>
            <w:r>
              <w:rPr>
                <w:highlight w:val="green"/>
                <w:lang w:eastAsia="zh-CN"/>
              </w:rPr>
              <w:t>and set it accordingly;</w:t>
            </w:r>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r>
              <w:rPr>
                <w:i/>
                <w:highlight w:val="yellow"/>
              </w:rPr>
              <w:t>idc-HardwareSharingIndication</w:t>
            </w:r>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r>
              <w:rPr>
                <w:i/>
                <w:iCs/>
                <w:highlight w:val="yellow"/>
                <w:lang w:eastAsia="zh-CN"/>
              </w:rPr>
              <w:t>drx-CycleLength</w:t>
            </w:r>
            <w:r>
              <w:rPr>
                <w:highlight w:val="yellow"/>
                <w:lang w:eastAsia="zh-CN"/>
              </w:rPr>
              <w:t xml:space="preserve">, </w:t>
            </w:r>
            <w:r>
              <w:rPr>
                <w:i/>
                <w:iCs/>
                <w:highlight w:val="yellow"/>
                <w:lang w:eastAsia="zh-CN"/>
              </w:rPr>
              <w:t>drx-Offset</w:t>
            </w:r>
            <w:r>
              <w:rPr>
                <w:highlight w:val="yellow"/>
                <w:lang w:eastAsia="zh-CN"/>
              </w:rPr>
              <w:t xml:space="preserve"> and </w:t>
            </w:r>
            <w:r>
              <w:rPr>
                <w:i/>
                <w:iCs/>
                <w:highlight w:val="yellow"/>
                <w:lang w:eastAsia="zh-CN"/>
              </w:rPr>
              <w:t>drx-ActiveTime</w:t>
            </w:r>
            <w:r>
              <w:rPr>
                <w:highlight w:val="yellow"/>
                <w:lang w:eastAsia="zh-CN"/>
              </w:rPr>
              <w:t>;</w:t>
            </w:r>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r>
              <w:rPr>
                <w:i/>
                <w:iCs/>
                <w:highlight w:val="yellow"/>
              </w:rPr>
              <w:t>idc-SubframePatternList</w:t>
            </w:r>
            <w:r>
              <w:rPr>
                <w:highlight w:val="yellow"/>
                <w:lang w:eastAsia="zh-CN"/>
              </w:rPr>
              <w:t>;</w:t>
            </w:r>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r>
        <w:rPr>
          <w:i/>
          <w:highlight w:val="green"/>
          <w:lang w:eastAsia="zh-CN"/>
        </w:rPr>
        <w:t>affectedCarrierFreqList</w:t>
      </w:r>
      <w:r>
        <w:t xml:space="preserve"> is reported for the adjacent channel interference, and the </w:t>
      </w:r>
      <w:r>
        <w:rPr>
          <w:i/>
        </w:rPr>
        <w:t>TDM-AssistanceInfo-r11</w:t>
      </w:r>
      <w:r>
        <w:t xml:space="preserve"> is independent from the UL CA frequencies reported for inter-modulation (i.e. </w:t>
      </w:r>
      <w:r>
        <w:rPr>
          <w:i/>
        </w:rPr>
        <w:t>affectedCarrierFreqCombList</w:t>
      </w:r>
      <w:r>
        <w:t xml:space="preserve"> and </w:t>
      </w:r>
      <w:r>
        <w:rPr>
          <w:i/>
        </w:rPr>
        <w:t>affectedCarrierFreqCombInfoListMRDC</w:t>
      </w:r>
      <w:r>
        <w:t xml:space="preserve">). </w:t>
      </w:r>
    </w:p>
    <w:p w14:paraId="0E43F79D" w14:textId="77777777" w:rsidR="00685F6E" w:rsidRDefault="00453C58">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Heading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This is also aligned with the LTE design principles. On the other hand, since the LTE baseline solution of TDM assistance information is independent from the UL CA frequencies reported for inter-modulation interference, we think that clear motivations need to be provided on designling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In the LTE only TDM assistance information on the Pcell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TDM assistance information for IDC affected frequency list can be considered as baseline. additional information could be futher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27D2344F"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097F7D9" w14:textId="4B1A1F66" w:rsidR="00685F6E" w:rsidRDefault="00CD76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685F6E"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73EDE4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685F6E" w:rsidRDefault="00685F6E">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55057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5C07AB4" w14:textId="77777777" w:rsidR="00685F6E" w:rsidRDefault="00685F6E">
            <w:pPr>
              <w:spacing w:after="0"/>
              <w:rPr>
                <w:rFonts w:ascii="Arial" w:eastAsia="MS Mincho" w:hAnsi="Arial" w:cs="Arial"/>
                <w:bCs/>
                <w:lang w:eastAsia="ja-JP"/>
              </w:rPr>
            </w:pP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F2C2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51134AE" w14:textId="77777777" w:rsidR="00685F6E" w:rsidRDefault="00685F6E">
            <w:pPr>
              <w:spacing w:after="0"/>
              <w:rPr>
                <w:rFonts w:ascii="Arial" w:eastAsia="MS Mincho" w:hAnsi="Arial" w:cs="Arial"/>
                <w:bCs/>
                <w:lang w:eastAsia="ja-JP"/>
              </w:rPr>
            </w:pP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00988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EAA951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7A2F3" w14:textId="77777777"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7373A5B5" w14:textId="77777777" w:rsidR="00685F6E" w:rsidRDefault="00453C58">
      <w:pPr>
        <w:pStyle w:val="Heading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(Rapporteur’s comment: Whether multiple DRX(s) within or across different cell groups or whether more paramters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DengXian" w:hAnsi="Arial" w:cs="Arial"/>
                <w:bCs/>
                <w:lang w:eastAsia="zh-CN"/>
              </w:rPr>
            </w:pPr>
            <w:r>
              <w:rPr>
                <w:rFonts w:ascii="Arial" w:eastAsia="DengXian" w:hAnsi="Arial" w:cs="Arial"/>
                <w:bCs/>
                <w:lang w:eastAsia="zh-CN"/>
              </w:rPr>
              <w:t>RAN2 needs to perform fo down-selection of DRX pattern and MUSIM gap-like</w:t>
            </w:r>
            <w:r w:rsidR="00E602F7">
              <w:rPr>
                <w:rFonts w:ascii="Arial" w:eastAsia="DengXian" w:hAnsi="Arial" w:cs="Arial"/>
                <w:bCs/>
                <w:lang w:eastAsia="zh-CN"/>
              </w:rPr>
              <w:t xml:space="preserve"> first</w:t>
            </w:r>
            <w:r>
              <w:rPr>
                <w:rFonts w:ascii="Arial" w:eastAsia="DengXian"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5D1863DA"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EF1DC7D" w14:textId="399AB7D4" w:rsidR="00685F6E" w:rsidRDefault="00CD7647">
            <w:pPr>
              <w:spacing w:after="0"/>
              <w:rPr>
                <w:rFonts w:ascii="Arial" w:eastAsia="MS Mincho" w:hAnsi="Arial" w:cs="Arial"/>
                <w:bCs/>
                <w:lang w:eastAsia="ja-JP"/>
              </w:rPr>
            </w:pPr>
            <w:r>
              <w:rPr>
                <w:rFonts w:ascii="Arial" w:eastAsia="MS Mincho" w:hAnsi="Arial" w:cs="Arial"/>
                <w:bCs/>
                <w:lang w:eastAsia="ja-JP"/>
              </w:rPr>
              <w:t>Yes with comments</w:t>
            </w:r>
          </w:p>
        </w:tc>
        <w:tc>
          <w:tcPr>
            <w:tcW w:w="6216" w:type="dxa"/>
            <w:tcBorders>
              <w:top w:val="single" w:sz="4" w:space="0" w:color="auto"/>
              <w:left w:val="single" w:sz="4" w:space="0" w:color="auto"/>
              <w:bottom w:val="single" w:sz="4" w:space="0" w:color="auto"/>
              <w:right w:val="single" w:sz="4" w:space="0" w:color="auto"/>
            </w:tcBorders>
          </w:tcPr>
          <w:p w14:paraId="7FA499F9" w14:textId="05DF1D30" w:rsidR="00685F6E" w:rsidRDefault="00CD76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7D24C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8F833B7" w14:textId="77777777" w:rsidR="00685F6E" w:rsidRDefault="00685F6E">
            <w:pPr>
              <w:spacing w:after="0"/>
              <w:rPr>
                <w:rFonts w:ascii="Arial" w:eastAsia="MS Mincho" w:hAnsi="Arial" w:cs="Arial"/>
                <w:bCs/>
                <w:lang w:eastAsia="ja-JP"/>
              </w:rPr>
            </w:pP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6704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88E46F6" w14:textId="77777777" w:rsidR="00685F6E" w:rsidRDefault="00685F6E">
            <w:pPr>
              <w:spacing w:after="0"/>
              <w:rPr>
                <w:rFonts w:ascii="Arial" w:eastAsia="MS Mincho" w:hAnsi="Arial" w:cs="Arial"/>
                <w:bCs/>
                <w:lang w:eastAsia="ja-JP"/>
              </w:rPr>
            </w:pP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E294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6018AD" w14:textId="77777777" w:rsidR="00685F6E" w:rsidRDefault="00685F6E">
            <w:pPr>
              <w:spacing w:after="0"/>
              <w:rPr>
                <w:rFonts w:ascii="Arial" w:eastAsia="MS Mincho" w:hAnsi="Arial" w:cs="Arial"/>
                <w:bCs/>
                <w:lang w:eastAsia="ja-JP"/>
              </w:rPr>
            </w:pP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9A7A39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3BDF2C" w14:textId="77777777" w:rsidR="00685F6E" w:rsidRDefault="00685F6E">
            <w:pPr>
              <w:spacing w:after="0"/>
              <w:rPr>
                <w:rFonts w:ascii="Arial" w:eastAsia="MS Mincho" w:hAnsi="Arial" w:cs="Arial"/>
                <w:bCs/>
                <w:lang w:eastAsia="ja-JP"/>
              </w:rPr>
            </w:pP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D5CF0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11C962DC" w14:textId="77777777" w:rsidR="00685F6E" w:rsidRDefault="00453C58">
      <w:pPr>
        <w:pStyle w:val="Heading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5B83DC9A" w:rsidR="00685F6E" w:rsidRDefault="000511B3">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8618F4E" w14:textId="365A847C" w:rsidR="00685F6E" w:rsidRDefault="000511B3">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C37742" w14:textId="442A1AB2" w:rsidR="00685F6E" w:rsidRDefault="000511B3">
            <w:pPr>
              <w:spacing w:after="0"/>
              <w:rPr>
                <w:rFonts w:ascii="Arial" w:eastAsia="MS Mincho" w:hAnsi="Arial" w:cs="Arial"/>
                <w:bCs/>
                <w:lang w:eastAsia="ja-JP"/>
              </w:rPr>
            </w:pPr>
            <w:r>
              <w:rPr>
                <w:rFonts w:ascii="Arial" w:eastAsia="MS Mincho" w:hAnsi="Arial" w:cs="Arial"/>
                <w:bCs/>
                <w:lang w:eastAsia="ja-JP"/>
              </w:rPr>
              <w:t>In LTE IDC, HARQ process reservation based solution was to keep the HARQ process un-interrupted. However in NR, we don’t think t</w:t>
            </w:r>
            <w:r w:rsidR="00582620">
              <w:rPr>
                <w:rFonts w:ascii="Arial" w:eastAsia="MS Mincho" w:hAnsi="Arial" w:cs="Arial"/>
                <w:bCs/>
                <w:lang w:eastAsia="ja-JP"/>
              </w:rPr>
              <w:t>he issue</w:t>
            </w:r>
            <w:r>
              <w:rPr>
                <w:rFonts w:ascii="Arial" w:eastAsia="MS Mincho" w:hAnsi="Arial" w:cs="Arial"/>
                <w:bCs/>
                <w:lang w:eastAsia="ja-JP"/>
              </w:rPr>
              <w:t xml:space="preserve"> is still justified as the HARQ timeline becomes much more flexible. </w:t>
            </w: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C54157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90485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356311" w14:textId="77777777" w:rsidR="00685F6E" w:rsidRDefault="00685F6E">
            <w:pPr>
              <w:spacing w:after="0"/>
              <w:rPr>
                <w:rFonts w:ascii="Arial" w:eastAsia="MS Mincho" w:hAnsi="Arial" w:cs="Arial"/>
                <w:bCs/>
                <w:lang w:eastAsia="ja-JP"/>
              </w:rPr>
            </w:pP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2D46B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4FEA6FC" w14:textId="77777777" w:rsidR="00685F6E" w:rsidRDefault="00685F6E">
            <w:pPr>
              <w:spacing w:after="0"/>
              <w:rPr>
                <w:rFonts w:ascii="Arial" w:eastAsia="MS Mincho" w:hAnsi="Arial" w:cs="Arial"/>
                <w:bCs/>
                <w:lang w:eastAsia="ja-JP"/>
              </w:rPr>
            </w:pP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88D0D1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63CC3F5" w14:textId="77777777" w:rsidR="00685F6E" w:rsidRDefault="00685F6E">
            <w:pPr>
              <w:spacing w:after="0"/>
              <w:rPr>
                <w:rFonts w:ascii="Arial" w:eastAsia="MS Mincho" w:hAnsi="Arial" w:cs="Arial"/>
                <w:bCs/>
                <w:lang w:eastAsia="ja-JP"/>
              </w:rPr>
            </w:pP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69409D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4993FC" w14:textId="77777777" w:rsidR="00685F6E" w:rsidRDefault="00685F6E">
            <w:pPr>
              <w:spacing w:after="0"/>
              <w:rPr>
                <w:rFonts w:ascii="Arial" w:eastAsia="MS Mincho" w:hAnsi="Arial" w:cs="Arial"/>
                <w:bCs/>
                <w:lang w:eastAsia="ja-JP"/>
              </w:rPr>
            </w:pPr>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TableGrid"/>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r>
              <w:rPr>
                <w:i/>
              </w:rPr>
              <w:t>autonomousDenialParameters</w:t>
            </w:r>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Heading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DengXian"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59C1CFEA" w:rsidR="00685F6E" w:rsidRDefault="00582620">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F9F805D" w14:textId="6EFC3F31" w:rsidR="00685F6E" w:rsidRDefault="00582620">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3C8EB5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27A76B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28BCD7" w14:textId="77777777" w:rsidR="00685F6E" w:rsidRDefault="00685F6E">
            <w:pPr>
              <w:spacing w:after="0"/>
              <w:rPr>
                <w:rFonts w:ascii="Arial" w:eastAsia="MS Mincho" w:hAnsi="Arial" w:cs="Arial"/>
                <w:bCs/>
                <w:lang w:eastAsia="ja-JP"/>
              </w:rPr>
            </w:pP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4739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0A24C2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08DAAA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Heading2"/>
      </w:pPr>
    </w:p>
    <w:p w14:paraId="14203CFF" w14:textId="324D0D1B" w:rsidR="00685F6E" w:rsidRDefault="00453C58">
      <w:pPr>
        <w:pStyle w:val="Heading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[2][5][8][10][12]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TableGrid"/>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 xml:space="preserve">MUSIM-GapInfo-r17 ::=               </w:t>
            </w:r>
            <w:r>
              <w:rPr>
                <w:color w:val="993366"/>
              </w:rPr>
              <w:t>SEQUENCE</w:t>
            </w:r>
            <w:r>
              <w:t xml:space="preserve"> {</w:t>
            </w:r>
          </w:p>
          <w:p w14:paraId="53A8859F" w14:textId="77777777" w:rsidR="00685F6E" w:rsidRDefault="00453C58">
            <w:pPr>
              <w:pStyle w:val="PL"/>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t xml:space="preserve">        ms20-r17                            </w:t>
            </w:r>
            <w:r>
              <w:rPr>
                <w:color w:val="993366"/>
              </w:rPr>
              <w:t>INTEGER</w:t>
            </w:r>
            <w:r>
              <w:t xml:space="preserve"> (0..19),</w:t>
            </w:r>
          </w:p>
          <w:p w14:paraId="205DD398" w14:textId="77777777" w:rsidR="00685F6E" w:rsidRDefault="00453C58">
            <w:pPr>
              <w:pStyle w:val="PL"/>
            </w:pPr>
            <w:r>
              <w:t xml:space="preserve">        ms40-r17                            </w:t>
            </w:r>
            <w:r>
              <w:rPr>
                <w:color w:val="993366"/>
              </w:rPr>
              <w:t>INTEGER</w:t>
            </w:r>
            <w:r>
              <w:t xml:space="preserve"> (0..39),</w:t>
            </w:r>
          </w:p>
          <w:p w14:paraId="4A8B40B7" w14:textId="77777777" w:rsidR="00685F6E" w:rsidRDefault="00453C58">
            <w:pPr>
              <w:pStyle w:val="PL"/>
            </w:pPr>
            <w:r>
              <w:t xml:space="preserve">        ms80-r17                            </w:t>
            </w:r>
            <w:r>
              <w:rPr>
                <w:color w:val="993366"/>
              </w:rPr>
              <w:t>INTEGER</w:t>
            </w:r>
            <w:r>
              <w:t xml:space="preserve"> (0..79),</w:t>
            </w:r>
          </w:p>
          <w:p w14:paraId="5B3E85CB" w14:textId="77777777" w:rsidR="00685F6E" w:rsidRDefault="00453C58">
            <w:pPr>
              <w:pStyle w:val="PL"/>
            </w:pPr>
            <w:r>
              <w:t xml:space="preserve">        ms160-r17                           </w:t>
            </w:r>
            <w:r>
              <w:rPr>
                <w:color w:val="993366"/>
              </w:rPr>
              <w:t>INTEGER</w:t>
            </w:r>
            <w:r>
              <w:t xml:space="preserve"> (0..159),</w:t>
            </w:r>
          </w:p>
          <w:p w14:paraId="089FAA5F" w14:textId="77777777" w:rsidR="00685F6E" w:rsidRDefault="00453C58">
            <w:pPr>
              <w:pStyle w:val="PL"/>
            </w:pPr>
            <w:r>
              <w:t xml:space="preserve">        ms320-r17                           </w:t>
            </w:r>
            <w:r>
              <w:rPr>
                <w:color w:val="993366"/>
              </w:rPr>
              <w:t>INTEGER</w:t>
            </w:r>
            <w:r>
              <w:t xml:space="preserve"> (0..319),</w:t>
            </w:r>
          </w:p>
          <w:p w14:paraId="7057A805" w14:textId="77777777" w:rsidR="00685F6E" w:rsidRDefault="00453C58">
            <w:pPr>
              <w:pStyle w:val="PL"/>
            </w:pPr>
            <w:r>
              <w:t xml:space="preserve">        ms640-r17                           </w:t>
            </w:r>
            <w:r>
              <w:rPr>
                <w:color w:val="993366"/>
              </w:rPr>
              <w:t>INTEGER</w:t>
            </w:r>
            <w:r>
              <w:t xml:space="preserve"> (0..639),</w:t>
            </w:r>
          </w:p>
          <w:p w14:paraId="6DD5B9C8" w14:textId="77777777" w:rsidR="00685F6E" w:rsidRDefault="00453C58">
            <w:pPr>
              <w:pStyle w:val="PL"/>
            </w:pPr>
            <w:r>
              <w:t xml:space="preserve">        ms1280-r17                          </w:t>
            </w:r>
            <w:r>
              <w:rPr>
                <w:color w:val="993366"/>
              </w:rPr>
              <w:t>INTEGER</w:t>
            </w:r>
            <w:r>
              <w:t xml:space="preserve"> (0..1279),</w:t>
            </w:r>
          </w:p>
          <w:p w14:paraId="3B451223" w14:textId="77777777" w:rsidR="00685F6E" w:rsidRDefault="00453C58">
            <w:pPr>
              <w:pStyle w:val="PL"/>
            </w:pPr>
            <w:r>
              <w:t xml:space="preserve">        ms2560-r17                          </w:t>
            </w:r>
            <w:r>
              <w:rPr>
                <w:color w:val="993366"/>
              </w:rPr>
              <w:t>INTEGER</w:t>
            </w:r>
            <w:r>
              <w:t xml:space="preserve"> (0..2559),</w:t>
            </w:r>
          </w:p>
          <w:p w14:paraId="63D59284" w14:textId="77777777" w:rsidR="00685F6E" w:rsidRDefault="00453C58">
            <w:pPr>
              <w:pStyle w:val="PL"/>
            </w:pPr>
            <w:r>
              <w:t xml:space="preserve">        ms5120-r17                          </w:t>
            </w:r>
            <w:r>
              <w:rPr>
                <w:color w:val="993366"/>
              </w:rPr>
              <w:t>INTEGER</w:t>
            </w:r>
            <w:r>
              <w:t xml:space="preserve"> (0..5119),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 xml:space="preserve">MUSIM-Starting-SFN-AndSubframe-r17 ::=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(0..1023),</w:t>
            </w:r>
          </w:p>
          <w:p w14:paraId="3D85C783" w14:textId="77777777" w:rsidR="00685F6E" w:rsidRDefault="00453C58">
            <w:pPr>
              <w:pStyle w:val="PL"/>
            </w:pPr>
            <w:r>
              <w:t xml:space="preserve">    startingSubframe-r17                   </w:t>
            </w:r>
            <w:r>
              <w:rPr>
                <w:color w:val="993366"/>
              </w:rPr>
              <w:t>INTEGER</w:t>
            </w:r>
            <w:r>
              <w:t xml:space="preserve"> (0..9)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is more flexible and suitable for resolving the IDC intereference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14:paraId="67C781FA" w14:textId="77777777" w:rsidR="00685F6E" w:rsidRDefault="00453C58">
      <w:pPr>
        <w:pStyle w:val="Heading4"/>
        <w:rPr>
          <w:lang w:eastAsia="zh-CN"/>
        </w:rPr>
      </w:pPr>
      <w:r>
        <w:rPr>
          <w:lang w:eastAsia="zh-CN"/>
        </w:rPr>
        <w:t>Question 8: Do you think think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AN2 needs to evaluate/discuss which one (DRX based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4EE483DA" w:rsidR="00685F6E" w:rsidRPr="008D5AAE" w:rsidRDefault="008D5AA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02220B2C" w14:textId="0B008247" w:rsidR="00685F6E" w:rsidRDefault="008D5AAE">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6F134716" w14:textId="67BD2CE6" w:rsidR="00685F6E" w:rsidRDefault="008D5AAE">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A043F13"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FF4B3DD" w14:textId="77777777" w:rsidR="00685F6E" w:rsidRDefault="00685F6E">
            <w:pPr>
              <w:spacing w:after="0"/>
              <w:rPr>
                <w:rFonts w:ascii="Arial" w:eastAsia="MS Mincho" w:hAnsi="Arial" w:cs="Arial"/>
                <w:bCs/>
                <w:lang w:eastAsia="ja-JP"/>
              </w:rPr>
            </w:pP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2C6089D3"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E943328" w14:textId="77777777" w:rsidR="00685F6E" w:rsidRDefault="00685F6E">
            <w:pPr>
              <w:spacing w:after="0"/>
              <w:rPr>
                <w:rFonts w:ascii="Arial" w:eastAsia="MS Mincho" w:hAnsi="Arial" w:cs="Arial"/>
                <w:bCs/>
                <w:lang w:eastAsia="ja-JP"/>
              </w:rPr>
            </w:pP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TDM-AssistanceInfo</w:t>
      </w:r>
      <w:r>
        <w:t xml:space="preserve"> in LTE, and is also not part of the TDM solutions as listed in the IDC 3GPP TR 36.816. If companies want to introduce the hardware sharing </w:t>
      </w:r>
      <w:r>
        <w:lastRenderedPageBreak/>
        <w:t>indication also for NR, more clarifications (e.g. whether/how to use the legacy indication or a new indication for LTE and NR for MR-DC) are needed.</w:t>
      </w:r>
    </w:p>
    <w:p w14:paraId="58241BA4" w14:textId="77777777" w:rsidR="00685F6E" w:rsidRDefault="00453C58">
      <w:pPr>
        <w:pStyle w:val="Heading4"/>
        <w:rPr>
          <w:lang w:eastAsia="zh-CN"/>
        </w:rPr>
      </w:pPr>
      <w:r>
        <w:rPr>
          <w:lang w:eastAsia="zh-CN"/>
        </w:rPr>
        <w:t>Question 9: Do you think think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08D2A187" w:rsidR="00685F6E" w:rsidRDefault="00211CA8">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3CE4C177" w14:textId="32C1EFF3" w:rsidR="00685F6E" w:rsidRDefault="00211CA8">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EDEC10F" w14:textId="1BD94316" w:rsidR="00685F6E" w:rsidRDefault="00211CA8">
            <w:pPr>
              <w:spacing w:after="0"/>
              <w:rPr>
                <w:rFonts w:ascii="Arial" w:eastAsia="MS Mincho" w:hAnsi="Arial" w:cs="Arial"/>
                <w:bCs/>
                <w:lang w:eastAsia="ja-JP"/>
              </w:rPr>
            </w:pPr>
            <w:r>
              <w:rPr>
                <w:rFonts w:ascii="Arial" w:eastAsia="MS Mincho" w:hAnsi="Arial" w:cs="Arial"/>
                <w:bCs/>
                <w:lang w:eastAsia="ja-JP"/>
              </w:rPr>
              <w:t xml:space="preserve">We are fine with xiaomi’s proposal </w:t>
            </w:r>
            <w:r w:rsidR="00F70F93">
              <w:rPr>
                <w:rFonts w:ascii="Arial" w:eastAsia="MS Mincho" w:hAnsi="Arial" w:cs="Arial"/>
                <w:bCs/>
                <w:lang w:eastAsia="ja-JP"/>
              </w:rPr>
              <w:t xml:space="preserve">that </w:t>
            </w:r>
            <w:r>
              <w:rPr>
                <w:rFonts w:ascii="Arial" w:eastAsia="MS Mincho" w:hAnsi="Arial" w:cs="Arial"/>
                <w:bCs/>
                <w:lang w:eastAsia="ja-JP"/>
              </w:rPr>
              <w:t>if companies have interests to include hardware sharing, it can be brought to RAN plenary.</w:t>
            </w: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46A3694"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E129C9A"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Heading1"/>
      </w:pPr>
      <w:r>
        <w:t>3.</w:t>
      </w:r>
      <w:r>
        <w:tab/>
        <w:t>Conclusion</w:t>
      </w:r>
    </w:p>
    <w:p w14:paraId="1D6B57CA" w14:textId="77777777" w:rsidR="00685F6E" w:rsidRDefault="00453C58">
      <w:pPr>
        <w:rPr>
          <w:rFonts w:eastAsia="DengXian"/>
          <w:lang w:eastAsia="zh-CN"/>
        </w:rPr>
      </w:pPr>
      <w:r>
        <w:rPr>
          <w:rFonts w:eastAsia="DengXian" w:hint="eastAsia"/>
          <w:highlight w:val="yellow"/>
          <w:lang w:eastAsia="zh-CN"/>
        </w:rPr>
        <w:t>T</w:t>
      </w:r>
      <w:r>
        <w:rPr>
          <w:rFonts w:eastAsia="DengXian"/>
          <w:highlight w:val="yellow"/>
          <w:lang w:eastAsia="zh-CN"/>
        </w:rPr>
        <w:t>BD</w:t>
      </w:r>
    </w:p>
    <w:p w14:paraId="3A1398CE" w14:textId="77777777" w:rsidR="00685F6E" w:rsidRDefault="00453C58">
      <w:pPr>
        <w:pStyle w:val="Heading1"/>
      </w:pPr>
      <w:r>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t>NR_IDC_Enh-Core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t>NR_IDC_Enh-Core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t>NR_IDC_Enh-Core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t>NR_IDC_Enh-Core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t>NR_IDC_Enh-Core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t>NR_IDC_Enh-Core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Huawei, HiSilicon</w:t>
      </w:r>
      <w:r>
        <w:tab/>
        <w:t>discussion</w:t>
      </w:r>
      <w:r>
        <w:tab/>
        <w:t>Rel-18</w:t>
      </w:r>
      <w:r>
        <w:tab/>
        <w:t>NR_IDC_Enh-Core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t>NR_IDC_Enh-Core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ZTE Corporation, Sanechips</w:t>
      </w:r>
      <w:r>
        <w:tab/>
        <w:t>discussion</w:t>
      </w:r>
      <w:r>
        <w:tab/>
        <w:t>Rel-18</w:t>
      </w:r>
      <w:r>
        <w:tab/>
        <w:t>NR_IDC_Enh-Core</w:t>
      </w:r>
    </w:p>
    <w:p w14:paraId="031ED581" w14:textId="77777777" w:rsidR="00685F6E" w:rsidRDefault="00685F6E">
      <w:pPr>
        <w:pStyle w:val="B1"/>
        <w:ind w:left="0" w:firstLine="0"/>
        <w:rPr>
          <w:lang w:eastAsia="zh-CN"/>
        </w:rPr>
      </w:pPr>
    </w:p>
    <w:sectPr w:rsidR="00685F6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A5AB" w14:textId="77777777" w:rsidR="00F35329" w:rsidRDefault="00F35329">
      <w:pPr>
        <w:spacing w:after="0"/>
      </w:pPr>
      <w:r>
        <w:separator/>
      </w:r>
    </w:p>
  </w:endnote>
  <w:endnote w:type="continuationSeparator" w:id="0">
    <w:p w14:paraId="74501B5E" w14:textId="77777777" w:rsidR="00F35329" w:rsidRDefault="00F35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Content>
      <w:p w14:paraId="332C017B" w14:textId="77777777" w:rsidR="00685F6E" w:rsidRDefault="00453C58">
        <w:pPr>
          <w:pStyle w:val="Footer"/>
        </w:pPr>
        <w:r>
          <w:fldChar w:fldCharType="begin"/>
        </w:r>
        <w:r>
          <w:instrText xml:space="preserve"> PAGE   \* MERGEFORMAT </w:instrText>
        </w:r>
        <w:r>
          <w:fldChar w:fldCharType="separate"/>
        </w:r>
        <w:r>
          <w:t>9</w:t>
        </w:r>
        <w:r>
          <w:fldChar w:fldCharType="end"/>
        </w:r>
      </w:p>
    </w:sdtContent>
  </w:sdt>
  <w:p w14:paraId="3A419530" w14:textId="77777777" w:rsidR="00685F6E" w:rsidRDefault="0068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09E" w14:textId="77777777" w:rsidR="00F35329" w:rsidRDefault="00F35329">
      <w:pPr>
        <w:spacing w:after="0"/>
      </w:pPr>
      <w:r>
        <w:separator/>
      </w:r>
    </w:p>
  </w:footnote>
  <w:footnote w:type="continuationSeparator" w:id="0">
    <w:p w14:paraId="4DBCD535" w14:textId="77777777" w:rsidR="00F35329" w:rsidRDefault="00F353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134549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74277309">
    <w:abstractNumId w:val="15"/>
  </w:num>
  <w:num w:numId="3" w16cid:durableId="1771273343">
    <w:abstractNumId w:val="10"/>
  </w:num>
  <w:num w:numId="4" w16cid:durableId="351222427">
    <w:abstractNumId w:val="3"/>
  </w:num>
  <w:num w:numId="5" w16cid:durableId="337004639">
    <w:abstractNumId w:val="8"/>
  </w:num>
  <w:num w:numId="6" w16cid:durableId="804853919">
    <w:abstractNumId w:val="7"/>
  </w:num>
  <w:num w:numId="7" w16cid:durableId="429274552">
    <w:abstractNumId w:val="9"/>
  </w:num>
  <w:num w:numId="8" w16cid:durableId="1624655930">
    <w:abstractNumId w:val="13"/>
  </w:num>
  <w:num w:numId="9" w16cid:durableId="734351822">
    <w:abstractNumId w:val="1"/>
  </w:num>
  <w:num w:numId="10" w16cid:durableId="1065570086">
    <w:abstractNumId w:val="5"/>
  </w:num>
  <w:num w:numId="11" w16cid:durableId="1898710494">
    <w:abstractNumId w:val="4"/>
  </w:num>
  <w:num w:numId="12" w16cid:durableId="1631667256">
    <w:abstractNumId w:val="11"/>
  </w:num>
  <w:num w:numId="13" w16cid:durableId="1311859866">
    <w:abstractNumId w:val="12"/>
  </w:num>
  <w:num w:numId="14" w16cid:durableId="71395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342508">
    <w:abstractNumId w:val="2"/>
  </w:num>
  <w:num w:numId="16" w16cid:durableId="34304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F810-E4C6-4759-8009-0D2A425CCCD3}">
  <ds:schemaRefs>
    <ds:schemaRef ds:uri="http://schemas.openxmlformats.org/officeDocument/2006/bibliography"/>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794</TotalTime>
  <Pages>9</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Yuqin Chen</cp:lastModifiedBy>
  <cp:revision>978</cp:revision>
  <cp:lastPrinted>2021-08-12T09:51:00Z</cp:lastPrinted>
  <dcterms:created xsi:type="dcterms:W3CDTF">2022-01-21T02:10:00Z</dcterms:created>
  <dcterms:modified xsi:type="dcterms:W3CDTF">2022-08-22T07:36:00Z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