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[AT119-e][028][ePowSav]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[AT119-e][028][ePowSav]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a3"/>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a3"/>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6F052640"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2886" w:type="dxa"/>
            <w:vAlign w:val="center"/>
          </w:tcPr>
          <w:p w14:paraId="5963A1EC" w14:textId="554132FE" w:rsidR="00D17F2C" w:rsidRPr="00D17F2C"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C</w:t>
            </w:r>
            <w:r>
              <w:rPr>
                <w:rFonts w:ascii="Times New Roman" w:eastAsia="Times New Roman" w:hAnsi="Times New Roman"/>
                <w:sz w:val="18"/>
                <w:szCs w:val="18"/>
                <w:lang w:val="en-GB" w:eastAsia="zh-CN"/>
              </w:rPr>
              <w:t>henli</w:t>
            </w:r>
          </w:p>
        </w:tc>
        <w:tc>
          <w:tcPr>
            <w:tcW w:w="4111" w:type="dxa"/>
            <w:shd w:val="clear" w:color="auto" w:fill="auto"/>
            <w:vAlign w:val="center"/>
          </w:tcPr>
          <w:p w14:paraId="5E47BE03" w14:textId="148E5634" w:rsidR="00D17F2C" w:rsidRPr="00F25F20" w:rsidRDefault="001E6996" w:rsidP="00D17F2C">
            <w:pPr>
              <w:overflowPunct w:val="0"/>
              <w:autoSpaceDE w:val="0"/>
              <w:autoSpaceDN w:val="0"/>
              <w:adjustRightInd w:val="0"/>
              <w:spacing w:before="60" w:after="60"/>
              <w:textAlignment w:val="baseline"/>
              <w:rPr>
                <w:rFonts w:ascii="Times New Roman" w:eastAsia="Times New Roman" w:hAnsi="Times New Roman"/>
                <w:sz w:val="18"/>
                <w:szCs w:val="18"/>
                <w:lang w:eastAsia="zh-CN"/>
              </w:rPr>
            </w:pPr>
            <w:r>
              <w:rPr>
                <w:rFonts w:ascii="Times New Roman" w:eastAsia="Times New Roman" w:hAnsi="Times New Roman"/>
                <w:sz w:val="18"/>
                <w:szCs w:val="18"/>
                <w:lang w:val="en-GB" w:eastAsia="zh-CN"/>
              </w:rPr>
              <w:t>Chenli5g@vivo.com</w:t>
            </w:r>
          </w:p>
        </w:tc>
      </w:tr>
      <w:tr w:rsidR="00D17F2C" w:rsidRPr="00D17F2C" w14:paraId="598FEBB4" w14:textId="77777777" w:rsidTr="00D17F2C">
        <w:tc>
          <w:tcPr>
            <w:tcW w:w="2104" w:type="dxa"/>
            <w:vAlign w:val="center"/>
          </w:tcPr>
          <w:p w14:paraId="745807BD" w14:textId="7793FE0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2886" w:type="dxa"/>
            <w:vAlign w:val="center"/>
          </w:tcPr>
          <w:p w14:paraId="2BC6F984" w14:textId="57D717CE"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 Bertrand</w:t>
            </w:r>
          </w:p>
        </w:tc>
        <w:tc>
          <w:tcPr>
            <w:tcW w:w="4111" w:type="dxa"/>
            <w:shd w:val="clear" w:color="auto" w:fill="auto"/>
            <w:vAlign w:val="center"/>
          </w:tcPr>
          <w:p w14:paraId="0B5F1406" w14:textId="38ED1DFD" w:rsidR="00D17F2C" w:rsidRPr="00D17F2C" w:rsidRDefault="00E056A0"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pierrebertrand@catt.cn</w:t>
            </w:r>
          </w:p>
        </w:tc>
      </w:tr>
      <w:tr w:rsidR="00133002" w:rsidRPr="00D17F2C" w14:paraId="37031DF7" w14:textId="77777777" w:rsidTr="00D17F2C">
        <w:tc>
          <w:tcPr>
            <w:tcW w:w="2104" w:type="dxa"/>
            <w:vAlign w:val="center"/>
          </w:tcPr>
          <w:p w14:paraId="7038DA1F" w14:textId="1619BFE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2886" w:type="dxa"/>
            <w:vAlign w:val="center"/>
          </w:tcPr>
          <w:p w14:paraId="01523F75" w14:textId="74E4E69F"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Haitao Li</w:t>
            </w:r>
          </w:p>
        </w:tc>
        <w:tc>
          <w:tcPr>
            <w:tcW w:w="4111" w:type="dxa"/>
            <w:shd w:val="clear" w:color="auto" w:fill="auto"/>
            <w:vAlign w:val="center"/>
          </w:tcPr>
          <w:p w14:paraId="4B592C3E" w14:textId="0C7067D0" w:rsidR="00133002" w:rsidRPr="00D17F2C"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l</w:t>
            </w:r>
            <w:r>
              <w:rPr>
                <w:rFonts w:ascii="Times New Roman" w:eastAsiaTheme="minorEastAsia" w:hAnsi="Times New Roman"/>
                <w:sz w:val="18"/>
                <w:szCs w:val="18"/>
                <w:lang w:val="en-GB" w:eastAsia="zh-CN"/>
              </w:rPr>
              <w:t>ihaitao@oppo.com</w:t>
            </w:r>
          </w:p>
        </w:tc>
      </w:tr>
      <w:tr w:rsidR="00BB1C5E" w:rsidRPr="00D17F2C" w14:paraId="4E7EC731" w14:textId="77777777" w:rsidTr="00B2156B">
        <w:tc>
          <w:tcPr>
            <w:tcW w:w="2104" w:type="dxa"/>
            <w:vAlign w:val="center"/>
          </w:tcPr>
          <w:p w14:paraId="02DC333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6F4F410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58591C63" w14:textId="77777777" w:rsidTr="00B2156B">
        <w:tc>
          <w:tcPr>
            <w:tcW w:w="2104" w:type="dxa"/>
            <w:vAlign w:val="center"/>
          </w:tcPr>
          <w:p w14:paraId="70AC833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6BCF9E8" w14:textId="77777777" w:rsidTr="00B2156B">
        <w:tc>
          <w:tcPr>
            <w:tcW w:w="2104" w:type="dxa"/>
            <w:vAlign w:val="center"/>
          </w:tcPr>
          <w:p w14:paraId="6DA2E8D7"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DCB6902"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F88309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03C84FEE" w14:textId="77777777" w:rsidTr="00B2156B">
        <w:tc>
          <w:tcPr>
            <w:tcW w:w="2104" w:type="dxa"/>
            <w:vAlign w:val="center"/>
          </w:tcPr>
          <w:p w14:paraId="5ACC0615"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012346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1"/>
      </w:pPr>
      <w:r>
        <w:lastRenderedPageBreak/>
        <w:t>Discussion</w:t>
      </w:r>
      <w:bookmarkEnd w:id="5"/>
    </w:p>
    <w:p w14:paraId="0D94B1BC" w14:textId="02CBEC4B" w:rsidR="009B43C2" w:rsidRPr="00BB1C5E" w:rsidRDefault="00BB1C5E" w:rsidP="00BB1C5E">
      <w:pPr>
        <w:pStyle w:val="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a3"/>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F25F20" w:rsidRPr="00706C48" w14:paraId="3C45BA46" w14:textId="77777777" w:rsidTr="00506CD5">
        <w:trPr>
          <w:trHeight w:val="354"/>
        </w:trPr>
        <w:tc>
          <w:tcPr>
            <w:tcW w:w="1420" w:type="dxa"/>
            <w:vAlign w:val="center"/>
          </w:tcPr>
          <w:p w14:paraId="05B7CC0D" w14:textId="42B007A4"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63C30C05" w14:textId="76F342FB" w:rsidR="00F25F20" w:rsidRPr="00706C48"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1A071CD7" w14:textId="77777777" w:rsidR="00D81ACF" w:rsidRDefault="00D81ACF" w:rsidP="00F25F20">
            <w:pPr>
              <w:overflowPunct w:val="0"/>
              <w:autoSpaceDE w:val="0"/>
              <w:autoSpaceDN w:val="0"/>
              <w:adjustRightInd w:val="0"/>
              <w:spacing w:before="60" w:after="60"/>
              <w:textAlignment w:val="baseline"/>
              <w:rPr>
                <w:rFonts w:ascii="Times New Roman" w:eastAsiaTheme="minorEastAsia" w:hAnsi="Times New Roman"/>
                <w:sz w:val="18"/>
                <w:szCs w:val="18"/>
                <w:lang w:val="en-GB" w:eastAsia="zh-CN"/>
              </w:rPr>
            </w:pPr>
            <w:r>
              <w:rPr>
                <w:rFonts w:ascii="Times New Roman" w:eastAsia="Times New Roman" w:hAnsi="Times New Roman"/>
                <w:sz w:val="18"/>
                <w:szCs w:val="18"/>
                <w:lang w:val="en-GB" w:eastAsia="zh-CN"/>
              </w:rPr>
              <w:t>In our understanding, t</w:t>
            </w:r>
            <w:r w:rsidRPr="00CE5182">
              <w:rPr>
                <w:rFonts w:ascii="Times New Roman" w:eastAsia="Times New Roman" w:hAnsi="Times New Roman"/>
                <w:sz w:val="18"/>
                <w:szCs w:val="18"/>
                <w:lang w:val="en-GB" w:eastAsia="zh-CN"/>
              </w:rPr>
              <w:t xml:space="preserve">he text “monitor the PDCCH </w:t>
            </w:r>
            <w:r w:rsidRPr="00CE5182">
              <w:rPr>
                <w:rFonts w:ascii="Times New Roman" w:eastAsiaTheme="minorEastAsia" w:hAnsi="Times New Roman"/>
                <w:sz w:val="18"/>
                <w:szCs w:val="18"/>
                <w:lang w:val="en-GB" w:eastAsia="zh-CN"/>
              </w:rPr>
              <w:t>on the Serving Cells in this DRX group as specified in TS 38.213</w:t>
            </w:r>
            <w:r>
              <w:rPr>
                <w:rFonts w:ascii="Times New Roman" w:eastAsiaTheme="minorEastAsia" w:hAnsi="Times New Roman"/>
                <w:sz w:val="18"/>
                <w:szCs w:val="18"/>
                <w:lang w:val="en-GB" w:eastAsia="zh-CN"/>
              </w:rPr>
              <w:t>” i</w:t>
            </w:r>
            <w:r w:rsidRPr="00CE5182">
              <w:rPr>
                <w:rFonts w:ascii="Times New Roman" w:eastAsiaTheme="minorEastAsia" w:hAnsi="Times New Roman"/>
                <w:sz w:val="18"/>
                <w:szCs w:val="18"/>
                <w:lang w:val="en-GB" w:eastAsia="zh-CN"/>
              </w:rPr>
              <w:t xml:space="preserve">ncludes the </w:t>
            </w:r>
            <w:r>
              <w:rPr>
                <w:rFonts w:ascii="Times New Roman" w:eastAsiaTheme="minorEastAsia" w:hAnsi="Times New Roman"/>
                <w:sz w:val="18"/>
                <w:szCs w:val="18"/>
                <w:lang w:val="en-GB" w:eastAsia="zh-CN"/>
              </w:rPr>
              <w:t xml:space="preserve">case for </w:t>
            </w:r>
            <w:r w:rsidRPr="00CE5182">
              <w:rPr>
                <w:rFonts w:ascii="Times New Roman" w:eastAsiaTheme="minorEastAsia" w:hAnsi="Times New Roman"/>
                <w:sz w:val="18"/>
                <w:szCs w:val="18"/>
                <w:lang w:val="en-GB" w:eastAsia="zh-CN"/>
              </w:rPr>
              <w:t xml:space="preserve">PDCCH skipping. </w:t>
            </w:r>
          </w:p>
          <w:p w14:paraId="4CB0F8CD" w14:textId="246026B2" w:rsidR="00F25F20" w:rsidRPr="00D81ACF" w:rsidRDefault="00D81ACF"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W</w:t>
            </w:r>
            <w:r>
              <w:rPr>
                <w:rFonts w:ascii="Times New Roman" w:eastAsia="Times New Roman" w:hAnsi="Times New Roman"/>
                <w:sz w:val="18"/>
                <w:szCs w:val="18"/>
                <w:lang w:val="en-GB" w:eastAsia="zh-CN"/>
              </w:rPr>
              <w:t xml:space="preserve">e are not sure about the motivation for this change. Anything missing in TS 38.321 or TS 38.213? If this is already clear in TS 38.213, we prefer not to capture duplicated description in TS 38.321. We would like to hear more justification for this change. </w:t>
            </w:r>
          </w:p>
        </w:tc>
      </w:tr>
      <w:tr w:rsidR="00F25F20" w:rsidRPr="00706C48" w14:paraId="4F06CA5A" w14:textId="77777777" w:rsidTr="00506CD5">
        <w:trPr>
          <w:trHeight w:val="354"/>
        </w:trPr>
        <w:tc>
          <w:tcPr>
            <w:tcW w:w="1420" w:type="dxa"/>
            <w:vAlign w:val="center"/>
          </w:tcPr>
          <w:p w14:paraId="1C030B81" w14:textId="7BA44D92"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5A07D530" w14:textId="76C51C7E"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98A7065" w14:textId="4C0752B4" w:rsidR="00F25F20" w:rsidRPr="00706C48" w:rsidRDefault="00E056A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with vivo. The reference to 38.213 already covers that. If possible, we would prefer to keep PDCCH skipping feature in RAN1 spec only.</w:t>
            </w:r>
          </w:p>
        </w:tc>
      </w:tr>
      <w:tr w:rsidR="00133002" w:rsidRPr="00706C48" w14:paraId="4E7BE9B2" w14:textId="77777777" w:rsidTr="00506CD5">
        <w:trPr>
          <w:trHeight w:val="354"/>
        </w:trPr>
        <w:tc>
          <w:tcPr>
            <w:tcW w:w="1420" w:type="dxa"/>
            <w:vAlign w:val="center"/>
          </w:tcPr>
          <w:p w14:paraId="601C4CC1" w14:textId="3DF22A3A"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38B970DD" w14:textId="0E4ABBF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 xml:space="preserve">No </w:t>
            </w:r>
          </w:p>
        </w:tc>
        <w:tc>
          <w:tcPr>
            <w:tcW w:w="6595" w:type="dxa"/>
            <w:shd w:val="clear" w:color="auto" w:fill="auto"/>
            <w:vAlign w:val="center"/>
          </w:tcPr>
          <w:p w14:paraId="3D2BA594" w14:textId="641A358B"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sz w:val="18"/>
                <w:szCs w:val="18"/>
                <w:lang w:val="en-GB" w:eastAsia="zh-CN"/>
              </w:rPr>
              <w:t>We think it is already clearly captured in TS 38.213. PDCCH skipping mechanism is invisible to MAC, so no need to capture it in MAC spec.</w:t>
            </w:r>
          </w:p>
        </w:tc>
      </w:tr>
      <w:tr w:rsidR="00F25F20" w:rsidRPr="00706C48" w14:paraId="56694ED0" w14:textId="77777777" w:rsidTr="00506CD5">
        <w:trPr>
          <w:trHeight w:val="354"/>
        </w:trPr>
        <w:tc>
          <w:tcPr>
            <w:tcW w:w="1420" w:type="dxa"/>
            <w:vAlign w:val="center"/>
          </w:tcPr>
          <w:p w14:paraId="02C11DB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59DDD55"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440D647"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19538A6C" w14:textId="77777777" w:rsidTr="00506CD5">
        <w:trPr>
          <w:trHeight w:val="354"/>
        </w:trPr>
        <w:tc>
          <w:tcPr>
            <w:tcW w:w="1420" w:type="dxa"/>
            <w:vAlign w:val="center"/>
          </w:tcPr>
          <w:p w14:paraId="2101666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DC2DD1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7A829AC"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46C1C18D" w14:textId="77777777" w:rsidTr="00506CD5">
        <w:trPr>
          <w:trHeight w:val="354"/>
        </w:trPr>
        <w:tc>
          <w:tcPr>
            <w:tcW w:w="1420" w:type="dxa"/>
            <w:vAlign w:val="center"/>
          </w:tcPr>
          <w:p w14:paraId="34F20A0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77A29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A5FC03"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B1BF4D9" w14:textId="77777777" w:rsidTr="00506CD5">
        <w:trPr>
          <w:trHeight w:val="354"/>
        </w:trPr>
        <w:tc>
          <w:tcPr>
            <w:tcW w:w="1420" w:type="dxa"/>
            <w:vAlign w:val="center"/>
          </w:tcPr>
          <w:p w14:paraId="5DC0D10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DBBAE" w14:textId="3787547B"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265EC03"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74F961E7" w14:textId="77777777" w:rsidTr="00506CD5">
        <w:trPr>
          <w:trHeight w:val="354"/>
        </w:trPr>
        <w:tc>
          <w:tcPr>
            <w:tcW w:w="1420" w:type="dxa"/>
            <w:vAlign w:val="center"/>
          </w:tcPr>
          <w:p w14:paraId="2E77AC3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2AC0FDF7" w14:textId="77777777" w:rsidTr="00506CD5">
        <w:trPr>
          <w:trHeight w:val="354"/>
        </w:trPr>
        <w:tc>
          <w:tcPr>
            <w:tcW w:w="1420" w:type="dxa"/>
            <w:vAlign w:val="center"/>
          </w:tcPr>
          <w:p w14:paraId="1E84A0C6"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F5CC8D9" w14:textId="77777777" w:rsidTr="00506CD5">
        <w:trPr>
          <w:trHeight w:val="354"/>
        </w:trPr>
        <w:tc>
          <w:tcPr>
            <w:tcW w:w="1420" w:type="dxa"/>
            <w:vAlign w:val="center"/>
          </w:tcPr>
          <w:p w14:paraId="64248A79"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3F261F95" w14:textId="77777777" w:rsidTr="00506CD5">
        <w:trPr>
          <w:trHeight w:val="354"/>
        </w:trPr>
        <w:tc>
          <w:tcPr>
            <w:tcW w:w="1420" w:type="dxa"/>
            <w:vAlign w:val="center"/>
          </w:tcPr>
          <w:p w14:paraId="09A72A2C"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4A4A52E9" w14:textId="77777777" w:rsidTr="00506CD5">
        <w:trPr>
          <w:trHeight w:val="337"/>
        </w:trPr>
        <w:tc>
          <w:tcPr>
            <w:tcW w:w="1420" w:type="dxa"/>
            <w:vAlign w:val="center"/>
          </w:tcPr>
          <w:p w14:paraId="4403290B"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F25F20" w:rsidRPr="00706C48" w14:paraId="167EFBC0" w14:textId="77777777" w:rsidTr="00506CD5">
        <w:trPr>
          <w:trHeight w:val="354"/>
        </w:trPr>
        <w:tc>
          <w:tcPr>
            <w:tcW w:w="1420" w:type="dxa"/>
            <w:vAlign w:val="center"/>
          </w:tcPr>
          <w:p w14:paraId="61CF41C0"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F25F20" w:rsidRPr="00706C48" w:rsidRDefault="00F25F20" w:rsidP="00F25F20">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t xml:space="preserve">PDCCH skipping is a L1 function (captured in section 10.4 in 38.213) that is configured via L3 (see </w:t>
      </w:r>
      <w:r w:rsidRPr="00506CD5">
        <w:rPr>
          <w:rFonts w:ascii="Times New Roman" w:hAnsi="Times New Roman"/>
          <w:i/>
          <w:iCs/>
        </w:rPr>
        <w:t>pdcch-SkippingDurationList</w:t>
      </w:r>
      <w:r w:rsidRPr="00506CD5">
        <w:rPr>
          <w:rFonts w:ascii="Times New Roman" w:hAnsi="Times New Roman"/>
          <w:i/>
          <w:iCs/>
          <w:lang w:val="en-GB" w:eastAsia="zh-CN"/>
        </w:rPr>
        <w:t xml:space="preserve"> in 38.331) using UE capability (see </w:t>
      </w:r>
      <w:r w:rsidRPr="00506CD5">
        <w:rPr>
          <w:rFonts w:ascii="Times New Roman" w:hAnsi="Times New Roman"/>
          <w:i/>
          <w:iCs/>
        </w:rPr>
        <w:t>pdcch-SkippingWithoutSSS and pdcch-SkippingWithSSSG</w:t>
      </w:r>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SpCell during monitoring of the </w:t>
      </w:r>
      <w:r w:rsidRPr="00506CD5">
        <w:rPr>
          <w:i/>
          <w:iCs/>
          <w:color w:val="2F5496" w:themeColor="accent1" w:themeShade="BF"/>
          <w:sz w:val="18"/>
          <w:szCs w:val="18"/>
          <w:highlight w:val="yellow"/>
          <w:lang w:eastAsia="zh-CN"/>
        </w:rPr>
        <w:t>RAR/MsgB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SpCell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SpCell during monitoring of the </w:t>
        </w:r>
        <w:r w:rsidRPr="006376C3">
          <w:rPr>
            <w:lang w:eastAsia="zh-CN"/>
          </w:rPr>
          <w:t>RAR/MsgB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0E8BAD6D"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v</w:t>
            </w:r>
            <w:r>
              <w:rPr>
                <w:rFonts w:ascii="Times New Roman" w:eastAsia="Times New Roman" w:hAnsi="Times New Roman"/>
                <w:sz w:val="18"/>
                <w:szCs w:val="18"/>
                <w:lang w:val="en-GB" w:eastAsia="zh-CN"/>
              </w:rPr>
              <w:t>ivo</w:t>
            </w:r>
          </w:p>
        </w:tc>
        <w:tc>
          <w:tcPr>
            <w:tcW w:w="1066" w:type="dxa"/>
            <w:shd w:val="clear" w:color="auto" w:fill="auto"/>
            <w:vAlign w:val="center"/>
          </w:tcPr>
          <w:p w14:paraId="7C7C4EEB" w14:textId="4DB9894A" w:rsidR="00073501" w:rsidRPr="00706C48" w:rsidRDefault="006D206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N</w:t>
            </w:r>
            <w:r>
              <w:rPr>
                <w:rFonts w:ascii="Times New Roman" w:eastAsia="Times New Roman" w:hAnsi="Times New Roman"/>
                <w:sz w:val="18"/>
                <w:szCs w:val="18"/>
                <w:lang w:val="en-GB" w:eastAsia="zh-CN"/>
              </w:rPr>
              <w:t>o</w:t>
            </w:r>
          </w:p>
        </w:tc>
        <w:tc>
          <w:tcPr>
            <w:tcW w:w="6595" w:type="dxa"/>
            <w:shd w:val="clear" w:color="auto" w:fill="auto"/>
            <w:vAlign w:val="center"/>
          </w:tcPr>
          <w:p w14:paraId="3A6509FB" w14:textId="214B6B20" w:rsidR="00372A8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T</w:t>
            </w:r>
            <w:r>
              <w:rPr>
                <w:rFonts w:ascii="Times New Roman" w:eastAsia="Times New Roman" w:hAnsi="Times New Roman"/>
                <w:sz w:val="18"/>
                <w:szCs w:val="18"/>
                <w:lang w:val="en-GB" w:eastAsia="zh-CN"/>
              </w:rPr>
              <w:t>his issue was discussed in RAN2#117e meeting. In that meeting, an LS was sent to RAN1 with below question:</w:t>
            </w:r>
          </w:p>
          <w:p w14:paraId="65597387" w14:textId="73905C4B" w:rsidR="00372A88" w:rsidRPr="00372A88" w:rsidRDefault="00372A88" w:rsidP="00B2156B">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val="en-GB" w:eastAsia="zh-CN"/>
              </w:rPr>
            </w:pPr>
            <w:r w:rsidRPr="00372A88">
              <w:rPr>
                <w:rFonts w:ascii="Times New Roman" w:eastAsia="Times New Roman" w:hAnsi="Times New Roman"/>
                <w:b/>
                <w:i/>
                <w:iCs/>
                <w:color w:val="4472C4" w:themeColor="accent1"/>
                <w:sz w:val="18"/>
                <w:szCs w:val="18"/>
                <w:lang w:eastAsia="zh-CN"/>
              </w:rPr>
              <w:t xml:space="preserve">Question 2: </w:t>
            </w:r>
            <w:r w:rsidRPr="00372A88">
              <w:rPr>
                <w:rFonts w:ascii="Times New Roman" w:eastAsia="Times New Roman" w:hAnsi="Times New Roman"/>
                <w:i/>
                <w:iCs/>
                <w:color w:val="4472C4" w:themeColor="accent1"/>
                <w:sz w:val="18"/>
                <w:szCs w:val="18"/>
                <w:lang w:eastAsia="zh-CN"/>
              </w:rPr>
              <w:t>RAN2 would like to know if RAN1 prefers to capture the above agreements in RAN1 specification or prefer these to be captured in MAC specification.</w:t>
            </w:r>
          </w:p>
          <w:p w14:paraId="351E10F9" w14:textId="77777777" w:rsidR="00073501"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RAN2#118e meeting, there is a reply LS R2-220446/R1-2202905 from RAN1. It is clearly said:</w:t>
            </w:r>
          </w:p>
          <w:p w14:paraId="58A81790"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b/>
                <w:bCs/>
                <w:i/>
                <w:iCs/>
                <w:color w:val="4472C4" w:themeColor="accent1"/>
                <w:sz w:val="18"/>
                <w:szCs w:val="18"/>
                <w:lang w:eastAsia="zh-CN"/>
              </w:rPr>
            </w:pPr>
            <w:r w:rsidRPr="00372A88">
              <w:rPr>
                <w:rFonts w:ascii="Times New Roman" w:eastAsia="Times New Roman" w:hAnsi="Times New Roman" w:hint="eastAsia"/>
                <w:b/>
                <w:bCs/>
                <w:i/>
                <w:iCs/>
                <w:color w:val="4472C4" w:themeColor="accent1"/>
                <w:sz w:val="18"/>
                <w:szCs w:val="18"/>
                <w:lang w:eastAsia="zh-CN"/>
              </w:rPr>
              <w:t>Answer 2:</w:t>
            </w:r>
          </w:p>
          <w:p w14:paraId="439CDEE2" w14:textId="77777777" w:rsidR="00372A88" w:rsidRPr="00372A88" w:rsidRDefault="00372A88" w:rsidP="00372A88">
            <w:p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RAN1 would discuss and conclude how to capture the above RAN2 agreements in RAN1 specification.</w:t>
            </w:r>
          </w:p>
          <w:p w14:paraId="741F6056" w14:textId="77777777" w:rsidR="00372A88" w:rsidRPr="00372A88" w:rsidRDefault="00372A88" w:rsidP="00372A88">
            <w:pPr>
              <w:numPr>
                <w:ilvl w:val="0"/>
                <w:numId w:val="46"/>
              </w:numPr>
              <w:overflowPunct w:val="0"/>
              <w:autoSpaceDE w:val="0"/>
              <w:autoSpaceDN w:val="0"/>
              <w:adjustRightInd w:val="0"/>
              <w:spacing w:before="60" w:after="60"/>
              <w:textAlignment w:val="baseline"/>
              <w:rPr>
                <w:rFonts w:ascii="Times New Roman" w:eastAsia="Times New Roman" w:hAnsi="Times New Roman"/>
                <w:i/>
                <w:iCs/>
                <w:color w:val="4472C4" w:themeColor="accent1"/>
                <w:sz w:val="18"/>
                <w:szCs w:val="18"/>
                <w:lang w:eastAsia="zh-CN"/>
              </w:rPr>
            </w:pPr>
            <w:r w:rsidRPr="00372A88">
              <w:rPr>
                <w:rFonts w:ascii="Times New Roman" w:eastAsia="Times New Roman" w:hAnsi="Times New Roman" w:hint="eastAsia"/>
                <w:i/>
                <w:iCs/>
                <w:color w:val="4472C4" w:themeColor="accent1"/>
                <w:sz w:val="18"/>
                <w:szCs w:val="18"/>
                <w:lang w:eastAsia="zh-CN"/>
              </w:rPr>
              <w:t>It is RAN1 understanding PDCCH skipping is not applied to perform PDCCH monitoring during RAR window/MsgB window/contention resolution timer</w:t>
            </w:r>
            <w:r w:rsidRPr="00372A88">
              <w:rPr>
                <w:rFonts w:ascii="Times New Roman" w:eastAsia="Times New Roman" w:hAnsi="Times New Roman"/>
                <w:i/>
                <w:iCs/>
                <w:color w:val="4472C4" w:themeColor="accent1"/>
                <w:sz w:val="18"/>
                <w:szCs w:val="18"/>
                <w:lang w:eastAsia="zh-CN"/>
              </w:rPr>
              <w:t xml:space="preserve"> or when SR is pending</w:t>
            </w:r>
            <w:r w:rsidRPr="00372A88">
              <w:rPr>
                <w:rFonts w:ascii="Times New Roman" w:eastAsia="Times New Roman" w:hAnsi="Times New Roman" w:hint="eastAsia"/>
                <w:i/>
                <w:iCs/>
                <w:color w:val="4472C4" w:themeColor="accent1"/>
                <w:sz w:val="18"/>
                <w:szCs w:val="18"/>
                <w:lang w:eastAsia="zh-CN"/>
              </w:rPr>
              <w:t>.</w:t>
            </w:r>
          </w:p>
          <w:p w14:paraId="47EC93F1" w14:textId="0AD3A007" w:rsidR="00372A88" w:rsidRPr="00706C48" w:rsidRDefault="00372A88"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As</w:t>
            </w:r>
            <w:r>
              <w:rPr>
                <w:rFonts w:ascii="Times New Roman" w:eastAsia="Times New Roman" w:hAnsi="Times New Roman"/>
                <w:sz w:val="18"/>
                <w:szCs w:val="18"/>
                <w:lang w:val="en-GB" w:eastAsia="zh-CN"/>
              </w:rPr>
              <w:t xml:space="preserve"> far as I know, this part has been already captured in RAN1 specification</w:t>
            </w:r>
            <w:r w:rsidR="00AE77FF">
              <w:rPr>
                <w:rFonts w:ascii="Times New Roman" w:eastAsia="Times New Roman" w:hAnsi="Times New Roman"/>
                <w:sz w:val="18"/>
                <w:szCs w:val="18"/>
                <w:lang w:val="en-GB" w:eastAsia="zh-CN"/>
              </w:rPr>
              <w:t xml:space="preserve"> (TS 38.213)</w:t>
            </w:r>
            <w:r>
              <w:rPr>
                <w:rFonts w:ascii="Times New Roman" w:eastAsia="Times New Roman" w:hAnsi="Times New Roman"/>
                <w:sz w:val="18"/>
                <w:szCs w:val="18"/>
                <w:lang w:val="en-GB" w:eastAsia="zh-CN"/>
              </w:rPr>
              <w:t xml:space="preserve">. We prefer not to capture any duplicated description in both RAN1 and RAN2 specifications. </w:t>
            </w:r>
          </w:p>
        </w:tc>
      </w:tr>
      <w:tr w:rsidR="00073501" w:rsidRPr="00706C48" w14:paraId="42313124" w14:textId="77777777" w:rsidTr="00B2156B">
        <w:trPr>
          <w:trHeight w:val="354"/>
        </w:trPr>
        <w:tc>
          <w:tcPr>
            <w:tcW w:w="1420" w:type="dxa"/>
            <w:vAlign w:val="center"/>
          </w:tcPr>
          <w:p w14:paraId="10236500" w14:textId="4AECD49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38E678B5" w14:textId="22F6B38D"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CB18B12" w14:textId="21078D1A" w:rsidR="00073501" w:rsidRPr="00706C48" w:rsidRDefault="00B60D63"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this is stage 3 description but also agree with vivo that we would prefer to keep it captured in RAN1 spec.</w:t>
            </w:r>
          </w:p>
        </w:tc>
      </w:tr>
      <w:tr w:rsidR="00133002" w:rsidRPr="00706C48" w14:paraId="2A8CB1CF" w14:textId="77777777" w:rsidTr="00B2156B">
        <w:trPr>
          <w:trHeight w:val="354"/>
        </w:trPr>
        <w:tc>
          <w:tcPr>
            <w:tcW w:w="1420" w:type="dxa"/>
            <w:vAlign w:val="center"/>
          </w:tcPr>
          <w:p w14:paraId="743718CD" w14:textId="1A47F4F2"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c>
          <w:tcPr>
            <w:tcW w:w="1066" w:type="dxa"/>
            <w:shd w:val="clear" w:color="auto" w:fill="auto"/>
            <w:vAlign w:val="center"/>
          </w:tcPr>
          <w:p w14:paraId="00BF71CE" w14:textId="558C9FCF"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Y</w:t>
            </w:r>
            <w:r>
              <w:rPr>
                <w:rFonts w:ascii="Times New Roman" w:eastAsiaTheme="minorEastAsia" w:hAnsi="Times New Roman"/>
                <w:sz w:val="18"/>
                <w:szCs w:val="18"/>
                <w:lang w:val="en-GB" w:eastAsia="zh-CN"/>
              </w:rPr>
              <w:t>es</w:t>
            </w:r>
          </w:p>
        </w:tc>
        <w:tc>
          <w:tcPr>
            <w:tcW w:w="6595" w:type="dxa"/>
            <w:shd w:val="clear" w:color="auto" w:fill="auto"/>
            <w:vAlign w:val="center"/>
          </w:tcPr>
          <w:p w14:paraId="4B7D8CBB" w14:textId="0EDBB560" w:rsidR="00133002" w:rsidRPr="00706C48" w:rsidRDefault="00133002" w:rsidP="0013300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heme="minorEastAsia" w:hAnsi="Times New Roman" w:hint="eastAsia"/>
                <w:sz w:val="18"/>
                <w:szCs w:val="18"/>
                <w:lang w:val="en-GB" w:eastAsia="zh-CN"/>
              </w:rPr>
              <w:t>O</w:t>
            </w:r>
            <w:r>
              <w:rPr>
                <w:rFonts w:ascii="Times New Roman" w:eastAsiaTheme="minorEastAsia" w:hAnsi="Times New Roman"/>
                <w:sz w:val="18"/>
                <w:szCs w:val="18"/>
                <w:lang w:val="en-GB" w:eastAsia="zh-CN"/>
              </w:rPr>
              <w:t>PPO</w:t>
            </w:r>
          </w:p>
        </w:tc>
      </w:tr>
      <w:tr w:rsidR="00073501" w:rsidRPr="00706C48" w14:paraId="6F953029" w14:textId="77777777" w:rsidTr="00B2156B">
        <w:trPr>
          <w:trHeight w:val="354"/>
        </w:trPr>
        <w:tc>
          <w:tcPr>
            <w:tcW w:w="1420" w:type="dxa"/>
            <w:vAlign w:val="center"/>
          </w:tcPr>
          <w:p w14:paraId="728E294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D1F21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B4134D8"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1B998EDF" w14:textId="77777777" w:rsidTr="00B2156B">
        <w:trPr>
          <w:trHeight w:val="354"/>
        </w:trPr>
        <w:tc>
          <w:tcPr>
            <w:tcW w:w="1420" w:type="dxa"/>
            <w:vAlign w:val="center"/>
          </w:tcPr>
          <w:p w14:paraId="4965921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8A2B70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55366B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09B62AE5" w14:textId="77777777" w:rsidTr="00B2156B">
        <w:trPr>
          <w:trHeight w:val="354"/>
        </w:trPr>
        <w:tc>
          <w:tcPr>
            <w:tcW w:w="1420" w:type="dxa"/>
            <w:vAlign w:val="center"/>
          </w:tcPr>
          <w:p w14:paraId="6D0AC0A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08C9C2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4E8E4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CEEFC33" w14:textId="77777777" w:rsidTr="00B2156B">
        <w:trPr>
          <w:trHeight w:val="354"/>
        </w:trPr>
        <w:tc>
          <w:tcPr>
            <w:tcW w:w="1420" w:type="dxa"/>
            <w:vAlign w:val="center"/>
          </w:tcPr>
          <w:p w14:paraId="2C983D8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77D2F9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734455E3" w14:textId="77777777" w:rsidTr="00B2156B">
        <w:trPr>
          <w:trHeight w:val="354"/>
        </w:trPr>
        <w:tc>
          <w:tcPr>
            <w:tcW w:w="1420" w:type="dxa"/>
            <w:vAlign w:val="center"/>
          </w:tcPr>
          <w:p w14:paraId="574E2A4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0CD7583" w14:textId="77777777" w:rsidTr="00B2156B">
        <w:trPr>
          <w:trHeight w:val="354"/>
        </w:trPr>
        <w:tc>
          <w:tcPr>
            <w:tcW w:w="1420" w:type="dxa"/>
            <w:vAlign w:val="center"/>
          </w:tcPr>
          <w:p w14:paraId="1F9FDA8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4877A433" w14:textId="77777777" w:rsidTr="00B2156B">
        <w:trPr>
          <w:trHeight w:val="354"/>
        </w:trPr>
        <w:tc>
          <w:tcPr>
            <w:tcW w:w="1420" w:type="dxa"/>
            <w:vAlign w:val="center"/>
          </w:tcPr>
          <w:p w14:paraId="0521E2B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D422629" w14:textId="77777777" w:rsidTr="00B2156B">
        <w:trPr>
          <w:trHeight w:val="354"/>
        </w:trPr>
        <w:tc>
          <w:tcPr>
            <w:tcW w:w="1420" w:type="dxa"/>
            <w:vAlign w:val="center"/>
          </w:tcPr>
          <w:p w14:paraId="30E324C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54E65D1" w14:textId="77777777" w:rsidTr="00B2156B">
        <w:trPr>
          <w:trHeight w:val="337"/>
        </w:trPr>
        <w:tc>
          <w:tcPr>
            <w:tcW w:w="1420" w:type="dxa"/>
            <w:vAlign w:val="center"/>
          </w:tcPr>
          <w:p w14:paraId="4DBED0A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4F41CD4" w14:textId="77777777" w:rsidTr="00B2156B">
        <w:trPr>
          <w:trHeight w:val="354"/>
        </w:trPr>
        <w:tc>
          <w:tcPr>
            <w:tcW w:w="1420" w:type="dxa"/>
            <w:vAlign w:val="center"/>
          </w:tcPr>
          <w:p w14:paraId="4BA4D75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38.321 is provided for information.</w:t>
      </w:r>
    </w:p>
    <w:p w14:paraId="750BE852" w14:textId="0E8B3EE3" w:rsidR="0014173D" w:rsidRDefault="00A23BC6" w:rsidP="0014173D">
      <w:pPr>
        <w:pStyle w:val="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a3"/>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等线" w:hAnsi="Times New Roman"/>
                <w:i/>
                <w:iCs/>
                <w:color w:val="000000"/>
                <w:sz w:val="16"/>
                <w:szCs w:val="16"/>
              </w:rPr>
              <w:t>Adding restriction to Rel-17 PDCCH monitoring adaptaion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 xml:space="preserve">Spreadtrum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xiaomi</w:t>
            </w:r>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lastRenderedPageBreak/>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InterDigital,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0F66AE" w:rsidRPr="00706C48" w14:paraId="796AA6E6" w14:textId="77777777" w:rsidTr="00B2156B">
        <w:trPr>
          <w:trHeight w:val="354"/>
        </w:trPr>
        <w:tc>
          <w:tcPr>
            <w:tcW w:w="1420" w:type="dxa"/>
            <w:vAlign w:val="center"/>
          </w:tcPr>
          <w:p w14:paraId="0DFA8C29" w14:textId="1EEFB14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vivo</w:t>
            </w:r>
          </w:p>
        </w:tc>
        <w:tc>
          <w:tcPr>
            <w:tcW w:w="1066" w:type="dxa"/>
            <w:shd w:val="clear" w:color="auto" w:fill="auto"/>
            <w:vAlign w:val="center"/>
          </w:tcPr>
          <w:p w14:paraId="5FDFB412" w14:textId="6C703034"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595" w:type="dxa"/>
            <w:shd w:val="clear" w:color="auto" w:fill="auto"/>
            <w:vAlign w:val="center"/>
          </w:tcPr>
          <w:p w14:paraId="748EA79E" w14:textId="77777777"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A</w:t>
            </w:r>
            <w:r>
              <w:rPr>
                <w:rFonts w:ascii="Times New Roman" w:eastAsia="Times New Roman" w:hAnsi="Times New Roman"/>
                <w:sz w:val="18"/>
                <w:szCs w:val="18"/>
                <w:lang w:val="en-GB" w:eastAsia="zh-CN"/>
              </w:rPr>
              <w:t>s rapporteur mentioned, this issue was discussed in RAN2#118e meeting:</w:t>
            </w:r>
          </w:p>
          <w:p w14:paraId="1D582D8E" w14:textId="77777777" w:rsidR="00AE77FF" w:rsidRPr="00AE77FF" w:rsidRDefault="00AE77FF" w:rsidP="00AE77FF">
            <w:pPr>
              <w:overflowPunct w:val="0"/>
              <w:autoSpaceDE w:val="0"/>
              <w:autoSpaceDN w:val="0"/>
              <w:adjustRightInd w:val="0"/>
              <w:spacing w:before="60" w:after="60"/>
              <w:textAlignment w:val="baseline"/>
              <w:rPr>
                <w:rFonts w:ascii="Times New Roman" w:hAnsi="Times New Roman"/>
                <w:b/>
                <w:bCs/>
                <w:i/>
                <w:iCs/>
                <w:color w:val="C45911" w:themeColor="accent2" w:themeShade="BF"/>
                <w:sz w:val="18"/>
                <w:szCs w:val="18"/>
                <w:lang w:eastAsia="zh-CN"/>
              </w:rPr>
            </w:pPr>
            <w:r w:rsidRPr="00AE77FF">
              <w:rPr>
                <w:rFonts w:ascii="Times New Roman" w:hAnsi="Times New Roman"/>
                <w:b/>
                <w:bCs/>
                <w:i/>
                <w:iCs/>
                <w:color w:val="C45911" w:themeColor="accent2" w:themeShade="BF"/>
                <w:sz w:val="18"/>
                <w:szCs w:val="18"/>
                <w:lang w:eastAsia="zh-CN"/>
              </w:rPr>
              <w:t>Proposal 4 (12 out of 14): Whether PDCCH monitoring adaptation mechanisms can only be configured when DRX is configured is up to RAN1.</w:t>
            </w:r>
          </w:p>
          <w:p w14:paraId="4ACBCAB5" w14:textId="39FD5D1E" w:rsidR="00AE77FF" w:rsidRDefault="00AE77FF"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PDCCH skipping is a RAN1 led feature, and all designs are determined in RAN1. If companies proposed to restrict PDCCH skipping into C-DRX, how about SSSG switching? Should the same restriction </w:t>
            </w:r>
            <w:r w:rsidR="00A47609">
              <w:rPr>
                <w:rFonts w:ascii="Times New Roman" w:eastAsia="Times New Roman" w:hAnsi="Times New Roman"/>
                <w:sz w:val="18"/>
                <w:szCs w:val="18"/>
                <w:lang w:val="en-GB" w:eastAsia="zh-CN"/>
              </w:rPr>
              <w:t xml:space="preserve">be introduced? We think it is better to leave </w:t>
            </w:r>
            <w:r w:rsidR="00A47609">
              <w:rPr>
                <w:rFonts w:ascii="Times New Roman" w:eastAsia="Times New Roman" w:hAnsi="Times New Roman" w:hint="eastAsia"/>
                <w:sz w:val="18"/>
                <w:szCs w:val="18"/>
                <w:lang w:val="en-GB" w:eastAsia="zh-CN"/>
              </w:rPr>
              <w:t>RAN</w:t>
            </w:r>
            <w:r w:rsidR="00A47609">
              <w:rPr>
                <w:rFonts w:ascii="Times New Roman" w:eastAsia="Times New Roman" w:hAnsi="Times New Roman"/>
                <w:sz w:val="18"/>
                <w:szCs w:val="18"/>
                <w:lang w:val="en-GB" w:eastAsia="zh-CN"/>
              </w:rPr>
              <w:t xml:space="preserve">1 to make such restriction for either PDCCH skipping or SSSG switching. </w:t>
            </w:r>
          </w:p>
          <w:p w14:paraId="7C3CBFE8" w14:textId="08302560" w:rsidR="00A47609" w:rsidRDefault="00A47609"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hint="eastAsia"/>
                <w:sz w:val="18"/>
                <w:szCs w:val="18"/>
                <w:lang w:val="en-GB" w:eastAsia="zh-CN"/>
              </w:rPr>
              <w:t>I</w:t>
            </w:r>
            <w:r>
              <w:rPr>
                <w:rFonts w:ascii="Times New Roman" w:eastAsia="Times New Roman" w:hAnsi="Times New Roman"/>
                <w:sz w:val="18"/>
                <w:szCs w:val="18"/>
                <w:lang w:val="en-GB" w:eastAsia="zh-CN"/>
              </w:rPr>
              <w:t xml:space="preserve">n our understanding, this issue was discussed in RAN1 (with no consensus) and will be further discussed in this meeting. We should avoid the duplicated discussion between RAN1 and RAN2. </w:t>
            </w:r>
          </w:p>
          <w:p w14:paraId="3A1685EE" w14:textId="164EA373" w:rsidR="00A47609" w:rsidRDefault="00000070" w:rsidP="00A47609">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have different views with rapporteur on observation 1 and 2. </w:t>
            </w:r>
            <w:r w:rsidR="00A47609">
              <w:rPr>
                <w:rFonts w:ascii="Times New Roman" w:eastAsia="Times New Roman" w:hAnsi="Times New Roman"/>
                <w:sz w:val="18"/>
                <w:szCs w:val="18"/>
                <w:lang w:val="en-GB" w:eastAsia="zh-CN"/>
              </w:rPr>
              <w:t>Even in study phase, we don’t identify the pros to</w:t>
            </w:r>
            <w:r w:rsidR="00A47609">
              <w:rPr>
                <w:rFonts w:ascii="Times New Roman" w:eastAsia="Times New Roman" w:hAnsi="Times New Roman" w:hint="eastAsia"/>
                <w:sz w:val="18"/>
                <w:szCs w:val="18"/>
                <w:lang w:val="en-GB" w:eastAsia="zh-CN"/>
              </w:rPr>
              <w:t xml:space="preserve"> </w:t>
            </w:r>
            <w:r>
              <w:rPr>
                <w:rFonts w:ascii="Times New Roman" w:eastAsia="Times New Roman" w:hAnsi="Times New Roman"/>
                <w:sz w:val="18"/>
                <w:szCs w:val="18"/>
                <w:lang w:val="en-GB" w:eastAsia="zh-CN"/>
              </w:rPr>
              <w:t>introduce the restriction or cons to not introduce the restriction. Thus, f</w:t>
            </w:r>
            <w:r w:rsidR="00A47609">
              <w:rPr>
                <w:rFonts w:ascii="Times New Roman" w:eastAsia="Times New Roman" w:hAnsi="Times New Roman"/>
                <w:sz w:val="18"/>
                <w:szCs w:val="18"/>
                <w:lang w:val="en-GB" w:eastAsia="zh-CN"/>
              </w:rPr>
              <w:t>rom RAN2 perspective, we don’t see motivation to have such restriction.</w:t>
            </w:r>
          </w:p>
          <w:p w14:paraId="240BF2B4" w14:textId="776D6DC2" w:rsidR="000F66AE" w:rsidRPr="00706C48" w:rsidRDefault="00000070" w:rsidP="00246E6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Anyway, it</w:t>
            </w:r>
            <w:r w:rsidR="000F66AE">
              <w:rPr>
                <w:rFonts w:ascii="Times New Roman" w:eastAsia="Times New Roman" w:hAnsi="Times New Roman"/>
                <w:sz w:val="18"/>
                <w:szCs w:val="18"/>
                <w:lang w:val="en-GB" w:eastAsia="zh-CN"/>
              </w:rPr>
              <w:t xml:space="preserve"> is up to network </w:t>
            </w:r>
            <w:r>
              <w:rPr>
                <w:rFonts w:ascii="Times New Roman" w:eastAsia="Times New Roman" w:hAnsi="Times New Roman"/>
                <w:sz w:val="18"/>
                <w:szCs w:val="18"/>
                <w:lang w:val="en-GB" w:eastAsia="zh-CN"/>
              </w:rPr>
              <w:t>configuration</w:t>
            </w:r>
            <w:r w:rsidR="000F66AE">
              <w:rPr>
                <w:rFonts w:ascii="Times New Roman" w:eastAsia="Times New Roman" w:hAnsi="Times New Roman"/>
                <w:sz w:val="18"/>
                <w:szCs w:val="18"/>
                <w:lang w:val="en-GB" w:eastAsia="zh-CN"/>
              </w:rPr>
              <w:t xml:space="preserve"> whether/how to configure </w:t>
            </w:r>
            <w:r>
              <w:rPr>
                <w:rFonts w:ascii="Times New Roman" w:eastAsia="Times New Roman" w:hAnsi="Times New Roman"/>
                <w:sz w:val="18"/>
                <w:szCs w:val="18"/>
                <w:lang w:val="en-GB" w:eastAsia="zh-CN"/>
              </w:rPr>
              <w:t>PDCCH skipping with C-DRX.</w:t>
            </w:r>
            <w:r w:rsidR="00246E62">
              <w:rPr>
                <w:rFonts w:ascii="Times New Roman" w:eastAsia="Times New Roman" w:hAnsi="Times New Roman"/>
                <w:sz w:val="18"/>
                <w:szCs w:val="18"/>
                <w:lang w:val="en-GB" w:eastAsia="zh-CN"/>
              </w:rPr>
              <w:t xml:space="preserve"> Thus, there is no need to capture anything addition in RAN2 specification. </w:t>
            </w:r>
          </w:p>
        </w:tc>
      </w:tr>
      <w:tr w:rsidR="000F66AE" w:rsidRPr="00706C48" w14:paraId="4840D50E" w14:textId="77777777" w:rsidTr="00B2156B">
        <w:trPr>
          <w:trHeight w:val="354"/>
        </w:trPr>
        <w:tc>
          <w:tcPr>
            <w:tcW w:w="1420" w:type="dxa"/>
            <w:vAlign w:val="center"/>
          </w:tcPr>
          <w:p w14:paraId="0B91B8A6" w14:textId="39BCF224"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CATT</w:t>
            </w:r>
          </w:p>
        </w:tc>
        <w:tc>
          <w:tcPr>
            <w:tcW w:w="1066" w:type="dxa"/>
            <w:shd w:val="clear" w:color="auto" w:fill="auto"/>
            <w:vAlign w:val="center"/>
          </w:tcPr>
          <w:p w14:paraId="70656BC7" w14:textId="076A7829"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595" w:type="dxa"/>
            <w:shd w:val="clear" w:color="auto" w:fill="auto"/>
            <w:vAlign w:val="center"/>
          </w:tcPr>
          <w:p w14:paraId="7DE4A953" w14:textId="6057E137" w:rsidR="000F66AE" w:rsidRPr="00706C48" w:rsidRDefault="00B60D63"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In absence of clear conclusion from RAN1 we are OK to follow the WID.</w:t>
            </w:r>
          </w:p>
        </w:tc>
      </w:tr>
      <w:tr w:rsidR="000F66AE" w:rsidRPr="00706C48" w14:paraId="7CC8CD75" w14:textId="77777777" w:rsidTr="00B2156B">
        <w:trPr>
          <w:trHeight w:val="354"/>
        </w:trPr>
        <w:tc>
          <w:tcPr>
            <w:tcW w:w="1420" w:type="dxa"/>
            <w:vAlign w:val="center"/>
          </w:tcPr>
          <w:p w14:paraId="7A3A5652" w14:textId="686D812B"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lastRenderedPageBreak/>
              <w:t>O</w:t>
            </w:r>
            <w:r>
              <w:rPr>
                <w:rFonts w:ascii="Times New Roman" w:eastAsiaTheme="minorEastAsia" w:hAnsi="Times New Roman"/>
                <w:sz w:val="18"/>
                <w:szCs w:val="18"/>
                <w:lang w:val="en-GB" w:eastAsia="zh-CN"/>
              </w:rPr>
              <w:t>PPO</w:t>
            </w:r>
          </w:p>
        </w:tc>
        <w:tc>
          <w:tcPr>
            <w:tcW w:w="1066" w:type="dxa"/>
            <w:shd w:val="clear" w:color="auto" w:fill="auto"/>
            <w:vAlign w:val="center"/>
          </w:tcPr>
          <w:p w14:paraId="2B0E78A2" w14:textId="5F982E54" w:rsidR="000F66AE" w:rsidRPr="00133002" w:rsidRDefault="00133002" w:rsidP="000F66AE">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No</w:t>
            </w:r>
          </w:p>
        </w:tc>
        <w:tc>
          <w:tcPr>
            <w:tcW w:w="6595" w:type="dxa"/>
            <w:shd w:val="clear" w:color="auto" w:fill="auto"/>
            <w:vAlign w:val="center"/>
          </w:tcPr>
          <w:p w14:paraId="6536A79B" w14:textId="68543ACA" w:rsidR="000F66AE" w:rsidRPr="00133002" w:rsidRDefault="00133002" w:rsidP="00133002">
            <w:pPr>
              <w:overflowPunct w:val="0"/>
              <w:autoSpaceDE w:val="0"/>
              <w:autoSpaceDN w:val="0"/>
              <w:adjustRightInd w:val="0"/>
              <w:spacing w:before="60" w:after="60"/>
              <w:textAlignment w:val="baseline"/>
              <w:rPr>
                <w:rFonts w:ascii="Times New Roman" w:eastAsiaTheme="minorEastAsia" w:hAnsi="Times New Roman" w:hint="eastAsia"/>
                <w:sz w:val="18"/>
                <w:szCs w:val="18"/>
                <w:lang w:val="en-GB" w:eastAsia="zh-CN"/>
              </w:rPr>
            </w:pPr>
            <w:r>
              <w:rPr>
                <w:rFonts w:ascii="Times New Roman" w:eastAsiaTheme="minorEastAsia" w:hAnsi="Times New Roman" w:hint="eastAsia"/>
                <w:sz w:val="18"/>
                <w:szCs w:val="18"/>
                <w:lang w:val="en-GB" w:eastAsia="zh-CN"/>
              </w:rPr>
              <w:t>C</w:t>
            </w:r>
            <w:r>
              <w:rPr>
                <w:rFonts w:ascii="Times New Roman" w:eastAsiaTheme="minorEastAsia" w:hAnsi="Times New Roman"/>
                <w:sz w:val="18"/>
                <w:szCs w:val="18"/>
                <w:lang w:val="en-GB" w:eastAsia="zh-CN"/>
              </w:rPr>
              <w:t>-DRX and PDCCH skipping are separate features. It</w:t>
            </w:r>
            <w:bookmarkStart w:id="20" w:name="_GoBack"/>
            <w:r>
              <w:rPr>
                <w:rFonts w:ascii="Times New Roman" w:eastAsiaTheme="minorEastAsia" w:hAnsi="Times New Roman"/>
                <w:sz w:val="18"/>
                <w:szCs w:val="18"/>
                <w:lang w:val="en-GB" w:eastAsia="zh-CN"/>
              </w:rPr>
              <w:t xml:space="preserve"> is up to NW to decide whether to configure PDCCH skipping together with C-DRX, we see no need to introduce such configuration restriction.</w:t>
            </w:r>
            <w:bookmarkEnd w:id="20"/>
          </w:p>
        </w:tc>
      </w:tr>
      <w:tr w:rsidR="000F66AE" w:rsidRPr="00706C48" w14:paraId="2D27C017" w14:textId="77777777" w:rsidTr="00B2156B">
        <w:trPr>
          <w:trHeight w:val="354"/>
        </w:trPr>
        <w:tc>
          <w:tcPr>
            <w:tcW w:w="1420" w:type="dxa"/>
            <w:vAlign w:val="center"/>
          </w:tcPr>
          <w:p w14:paraId="3E7EEDC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674B0E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5B35DF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002D3EDE" w14:textId="77777777" w:rsidTr="00B2156B">
        <w:trPr>
          <w:trHeight w:val="354"/>
        </w:trPr>
        <w:tc>
          <w:tcPr>
            <w:tcW w:w="1420" w:type="dxa"/>
            <w:vAlign w:val="center"/>
          </w:tcPr>
          <w:p w14:paraId="69010E84"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896C7D3"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B7CDCBD"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0123C380" w14:textId="77777777" w:rsidTr="00B2156B">
        <w:trPr>
          <w:trHeight w:val="354"/>
        </w:trPr>
        <w:tc>
          <w:tcPr>
            <w:tcW w:w="1420" w:type="dxa"/>
            <w:vAlign w:val="center"/>
          </w:tcPr>
          <w:p w14:paraId="62D17608"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8A9F145"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A999631"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6ED86CBC" w14:textId="77777777" w:rsidTr="00B2156B">
        <w:trPr>
          <w:trHeight w:val="354"/>
        </w:trPr>
        <w:tc>
          <w:tcPr>
            <w:tcW w:w="1420" w:type="dxa"/>
            <w:vAlign w:val="center"/>
          </w:tcPr>
          <w:p w14:paraId="540FB5F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14CBDA25" w14:textId="77777777" w:rsidTr="00B2156B">
        <w:trPr>
          <w:trHeight w:val="354"/>
        </w:trPr>
        <w:tc>
          <w:tcPr>
            <w:tcW w:w="1420" w:type="dxa"/>
            <w:vAlign w:val="center"/>
          </w:tcPr>
          <w:p w14:paraId="7FD04B0C"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706B4394" w14:textId="77777777" w:rsidTr="00B2156B">
        <w:trPr>
          <w:trHeight w:val="354"/>
        </w:trPr>
        <w:tc>
          <w:tcPr>
            <w:tcW w:w="1420" w:type="dxa"/>
            <w:vAlign w:val="center"/>
          </w:tcPr>
          <w:p w14:paraId="6B7C695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43FB693F" w14:textId="77777777" w:rsidTr="00B2156B">
        <w:trPr>
          <w:trHeight w:val="354"/>
        </w:trPr>
        <w:tc>
          <w:tcPr>
            <w:tcW w:w="1420" w:type="dxa"/>
            <w:vAlign w:val="center"/>
          </w:tcPr>
          <w:p w14:paraId="5E0C7D2D"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1EB61DE7" w14:textId="77777777" w:rsidTr="00B2156B">
        <w:trPr>
          <w:trHeight w:val="354"/>
        </w:trPr>
        <w:tc>
          <w:tcPr>
            <w:tcW w:w="1420" w:type="dxa"/>
            <w:vAlign w:val="center"/>
          </w:tcPr>
          <w:p w14:paraId="1F0176FF"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6E794334" w14:textId="77777777" w:rsidTr="00B2156B">
        <w:trPr>
          <w:trHeight w:val="337"/>
        </w:trPr>
        <w:tc>
          <w:tcPr>
            <w:tcW w:w="1420" w:type="dxa"/>
            <w:vAlign w:val="center"/>
          </w:tcPr>
          <w:p w14:paraId="4BA5F657"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F66AE" w:rsidRPr="00706C48" w14:paraId="7A473701" w14:textId="77777777" w:rsidTr="00B2156B">
        <w:trPr>
          <w:trHeight w:val="354"/>
        </w:trPr>
        <w:tc>
          <w:tcPr>
            <w:tcW w:w="1420" w:type="dxa"/>
            <w:vAlign w:val="center"/>
          </w:tcPr>
          <w:p w14:paraId="3D140ACA"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0F66AE" w:rsidRPr="00706C48" w:rsidRDefault="000F66AE" w:rsidP="000F66A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24D604B9" w14:textId="77777777" w:rsidR="009D725A" w:rsidRDefault="009D725A" w:rsidP="009D725A">
      <w:pPr>
        <w:pStyle w:val="1"/>
        <w:jc w:val="both"/>
      </w:pPr>
      <w:r>
        <w:t>Summary</w:t>
      </w:r>
      <w:bookmarkEnd w:id="6"/>
      <w:r w:rsidR="004320FB">
        <w:t xml:space="preserve"> of email discussion</w:t>
      </w:r>
    </w:p>
    <w:p w14:paraId="41800553" w14:textId="77777777" w:rsidR="001659F2" w:rsidRDefault="006C2B1D" w:rsidP="001659F2">
      <w:bookmarkStart w:id="21" w:name="_Toc242573361"/>
      <w:r>
        <w:t>TBD</w:t>
      </w:r>
    </w:p>
    <w:p w14:paraId="67590C01" w14:textId="77777777" w:rsidR="004320FB" w:rsidRDefault="004320FB" w:rsidP="009D725A">
      <w:pPr>
        <w:pStyle w:val="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1"/>
        <w:rPr>
          <w:noProof/>
        </w:rPr>
      </w:pPr>
      <w:r>
        <w:rPr>
          <w:noProof/>
        </w:rPr>
        <w:t>References</w:t>
      </w:r>
      <w:bookmarkEnd w:id="21"/>
    </w:p>
    <w:p w14:paraId="01536FD7" w14:textId="67B33F89" w:rsidR="00A60576" w:rsidRDefault="00602616"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a3"/>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602616"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a3"/>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602616" w:rsidP="00892102">
      <w:pPr>
        <w:pStyle w:val="a6"/>
        <w:numPr>
          <w:ilvl w:val="0"/>
          <w:numId w:val="1"/>
        </w:numPr>
        <w:spacing w:before="60" w:after="60" w:line="240" w:lineRule="auto"/>
        <w:rPr>
          <w:rFonts w:cs="Arial"/>
          <w:sz w:val="16"/>
          <w:szCs w:val="16"/>
          <w:lang w:val="de-DE"/>
        </w:rPr>
      </w:pPr>
      <w:hyperlink r:id="rId14" w:history="1">
        <w:r w:rsidR="009E63F8" w:rsidRPr="001F253C">
          <w:rPr>
            <w:rStyle w:val="a3"/>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60261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a3"/>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60261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a3"/>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60261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a3"/>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60261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a3"/>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602616"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a3"/>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F37F1" w14:textId="77777777" w:rsidR="00602616" w:rsidRDefault="00602616">
      <w:r>
        <w:separator/>
      </w:r>
    </w:p>
  </w:endnote>
  <w:endnote w:type="continuationSeparator" w:id="0">
    <w:p w14:paraId="6EB16A2D" w14:textId="77777777" w:rsidR="00602616" w:rsidRDefault="0060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1378" w14:textId="0B96F6B0" w:rsidR="00A64957" w:rsidRDefault="00A64957" w:rsidP="00730790">
    <w:pPr>
      <w:pStyle w:val="af6"/>
      <w:jc w:val="center"/>
    </w:pPr>
    <w:r>
      <w:rPr>
        <w:rStyle w:val="af7"/>
      </w:rPr>
      <w:fldChar w:fldCharType="begin"/>
    </w:r>
    <w:r>
      <w:rPr>
        <w:rStyle w:val="af7"/>
      </w:rPr>
      <w:instrText xml:space="preserve"> PAGE </w:instrText>
    </w:r>
    <w:r>
      <w:rPr>
        <w:rStyle w:val="af7"/>
      </w:rPr>
      <w:fldChar w:fldCharType="separate"/>
    </w:r>
    <w:r w:rsidR="00133002">
      <w:rPr>
        <w:rStyle w:val="af7"/>
        <w:noProof/>
      </w:rPr>
      <w:t>2</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6722D" w14:textId="77777777" w:rsidR="00602616" w:rsidRDefault="00602616">
      <w:r>
        <w:separator/>
      </w:r>
    </w:p>
  </w:footnote>
  <w:footnote w:type="continuationSeparator" w:id="0">
    <w:p w14:paraId="1E7CC66C" w14:textId="77777777" w:rsidR="00602616" w:rsidRDefault="00602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00608DB"/>
    <w:multiLevelType w:val="multilevel"/>
    <w:tmpl w:val="300608DB"/>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17"/>
  </w:num>
  <w:num w:numId="4">
    <w:abstractNumId w:val="11"/>
  </w:num>
  <w:num w:numId="5">
    <w:abstractNumId w:val="39"/>
  </w:num>
  <w:num w:numId="6">
    <w:abstractNumId w:val="22"/>
  </w:num>
  <w:num w:numId="7">
    <w:abstractNumId w:val="36"/>
  </w:num>
  <w:num w:numId="8">
    <w:abstractNumId w:val="41"/>
  </w:num>
  <w:num w:numId="9">
    <w:abstractNumId w:val="13"/>
  </w:num>
  <w:num w:numId="10">
    <w:abstractNumId w:val="21"/>
  </w:num>
  <w:num w:numId="11">
    <w:abstractNumId w:val="16"/>
  </w:num>
  <w:num w:numId="12">
    <w:abstractNumId w:val="44"/>
  </w:num>
  <w:num w:numId="13">
    <w:abstractNumId w:val="14"/>
  </w:num>
  <w:num w:numId="14">
    <w:abstractNumId w:val="23"/>
  </w:num>
  <w:num w:numId="15">
    <w:abstractNumId w:val="40"/>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15"/>
  </w:num>
  <w:num w:numId="29">
    <w:abstractNumId w:val="43"/>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29"/>
  </w:num>
  <w:num w:numId="37">
    <w:abstractNumId w:val="33"/>
  </w:num>
  <w:num w:numId="38">
    <w:abstractNumId w:val="35"/>
  </w:num>
  <w:num w:numId="39">
    <w:abstractNumId w:val="27"/>
  </w:num>
  <w:num w:numId="40">
    <w:abstractNumId w:val="20"/>
  </w:num>
  <w:num w:numId="41">
    <w:abstractNumId w:val="30"/>
  </w:num>
  <w:num w:numId="42">
    <w:abstractNumId w:val="37"/>
  </w:num>
  <w:num w:numId="43">
    <w:abstractNumId w:val="37"/>
  </w:num>
  <w:num w:numId="44">
    <w:abstractNumId w:val="18"/>
  </w:num>
  <w:num w:numId="45">
    <w:abstractNumId w:val="42"/>
  </w:num>
  <w:num w:numId="4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0070"/>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66AE"/>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3002"/>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07C6"/>
    <w:rsid w:val="001E699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46E62"/>
    <w:rsid w:val="00250587"/>
    <w:rsid w:val="00257F32"/>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2A88"/>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0C5"/>
    <w:rsid w:val="00575BD7"/>
    <w:rsid w:val="00575E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616"/>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2066"/>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76A8"/>
    <w:rsid w:val="008602D1"/>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47609"/>
    <w:rsid w:val="00A50249"/>
    <w:rsid w:val="00A51688"/>
    <w:rsid w:val="00A51B8D"/>
    <w:rsid w:val="00A54A0E"/>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E77FF"/>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0D63"/>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3E9D"/>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CF6CA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1ACF"/>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056A0"/>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5F20"/>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docId w15:val="{FFD45BF3-B47C-471C-8996-3871CFD7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val="en-GB" w:eastAsia="zh-CN" w:bidi="ar-SA"/>
    </w:rPr>
  </w:style>
  <w:style w:type="character" w:customStyle="1" w:styleId="20">
    <w:name w:val="标题 2 字符"/>
    <w:link w:val="2"/>
    <w:rsid w:val="00455C91"/>
    <w:rPr>
      <w:rFonts w:ascii="Arial" w:hAnsi="Arial" w:cs="Arial"/>
      <w:sz w:val="24"/>
      <w:szCs w:val="32"/>
      <w:lang w:val="en-GB" w:eastAsia="zh-CN" w:bidi="ar-SA"/>
    </w:rPr>
  </w:style>
  <w:style w:type="character" w:customStyle="1" w:styleId="30">
    <w:name w:val="标题 3 字符"/>
    <w:link w:val="3"/>
    <w:rsid w:val="00120D47"/>
    <w:rPr>
      <w:rFonts w:ascii="Arial" w:eastAsia="Times New Roman" w:hAnsi="Arial" w:cs="Arial"/>
      <w:sz w:val="22"/>
      <w:szCs w:val="28"/>
      <w:u w:val="single"/>
      <w:lang w:val="en-GB" w:eastAsia="zh-CN"/>
    </w:rPr>
  </w:style>
  <w:style w:type="character" w:customStyle="1" w:styleId="40">
    <w:name w:val="标题 4 字符"/>
    <w:link w:val="4"/>
    <w:rsid w:val="00120D47"/>
    <w:rPr>
      <w:rFonts w:ascii="Arial" w:eastAsia="Times New Roman" w:hAnsi="Arial" w:cs="Arial"/>
      <w:sz w:val="24"/>
      <w:szCs w:val="24"/>
      <w:u w:val="single"/>
      <w:lang w:val="en-GB" w:eastAsia="zh-CN"/>
    </w:rPr>
  </w:style>
  <w:style w:type="character" w:customStyle="1" w:styleId="50">
    <w:name w:val="标题 5 字符"/>
    <w:link w:val="5"/>
    <w:rsid w:val="00120D47"/>
    <w:rPr>
      <w:rFonts w:ascii="Arial" w:eastAsia="Times New Roman" w:hAnsi="Arial" w:cs="Arial"/>
      <w:sz w:val="22"/>
      <w:szCs w:val="22"/>
      <w:u w:val="single"/>
      <w:lang w:val="en-GB" w:eastAsia="zh-CN"/>
    </w:rPr>
  </w:style>
  <w:style w:type="character" w:customStyle="1" w:styleId="60">
    <w:name w:val="标题 6 字符"/>
    <w:link w:val="6"/>
    <w:rsid w:val="00120D47"/>
    <w:rPr>
      <w:rFonts w:ascii="Arial" w:eastAsia="Times New Roman" w:hAnsi="Arial" w:cs="Arial"/>
      <w:sz w:val="22"/>
      <w:lang w:val="en-GB" w:eastAsia="zh-CN"/>
    </w:rPr>
  </w:style>
  <w:style w:type="character" w:customStyle="1" w:styleId="70">
    <w:name w:val="标题 7 字符"/>
    <w:link w:val="7"/>
    <w:rsid w:val="00120D47"/>
    <w:rPr>
      <w:rFonts w:ascii="Arial" w:eastAsia="Times New Roman" w:hAnsi="Arial" w:cs="Arial"/>
      <w:sz w:val="22"/>
      <w:lang w:val="en-GB" w:eastAsia="zh-CN"/>
    </w:rPr>
  </w:style>
  <w:style w:type="character" w:customStyle="1" w:styleId="80">
    <w:name w:val="标题 8 字符"/>
    <w:link w:val="8"/>
    <w:rsid w:val="00120D47"/>
    <w:rPr>
      <w:rFonts w:ascii="Arial" w:eastAsia="Times New Roman" w:hAnsi="Arial" w:cs="Arial"/>
      <w:sz w:val="22"/>
      <w:lang w:val="en-GB" w:eastAsia="zh-CN"/>
    </w:rPr>
  </w:style>
  <w:style w:type="character" w:customStyle="1" w:styleId="90">
    <w:name w:val="标题 9 字符"/>
    <w:link w:val="9"/>
    <w:rsid w:val="00120D47"/>
    <w:rPr>
      <w:rFonts w:ascii="Arial" w:eastAsia="Times New Roman" w:hAnsi="Arial" w:cs="Arial"/>
      <w:sz w:val="22"/>
      <w:lang w:val="en-GB"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11">
    <w:name w:val="toc 1"/>
    <w:basedOn w:val="a"/>
    <w:next w:val="a"/>
    <w:autoRedefine/>
    <w:semiHidden/>
    <w:rsid w:val="003C1556"/>
  </w:style>
  <w:style w:type="paragraph" w:styleId="21">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
    <w:name w:val="Unresolved Mention"/>
    <w:basedOn w:val="a0"/>
    <w:uiPriority w:val="99"/>
    <w:semiHidden/>
    <w:unhideWhenUsed/>
    <w:rsid w:val="00A21C7D"/>
    <w:rPr>
      <w:color w:val="605E5C"/>
      <w:shd w:val="clear" w:color="auto" w:fill="E1DFDD"/>
    </w:rPr>
  </w:style>
  <w:style w:type="paragraph" w:customStyle="1" w:styleId="B2">
    <w:name w:val="B2"/>
    <w:basedOn w:val="2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2">
    <w:name w:val="List 2"/>
    <w:basedOn w:val="a"/>
    <w:uiPriority w:val="99"/>
    <w:semiHidden/>
    <w:unhideWhenUsed/>
    <w:rsid w:val="007C6815"/>
    <w:pPr>
      <w:ind w:left="566" w:hanging="283"/>
      <w:contextualSpacing/>
    </w:pPr>
  </w:style>
  <w:style w:type="character" w:customStyle="1" w:styleId="a7">
    <w:name w:val="列出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92B37-2E5C-4ABF-92F6-458897B6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1819</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12165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OPPO </cp:lastModifiedBy>
  <cp:revision>2</cp:revision>
  <cp:lastPrinted>2009-10-21T14:47:00Z</cp:lastPrinted>
  <dcterms:created xsi:type="dcterms:W3CDTF">2022-08-22T07:55:00Z</dcterms:created>
  <dcterms:modified xsi:type="dcterms:W3CDTF">2022-08-22T07:55:00Z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