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right" w:pos="8364"/>
          <w:tab w:val="clear" w:pos="9072"/>
        </w:tabs>
        <w:rPr>
          <w:rFonts w:eastAsiaTheme="minorEastAsia"/>
          <w:sz w:val="22"/>
          <w:szCs w:val="22"/>
          <w:lang w:val="en-GB" w:eastAsia="zh-CN"/>
        </w:rPr>
      </w:pPr>
      <w:r>
        <w:rPr>
          <w:rFonts w:eastAsia="宋体"/>
          <w:sz w:val="22"/>
          <w:szCs w:val="22"/>
          <w:lang w:val="en-GB" w:eastAsia="zh-CN"/>
        </w:rPr>
        <w:t>3GPP TSG-RAN WG2 Meeting #118 Electronic</w:t>
      </w:r>
      <w:r>
        <w:rPr>
          <w:rFonts w:hint="eastAsia" w:eastAsia="宋体"/>
          <w:sz w:val="22"/>
          <w:szCs w:val="22"/>
          <w:lang w:val="en-GB" w:eastAsia="zh-CN"/>
        </w:rPr>
        <w:t xml:space="preserve"> 　　　　　　　　　　</w:t>
      </w:r>
      <w:r>
        <w:rPr>
          <w:rFonts w:eastAsia="宋体"/>
          <w:sz w:val="22"/>
          <w:szCs w:val="22"/>
          <w:lang w:val="en-GB" w:eastAsia="zh-CN"/>
        </w:rPr>
        <w:t>R2-2</w:t>
      </w:r>
      <w:r>
        <w:rPr>
          <w:rFonts w:hint="eastAsia" w:eastAsia="宋体"/>
          <w:sz w:val="22"/>
          <w:szCs w:val="22"/>
          <w:lang w:val="en-GB" w:eastAsia="zh-CN"/>
        </w:rPr>
        <w:t>2XXXXX</w:t>
      </w:r>
    </w:p>
    <w:p>
      <w:pPr>
        <w:pStyle w:val="38"/>
        <w:jc w:val="both"/>
        <w:rPr>
          <w:sz w:val="22"/>
          <w:szCs w:val="22"/>
          <w:lang w:val="en-GB"/>
        </w:rPr>
      </w:pPr>
      <w:r>
        <w:rPr>
          <w:sz w:val="22"/>
          <w:szCs w:val="22"/>
          <w:lang w:val="en-GB"/>
        </w:rPr>
        <w:t>Online, 09 – 20 May 2022</w:t>
      </w:r>
    </w:p>
    <w:p>
      <w:pPr>
        <w:pStyle w:val="38"/>
        <w:rPr>
          <w:sz w:val="22"/>
          <w:szCs w:val="22"/>
          <w:lang w:val="en-GB"/>
        </w:rPr>
      </w:pPr>
    </w:p>
    <w:p>
      <w:pPr>
        <w:pStyle w:val="38"/>
        <w:tabs>
          <w:tab w:val="left" w:pos="1910"/>
          <w:tab w:val="clear" w:pos="4536"/>
        </w:tabs>
        <w:ind w:left="1800" w:hanging="1800"/>
        <w:jc w:val="both"/>
        <w:rPr>
          <w:rFonts w:cs="Arial" w:eastAsiaTheme="minorEastAsia"/>
          <w:sz w:val="22"/>
          <w:szCs w:val="22"/>
          <w:lang w:eastAsia="zh-CN"/>
        </w:rPr>
      </w:pPr>
      <w:r>
        <w:rPr>
          <w:rFonts w:cs="Arial"/>
          <w:sz w:val="22"/>
          <w:szCs w:val="22"/>
        </w:rPr>
        <w:t>Source:　　　　</w:t>
      </w:r>
      <w:r>
        <w:rPr>
          <w:rFonts w:eastAsia="宋体" w:cs="Arial"/>
          <w:sz w:val="22"/>
          <w:szCs w:val="22"/>
          <w:lang w:eastAsia="zh-CN"/>
        </w:rPr>
        <w:t>CA</w:t>
      </w:r>
      <w:r>
        <w:rPr>
          <w:rFonts w:cs="Arial"/>
          <w:sz w:val="22"/>
          <w:szCs w:val="22"/>
        </w:rPr>
        <w:t>TT</w:t>
      </w:r>
    </w:p>
    <w:p>
      <w:pPr>
        <w:pStyle w:val="38"/>
        <w:tabs>
          <w:tab w:val="left" w:pos="1800"/>
          <w:tab w:val="clear" w:pos="4536"/>
        </w:tabs>
        <w:ind w:left="1767" w:hanging="1767" w:hangingChars="800"/>
        <w:jc w:val="both"/>
        <w:rPr>
          <w:rFonts w:cs="Arial"/>
          <w:sz w:val="22"/>
          <w:szCs w:val="22"/>
        </w:rPr>
      </w:pPr>
      <w:r>
        <w:rPr>
          <w:rFonts w:cs="Arial"/>
          <w:sz w:val="22"/>
          <w:szCs w:val="22"/>
        </w:rPr>
        <w:t>Title:</w:t>
      </w:r>
      <w:bookmarkStart w:id="0" w:name="Title"/>
      <w:bookmarkEnd w:id="0"/>
      <w:r>
        <w:rPr>
          <w:rFonts w:cs="Arial"/>
          <w:sz w:val="22"/>
          <w:szCs w:val="22"/>
        </w:rPr>
        <w:t>　　　　　</w:t>
      </w:r>
      <w:r>
        <w:rPr>
          <w:rFonts w:hint="eastAsia" w:cs="Arial"/>
          <w:sz w:val="22"/>
          <w:szCs w:val="22"/>
        </w:rPr>
        <w:t xml:space="preserve">Report of </w:t>
      </w:r>
      <w:r>
        <w:rPr>
          <w:rFonts w:cs="Arial"/>
          <w:sz w:val="22"/>
          <w:szCs w:val="22"/>
        </w:rPr>
        <w:t>[AT118e][802][SON/MDT] UE capabilities related to SONMDT (CATT)</w:t>
      </w:r>
    </w:p>
    <w:p>
      <w:pPr>
        <w:pStyle w:val="38"/>
        <w:tabs>
          <w:tab w:val="left" w:pos="1579"/>
          <w:tab w:val="clear" w:pos="4536"/>
        </w:tabs>
        <w:jc w:val="both"/>
        <w:rPr>
          <w:rFonts w:cs="Arial"/>
          <w:sz w:val="22"/>
          <w:szCs w:val="22"/>
        </w:rPr>
      </w:pPr>
      <w:r>
        <w:rPr>
          <w:rFonts w:cs="Arial"/>
          <w:sz w:val="22"/>
          <w:szCs w:val="22"/>
        </w:rPr>
        <w:t>Agenda Item:</w:t>
      </w:r>
      <w:bookmarkStart w:id="1" w:name="Source"/>
      <w:bookmarkEnd w:id="1"/>
      <w:r>
        <w:rPr>
          <w:rFonts w:cs="Arial"/>
          <w:sz w:val="22"/>
          <w:szCs w:val="22"/>
        </w:rPr>
        <w:tab/>
      </w:r>
      <w:r>
        <w:rPr>
          <w:rFonts w:hint="eastAsia" w:cs="Arial" w:eastAsiaTheme="minorEastAsia"/>
          <w:sz w:val="22"/>
          <w:szCs w:val="22"/>
          <w:lang w:eastAsia="zh-CN"/>
        </w:rPr>
        <w:t>　</w:t>
      </w:r>
      <w:r>
        <w:rPr>
          <w:rFonts w:hint="eastAsia" w:cs="Arial"/>
          <w:sz w:val="22"/>
          <w:szCs w:val="22"/>
        </w:rPr>
        <w:t>6</w:t>
      </w:r>
      <w:r>
        <w:rPr>
          <w:rFonts w:cs="Arial"/>
          <w:sz w:val="22"/>
          <w:szCs w:val="22"/>
        </w:rPr>
        <w:t>.1</w:t>
      </w:r>
      <w:r>
        <w:rPr>
          <w:rFonts w:hint="eastAsia" w:cs="Arial"/>
          <w:sz w:val="22"/>
          <w:szCs w:val="22"/>
        </w:rPr>
        <w:t>3</w:t>
      </w:r>
      <w:r>
        <w:rPr>
          <w:rFonts w:cs="Arial"/>
          <w:sz w:val="22"/>
          <w:szCs w:val="22"/>
        </w:rPr>
        <w:t>.</w:t>
      </w:r>
      <w:r>
        <w:rPr>
          <w:rFonts w:hint="eastAsia" w:cs="Arial"/>
          <w:sz w:val="22"/>
          <w:szCs w:val="22"/>
        </w:rPr>
        <w:t>5</w:t>
      </w:r>
    </w:p>
    <w:p>
      <w:pPr>
        <w:pStyle w:val="38"/>
        <w:tabs>
          <w:tab w:val="left" w:pos="1800"/>
        </w:tabs>
        <w:jc w:val="both"/>
        <w:rPr>
          <w:rFonts w:cs="Arial"/>
          <w:sz w:val="22"/>
          <w:szCs w:val="22"/>
        </w:rPr>
      </w:pPr>
      <w:r>
        <w:rPr>
          <w:rFonts w:cs="Arial"/>
          <w:sz w:val="22"/>
          <w:szCs w:val="22"/>
        </w:rPr>
        <w:t>Document for:</w:t>
      </w:r>
      <w:r>
        <w:rPr>
          <w:rFonts w:cs="Arial"/>
          <w:sz w:val="22"/>
          <w:szCs w:val="22"/>
        </w:rPr>
        <w:tab/>
      </w:r>
      <w:bookmarkStart w:id="2" w:name="DocumentFor"/>
      <w:bookmarkEnd w:id="2"/>
      <w:r>
        <w:rPr>
          <w:rFonts w:cs="Arial"/>
          <w:sz w:val="22"/>
          <w:szCs w:val="22"/>
        </w:rPr>
        <w:t>Discussion</w:t>
      </w:r>
      <w:r>
        <w:rPr>
          <w:rFonts w:hint="eastAsia" w:cs="Arial"/>
          <w:sz w:val="22"/>
          <w:szCs w:val="22"/>
        </w:rPr>
        <w:t xml:space="preserve"> and Decision</w:t>
      </w:r>
    </w:p>
    <w:p>
      <w:pPr>
        <w:pBdr>
          <w:bottom w:val="single" w:color="auto" w:sz="4" w:space="1"/>
        </w:pBdr>
        <w:tabs>
          <w:tab w:val="left" w:pos="2552"/>
        </w:tabs>
        <w:jc w:val="both"/>
      </w:pPr>
    </w:p>
    <w:p>
      <w:pPr>
        <w:pStyle w:val="2"/>
        <w:jc w:val="both"/>
        <w:rPr>
          <w:szCs w:val="28"/>
        </w:rPr>
      </w:pPr>
      <w:bookmarkStart w:id="3" w:name="_Ref528762725"/>
      <w:r>
        <w:rPr>
          <w:szCs w:val="28"/>
        </w:rPr>
        <w:t>Introduction</w:t>
      </w:r>
      <w:bookmarkEnd w:id="3"/>
    </w:p>
    <w:p>
      <w:pPr>
        <w:pStyle w:val="3"/>
        <w:rPr>
          <w:rFonts w:eastAsia="Arial Unicode MS"/>
        </w:rPr>
      </w:pPr>
      <w:bookmarkStart w:id="4" w:name="OLE_LINK1"/>
      <w:bookmarkStart w:id="5" w:name="OLE_LINK2"/>
      <w:r>
        <w:t>This document is the report of the following email discussion:</w:t>
      </w:r>
    </w:p>
    <w:p>
      <w:pPr>
        <w:pStyle w:val="70"/>
        <w:numPr>
          <w:ilvl w:val="0"/>
          <w:numId w:val="9"/>
        </w:numPr>
        <w:tabs>
          <w:tab w:val="clear" w:pos="1619"/>
        </w:tabs>
        <w:rPr>
          <w:b/>
        </w:rPr>
      </w:pPr>
      <w:r>
        <w:rPr>
          <w:b/>
        </w:rPr>
        <w:t>[AT118e][802][SON/MDT] UE capabilities related to SONMDT (CATT)</w:t>
      </w:r>
    </w:p>
    <w:p>
      <w:pPr>
        <w:pStyle w:val="70"/>
        <w:ind w:left="1619" w:firstLine="0"/>
      </w:pPr>
      <w:r>
        <w:t>Based on R2-2204944, R2-220494</w:t>
      </w:r>
      <w:r>
        <w:rPr>
          <w:rFonts w:hint="eastAsia" w:eastAsiaTheme="minorEastAsia"/>
          <w:lang w:eastAsia="zh-CN"/>
        </w:rPr>
        <w:t>5</w:t>
      </w:r>
      <w:r>
        <w:t xml:space="preserve"> R2-2205073 and R2-2205705, discuss the necessary changes to 38.306 and 38.331</w:t>
      </w:r>
    </w:p>
    <w:p>
      <w:pPr>
        <w:pStyle w:val="70"/>
        <w:rPr>
          <w:vertAlign w:val="superscript"/>
        </w:rPr>
      </w:pPr>
      <w:r>
        <w:tab/>
      </w:r>
      <w:r>
        <w:t>Intended outcome: Report and agreeable CRs</w:t>
      </w:r>
    </w:p>
    <w:p>
      <w:pPr>
        <w:pStyle w:val="70"/>
      </w:pPr>
      <w:r>
        <w:tab/>
      </w:r>
      <w:r>
        <w:t>Deadline: 11:23 UTC, Monday May 16</w:t>
      </w:r>
      <w:r>
        <w:rPr>
          <w:vertAlign w:val="superscript"/>
        </w:rPr>
        <w:t>th</w:t>
      </w:r>
    </w:p>
    <w:bookmarkEnd w:id="4"/>
    <w:bookmarkEnd w:id="5"/>
    <w:p>
      <w:pPr>
        <w:pStyle w:val="3"/>
        <w:rPr>
          <w:rFonts w:eastAsiaTheme="minorEastAsia"/>
          <w:lang w:eastAsia="zh-CN"/>
        </w:rPr>
      </w:pPr>
      <w:r>
        <w:t xml:space="preserve">Please provide your comments before </w:t>
      </w:r>
      <w:r>
        <w:rPr>
          <w:highlight w:val="yellow"/>
        </w:rPr>
        <w:t xml:space="preserve">Monday </w:t>
      </w:r>
      <w:r>
        <w:rPr>
          <w:rFonts w:hint="eastAsia" w:eastAsiaTheme="minorEastAsia"/>
          <w:highlight w:val="yellow"/>
          <w:lang w:eastAsia="zh-CN"/>
        </w:rPr>
        <w:t>16</w:t>
      </w:r>
      <w:r>
        <w:rPr>
          <w:highlight w:val="yellow"/>
        </w:rPr>
        <w:t>/0</w:t>
      </w:r>
      <w:r>
        <w:rPr>
          <w:rFonts w:hint="eastAsia" w:eastAsiaTheme="minorEastAsia"/>
          <w:highlight w:val="yellow"/>
          <w:lang w:eastAsia="zh-CN"/>
        </w:rPr>
        <w:t>5</w:t>
      </w:r>
      <w:r>
        <w:rPr>
          <w:highlight w:val="yellow"/>
        </w:rPr>
        <w:t>/202</w:t>
      </w:r>
      <w:r>
        <w:rPr>
          <w:rFonts w:hint="eastAsia" w:eastAsiaTheme="minorEastAsia"/>
          <w:highlight w:val="yellow"/>
          <w:lang w:eastAsia="zh-CN"/>
        </w:rPr>
        <w:t>2</w:t>
      </w:r>
      <w:r>
        <w:rPr>
          <w:highlight w:val="yellow"/>
        </w:rPr>
        <w:t xml:space="preserve"> </w:t>
      </w:r>
      <w:r>
        <w:rPr>
          <w:rFonts w:hint="eastAsia" w:eastAsiaTheme="minorEastAsia"/>
          <w:highlight w:val="yellow"/>
          <w:lang w:eastAsia="zh-CN"/>
        </w:rPr>
        <w:t>5</w:t>
      </w:r>
      <w:r>
        <w:rPr>
          <w:highlight w:val="yellow"/>
        </w:rPr>
        <w:t>:</w:t>
      </w:r>
      <w:r>
        <w:rPr>
          <w:rFonts w:hint="eastAsia" w:eastAsiaTheme="minorEastAsia"/>
          <w:highlight w:val="yellow"/>
          <w:lang w:eastAsia="zh-CN"/>
        </w:rPr>
        <w:t>00</w:t>
      </w:r>
      <w:r>
        <w:rPr>
          <w:highlight w:val="yellow"/>
        </w:rPr>
        <w:t xml:space="preserve"> UTC</w:t>
      </w:r>
      <w:r>
        <w:t xml:space="preserve">, to leave time for preparing the </w:t>
      </w:r>
      <w:r>
        <w:rPr>
          <w:rFonts w:hint="eastAsia" w:eastAsiaTheme="minorEastAsia"/>
          <w:lang w:eastAsia="zh-CN"/>
        </w:rPr>
        <w:t>draft CRs.</w:t>
      </w:r>
    </w:p>
    <w:p>
      <w:pPr>
        <w:pStyle w:val="2"/>
        <w:jc w:val="both"/>
      </w:pPr>
      <w:r>
        <w:t>Contact information</w:t>
      </w:r>
    </w:p>
    <w:p>
      <w:pPr>
        <w:pStyle w:val="3"/>
      </w:pPr>
      <w:r>
        <w:t>Rapporteur encourages the participating delegates to provide their contact information in this table.</w:t>
      </w:r>
    </w:p>
    <w:tbl>
      <w:tblPr>
        <w:tblStyle w:val="4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6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pStyle w:val="99"/>
              <w:rPr>
                <w:rFonts w:cs="Arial"/>
                <w:lang w:val="de-DE" w:eastAsia="ko-KR"/>
              </w:rPr>
            </w:pPr>
            <w:r>
              <w:rPr>
                <w:rFonts w:cs="Arial"/>
                <w:lang w:val="de-DE" w:eastAsia="ko-KR"/>
              </w:rPr>
              <w:t>Company</w:t>
            </w:r>
          </w:p>
        </w:tc>
        <w:tc>
          <w:tcPr>
            <w:tcW w:w="6114" w:type="dxa"/>
          </w:tcPr>
          <w:p>
            <w:pPr>
              <w:pStyle w:val="99"/>
              <w:rPr>
                <w:rFonts w:cs="Arial"/>
                <w:lang w:val="de-DE" w:eastAsia="ko-KR"/>
              </w:rPr>
            </w:pPr>
            <w:r>
              <w:rPr>
                <w:rFonts w:cs="Arial"/>
                <w:lang w:val="de-DE"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pStyle w:val="100"/>
              <w:rPr>
                <w:rFonts w:eastAsia="宋体" w:cs="Arial"/>
                <w:lang w:val="de-DE" w:eastAsia="zh-CN"/>
              </w:rPr>
            </w:pPr>
            <w:r>
              <w:rPr>
                <w:rFonts w:hint="eastAsia" w:eastAsia="宋体" w:cs="Arial"/>
                <w:lang w:val="de-DE" w:eastAsia="zh-CN"/>
              </w:rPr>
              <w:t>CATT</w:t>
            </w:r>
          </w:p>
        </w:tc>
        <w:tc>
          <w:tcPr>
            <w:tcW w:w="6114" w:type="dxa"/>
          </w:tcPr>
          <w:p>
            <w:pPr>
              <w:pStyle w:val="100"/>
              <w:rPr>
                <w:rFonts w:cs="Arial"/>
                <w:lang w:val="de-DE" w:eastAsia="ko-KR"/>
              </w:rPr>
            </w:pPr>
            <w:r>
              <w:rPr>
                <w:rFonts w:cs="Arial" w:asciiTheme="minorEastAsia" w:hAnsiTheme="minorEastAsia" w:eastAsiaTheme="minorEastAsia"/>
                <w:lang w:val="de-DE" w:eastAsia="zh-CN"/>
              </w:rPr>
              <w:t>S</w:t>
            </w:r>
            <w:r>
              <w:rPr>
                <w:rFonts w:hint="eastAsia" w:cs="Arial" w:asciiTheme="minorEastAsia" w:hAnsiTheme="minorEastAsia" w:eastAsiaTheme="minorEastAsia"/>
                <w:lang w:val="de-DE" w:eastAsia="zh-CN"/>
              </w:rPr>
              <w:t>hijie@catt.cn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pStyle w:val="100"/>
              <w:rPr>
                <w:rFonts w:cs="Arial"/>
                <w:lang w:val="de-DE" w:eastAsia="zh-CN"/>
              </w:rPr>
            </w:pPr>
            <w:r>
              <w:rPr>
                <w:rFonts w:cs="Arial"/>
                <w:lang w:val="de-DE" w:eastAsia="zh-CN"/>
              </w:rPr>
              <w:t>Qualcomm</w:t>
            </w:r>
          </w:p>
        </w:tc>
        <w:tc>
          <w:tcPr>
            <w:tcW w:w="6114" w:type="dxa"/>
          </w:tcPr>
          <w:p>
            <w:pPr>
              <w:pStyle w:val="100"/>
              <w:rPr>
                <w:rFonts w:eastAsia="宋体" w:cs="Arial"/>
                <w:lang w:val="de-DE" w:eastAsia="zh-CN"/>
              </w:rPr>
            </w:pPr>
            <w:r>
              <w:rPr>
                <w:rFonts w:eastAsia="宋体" w:cs="Arial"/>
                <w:lang w:val="de-DE" w:eastAsia="zh-CN"/>
              </w:rPr>
              <w:t>rajeevkr@nyu.edu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pStyle w:val="100"/>
              <w:rPr>
                <w:rFonts w:eastAsia="宋体" w:cs="Arial"/>
                <w:lang w:val="de-DE" w:eastAsia="zh-CN"/>
              </w:rPr>
            </w:pPr>
            <w:r>
              <w:rPr>
                <w:rFonts w:hint="eastAsia" w:eastAsia="宋体" w:cs="Arial"/>
                <w:lang w:val="de-DE" w:eastAsia="zh-CN"/>
              </w:rPr>
              <w:t>H</w:t>
            </w:r>
            <w:r>
              <w:rPr>
                <w:rFonts w:eastAsia="宋体" w:cs="Arial"/>
                <w:lang w:val="de-DE" w:eastAsia="zh-CN"/>
              </w:rPr>
              <w:t>uawei, HiSilicon</w:t>
            </w:r>
          </w:p>
        </w:tc>
        <w:tc>
          <w:tcPr>
            <w:tcW w:w="6114" w:type="dxa"/>
          </w:tcPr>
          <w:p>
            <w:pPr>
              <w:pStyle w:val="100"/>
              <w:rPr>
                <w:rFonts w:eastAsia="宋体" w:cs="Arial"/>
                <w:lang w:val="de-DE" w:eastAsia="zh-CN"/>
              </w:rPr>
            </w:pPr>
            <w:r>
              <w:rPr>
                <w:rFonts w:eastAsia="宋体" w:cs="Arial"/>
                <w:lang w:val="de-DE"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pStyle w:val="100"/>
              <w:rPr>
                <w:rFonts w:cs="Arial"/>
                <w:lang w:val="en-US" w:eastAsia="zh-CN"/>
              </w:rPr>
            </w:pPr>
            <w:r>
              <w:rPr>
                <w:rFonts w:cs="Arial"/>
                <w:lang w:val="en-US" w:eastAsia="zh-CN"/>
              </w:rPr>
              <w:t>Apple</w:t>
            </w:r>
          </w:p>
        </w:tc>
        <w:tc>
          <w:tcPr>
            <w:tcW w:w="6114" w:type="dxa"/>
          </w:tcPr>
          <w:p>
            <w:pPr>
              <w:pStyle w:val="100"/>
              <w:rPr>
                <w:rFonts w:eastAsia="宋体" w:cs="Arial"/>
                <w:lang w:val="sv-SE" w:eastAsia="zh-CN"/>
              </w:rPr>
            </w:pPr>
            <w:r>
              <w:rPr>
                <w:rFonts w:eastAsia="宋体" w:cs="Arial"/>
                <w:lang w:val="sv-SE" w:eastAsia="zh-CN"/>
              </w:rPr>
              <w:t>Sasha Sirotkin &lt;ssirotkin@apple.com&gt;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pStyle w:val="100"/>
              <w:rPr>
                <w:rFonts w:cs="Arial"/>
                <w:lang w:val="en-US" w:eastAsia="ko-KR"/>
              </w:rPr>
            </w:pPr>
            <w:r>
              <w:rPr>
                <w:rFonts w:hint="eastAsia" w:cs="Arial"/>
                <w:lang w:val="en-US" w:eastAsia="ko-KR"/>
              </w:rPr>
              <w:t>Samsung</w:t>
            </w:r>
          </w:p>
        </w:tc>
        <w:tc>
          <w:tcPr>
            <w:tcW w:w="6114" w:type="dxa"/>
          </w:tcPr>
          <w:p>
            <w:pPr>
              <w:pStyle w:val="100"/>
              <w:rPr>
                <w:rFonts w:cs="Arial"/>
                <w:lang w:val="sv-SE" w:eastAsia="ko-KR"/>
              </w:rPr>
            </w:pPr>
            <w:r>
              <w:rPr>
                <w:rFonts w:cs="Arial"/>
                <w:lang w:val="sv-SE" w:eastAsia="ko-KR"/>
              </w:rPr>
              <w:t>S</w:t>
            </w:r>
            <w:r>
              <w:rPr>
                <w:rFonts w:hint="eastAsia" w:cs="Arial"/>
                <w:lang w:val="sv-SE" w:eastAsia="ko-KR"/>
              </w:rPr>
              <w:t>b</w:t>
            </w:r>
            <w:r>
              <w:rPr>
                <w:rFonts w:cs="Arial"/>
                <w:lang w:val="sv-SE" w:eastAsia="ko-KR"/>
              </w:rPr>
              <w:t>07.kim@samsung.com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pStyle w:val="100"/>
              <w:rPr>
                <w:rFonts w:eastAsia="宋体" w:cs="Arial"/>
                <w:lang w:val="en-US" w:eastAsia="zh-CN"/>
              </w:rPr>
            </w:pPr>
            <w:r>
              <w:rPr>
                <w:rFonts w:eastAsia="宋体" w:cs="Arial"/>
                <w:lang w:val="en-US" w:eastAsia="zh-CN"/>
              </w:rPr>
              <w:t>ITRI</w:t>
            </w:r>
          </w:p>
        </w:tc>
        <w:tc>
          <w:tcPr>
            <w:tcW w:w="6114" w:type="dxa"/>
          </w:tcPr>
          <w:p>
            <w:pPr>
              <w:pStyle w:val="100"/>
              <w:rPr>
                <w:rFonts w:hint="eastAsia" w:eastAsia="PMingLiU" w:cs="Arial"/>
                <w:lang w:val="de-DE" w:eastAsia="zh-TW"/>
              </w:rPr>
            </w:pPr>
            <w:r>
              <w:rPr>
                <w:rFonts w:hint="eastAsia" w:eastAsia="PMingLiU" w:cs="Arial"/>
                <w:lang w:val="de-DE" w:eastAsia="zh-TW"/>
              </w:rPr>
              <w:t>N</w:t>
            </w:r>
            <w:r>
              <w:rPr>
                <w:rFonts w:eastAsia="PMingLiU" w:cs="Arial"/>
                <w:lang w:val="de-DE" w:eastAsia="zh-TW"/>
              </w:rPr>
              <w:t>ellenHuang@itri.org.tw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pStyle w:val="100"/>
              <w:rPr>
                <w:rFonts w:hint="default" w:eastAsia="宋体" w:cs="Arial"/>
                <w:lang w:val="en-US" w:eastAsia="zh-CN"/>
              </w:rPr>
            </w:pPr>
            <w:r>
              <w:rPr>
                <w:rFonts w:hint="eastAsia" w:eastAsia="宋体" w:cs="Arial"/>
                <w:lang w:val="en-US" w:eastAsia="zh-CN"/>
              </w:rPr>
              <w:t>ZTE</w:t>
            </w:r>
          </w:p>
        </w:tc>
        <w:tc>
          <w:tcPr>
            <w:tcW w:w="6114" w:type="dxa"/>
          </w:tcPr>
          <w:p>
            <w:pPr>
              <w:pStyle w:val="100"/>
              <w:rPr>
                <w:rFonts w:hint="default" w:eastAsia="宋体" w:cs="Arial"/>
                <w:lang w:val="en-US" w:eastAsia="zh-CN"/>
              </w:rPr>
            </w:pPr>
            <w:r>
              <w:rPr>
                <w:rFonts w:hint="eastAsia" w:eastAsia="宋体" w:cs="Arial"/>
                <w:lang w:val="en-US" w:eastAsia="zh-CN"/>
              </w:rPr>
              <w:t>qiu.zhihong@zte.com.cn</w:t>
            </w:r>
          </w:p>
        </w:tc>
      </w:tr>
    </w:tbl>
    <w:p>
      <w:pPr>
        <w:pStyle w:val="2"/>
        <w:jc w:val="both"/>
      </w:pPr>
      <w:bookmarkStart w:id="6" w:name="_Ref62671894"/>
      <w:r>
        <w:rPr>
          <w:rFonts w:hint="eastAsia"/>
        </w:rPr>
        <w:t>Discussion</w:t>
      </w:r>
      <w:bookmarkEnd w:id="6"/>
    </w:p>
    <w:p>
      <w:pPr>
        <w:pStyle w:val="4"/>
        <w:rPr>
          <w:sz w:val="24"/>
        </w:rPr>
      </w:pPr>
      <w:r>
        <w:rPr>
          <w:rFonts w:hint="eastAsia" w:eastAsiaTheme="minorEastAsia"/>
          <w:sz w:val="24"/>
        </w:rPr>
        <w:t xml:space="preserve">3.1   </w:t>
      </w:r>
      <w:r>
        <w:rPr>
          <w:rFonts w:hint="eastAsia"/>
          <w:sz w:val="24"/>
        </w:rPr>
        <w:t xml:space="preserve">UE capability of early measurement </w:t>
      </w:r>
      <w:r>
        <w:rPr>
          <w:sz w:val="24"/>
        </w:rPr>
        <w:t xml:space="preserve">frequencies </w:t>
      </w:r>
      <w:r>
        <w:rPr>
          <w:rFonts w:hint="eastAsia"/>
          <w:sz w:val="24"/>
        </w:rPr>
        <w:t>in logged MDT</w:t>
      </w:r>
    </w:p>
    <w:p>
      <w:pPr>
        <w:pStyle w:val="3"/>
        <w:rPr>
          <w:lang w:eastAsia="zh-CN"/>
        </w:rPr>
      </w:pPr>
      <w:r>
        <w:rPr>
          <w:rFonts w:hint="eastAsia"/>
          <w:lang w:eastAsia="zh-CN"/>
        </w:rPr>
        <w:t xml:space="preserve">In RAN2#117-e meeting, the early measurement </w:t>
      </w:r>
      <w:r>
        <w:rPr>
          <w:lang w:eastAsia="zh-CN"/>
        </w:rPr>
        <w:t xml:space="preserve">frequencies </w:t>
      </w:r>
      <w:r>
        <w:rPr>
          <w:rFonts w:hint="eastAsia"/>
          <w:lang w:eastAsia="zh-CN"/>
        </w:rPr>
        <w:t xml:space="preserve">in logged MDT feature is finally agreed to be supported in R17 in CB discussion. </w:t>
      </w:r>
      <w:r>
        <w:rPr>
          <w:lang w:eastAsia="zh-CN"/>
        </w:rPr>
        <w:t>RAN2 made the following agreements:</w:t>
      </w:r>
    </w:p>
    <w:p>
      <w:pPr>
        <w:pStyle w:val="70"/>
        <w:pBdr>
          <w:top w:val="single" w:color="auto" w:sz="4" w:space="1"/>
          <w:left w:val="single" w:color="auto" w:sz="4" w:space="22"/>
          <w:bottom w:val="single" w:color="auto" w:sz="4" w:space="1"/>
          <w:right w:val="single" w:color="auto" w:sz="4" w:space="4"/>
        </w:pBdr>
        <w:ind w:left="880" w:hanging="440"/>
      </w:pPr>
      <w:r>
        <w:t>Agreements:</w:t>
      </w:r>
    </w:p>
    <w:p>
      <w:pPr>
        <w:pStyle w:val="70"/>
        <w:pBdr>
          <w:top w:val="single" w:color="auto" w:sz="4" w:space="1"/>
          <w:left w:val="single" w:color="auto" w:sz="4" w:space="22"/>
          <w:bottom w:val="single" w:color="auto" w:sz="4" w:space="1"/>
          <w:right w:val="single" w:color="auto" w:sz="4" w:space="4"/>
        </w:pBdr>
        <w:ind w:left="880" w:hanging="440"/>
      </w:pPr>
      <w:r>
        <w:t>1</w:t>
      </w:r>
      <w:r>
        <w:tab/>
      </w:r>
      <w:r>
        <w:t>If the earlyMeasIndication-r17 is not included, the UE is not allowed to log EM in logged MDT report (following legacy logged MDT behaviours).</w:t>
      </w:r>
    </w:p>
    <w:p>
      <w:pPr>
        <w:pStyle w:val="70"/>
        <w:pBdr>
          <w:top w:val="single" w:color="auto" w:sz="4" w:space="1"/>
          <w:left w:val="single" w:color="auto" w:sz="4" w:space="22"/>
          <w:bottom w:val="single" w:color="auto" w:sz="4" w:space="1"/>
          <w:right w:val="single" w:color="auto" w:sz="4" w:space="4"/>
        </w:pBdr>
        <w:ind w:left="880" w:hanging="440"/>
      </w:pPr>
    </w:p>
    <w:p>
      <w:pPr>
        <w:pStyle w:val="70"/>
        <w:pBdr>
          <w:top w:val="single" w:color="auto" w:sz="4" w:space="1"/>
          <w:left w:val="single" w:color="auto" w:sz="4" w:space="22"/>
          <w:bottom w:val="single" w:color="auto" w:sz="4" w:space="1"/>
          <w:right w:val="single" w:color="auto" w:sz="4" w:space="4"/>
        </w:pBdr>
        <w:ind w:left="880" w:hanging="440"/>
      </w:pPr>
      <w:r>
        <w:t>2</w:t>
      </w:r>
      <w:r>
        <w:tab/>
      </w:r>
      <w:r>
        <w:t>If the earlyMeasIndication-r17 is included, for the following frequencies:</w:t>
      </w:r>
    </w:p>
    <w:p>
      <w:pPr>
        <w:pStyle w:val="70"/>
        <w:pBdr>
          <w:top w:val="single" w:color="auto" w:sz="4" w:space="1"/>
          <w:left w:val="single" w:color="auto" w:sz="4" w:space="22"/>
          <w:bottom w:val="single" w:color="auto" w:sz="4" w:space="1"/>
          <w:right w:val="single" w:color="auto" w:sz="4" w:space="4"/>
        </w:pBdr>
        <w:ind w:left="880" w:hanging="440"/>
      </w:pPr>
      <w:r>
        <w:t>-          If interFreqTargetInfo is included, for frequencies included in both interFreqTargetInfo and EMR config</w:t>
      </w:r>
    </w:p>
    <w:p>
      <w:pPr>
        <w:pStyle w:val="70"/>
        <w:pBdr>
          <w:top w:val="single" w:color="auto" w:sz="4" w:space="1"/>
          <w:left w:val="single" w:color="auto" w:sz="4" w:space="22"/>
          <w:bottom w:val="single" w:color="auto" w:sz="4" w:space="1"/>
          <w:right w:val="single" w:color="auto" w:sz="4" w:space="4"/>
        </w:pBdr>
        <w:ind w:left="880" w:hanging="440"/>
      </w:pPr>
      <w:r>
        <w:t>-          If interFreqTargetInfo is not included, for frequencies included in EMR config</w:t>
      </w:r>
    </w:p>
    <w:p>
      <w:pPr>
        <w:pStyle w:val="70"/>
        <w:pBdr>
          <w:top w:val="single" w:color="auto" w:sz="4" w:space="1"/>
          <w:left w:val="single" w:color="auto" w:sz="4" w:space="22"/>
          <w:bottom w:val="single" w:color="auto" w:sz="4" w:space="1"/>
          <w:right w:val="single" w:color="auto" w:sz="4" w:space="4"/>
        </w:pBdr>
        <w:ind w:left="880" w:hanging="440"/>
      </w:pPr>
      <w:r>
        <w:t>-          For inter-RAT related frequencies included in EMR config</w:t>
      </w:r>
    </w:p>
    <w:p>
      <w:pPr>
        <w:pStyle w:val="70"/>
        <w:pBdr>
          <w:top w:val="single" w:color="auto" w:sz="4" w:space="1"/>
          <w:left w:val="single" w:color="auto" w:sz="4" w:space="22"/>
          <w:bottom w:val="single" w:color="auto" w:sz="4" w:space="1"/>
          <w:right w:val="single" w:color="auto" w:sz="4" w:space="4"/>
        </w:pBdr>
        <w:ind w:left="880" w:hanging="440"/>
      </w:pPr>
      <w:r>
        <w:t xml:space="preserve"> How UE logs the measurements on EMR frequencies is left to the UE implementation.</w:t>
      </w:r>
    </w:p>
    <w:p>
      <w:pPr>
        <w:pStyle w:val="70"/>
        <w:pBdr>
          <w:top w:val="single" w:color="auto" w:sz="4" w:space="1"/>
          <w:left w:val="single" w:color="auto" w:sz="4" w:space="22"/>
          <w:bottom w:val="single" w:color="auto" w:sz="4" w:space="1"/>
          <w:right w:val="single" w:color="auto" w:sz="4" w:space="4"/>
        </w:pBdr>
        <w:ind w:left="880" w:hanging="440"/>
      </w:pPr>
      <w:r>
        <w:t xml:space="preserve"> </w:t>
      </w:r>
    </w:p>
    <w:p>
      <w:pPr>
        <w:pStyle w:val="70"/>
        <w:pBdr>
          <w:top w:val="single" w:color="auto" w:sz="4" w:space="1"/>
          <w:left w:val="single" w:color="auto" w:sz="4" w:space="22"/>
          <w:bottom w:val="single" w:color="auto" w:sz="4" w:space="1"/>
          <w:right w:val="single" w:color="auto" w:sz="4" w:space="4"/>
        </w:pBdr>
        <w:ind w:left="880" w:hanging="440"/>
        <w:rPr>
          <w:b/>
        </w:rPr>
      </w:pPr>
      <w:r>
        <w:t>3</w:t>
      </w:r>
      <w:r>
        <w:tab/>
      </w:r>
      <w:r>
        <w:t>For logging the measurements on EMR frequencies in logged MDT report, the qualityThreshold in measIdleConfig should not be applied.</w:t>
      </w:r>
    </w:p>
    <w:p>
      <w:pPr>
        <w:pStyle w:val="3"/>
        <w:spacing w:before="120" w:beforeLines="50"/>
        <w:rPr>
          <w:lang w:eastAsia="zh-CN"/>
        </w:rPr>
      </w:pPr>
      <w:r>
        <w:rPr>
          <w:lang w:eastAsia="zh-CN"/>
        </w:rPr>
        <w:t xml:space="preserve">This </w:t>
      </w:r>
      <w:r>
        <w:rPr>
          <w:rFonts w:eastAsiaTheme="minorEastAsia"/>
          <w:lang w:eastAsia="zh-CN"/>
        </w:rPr>
        <w:t>leads to addit</w:t>
      </w:r>
      <w:r>
        <w:rPr>
          <w:lang w:eastAsia="zh-CN"/>
        </w:rPr>
        <w:t>ional complexities introduced at the UE for logging measurements on early measurement frequencies in logged MDT report.</w:t>
      </w:r>
    </w:p>
    <w:p>
      <w:pPr>
        <w:pStyle w:val="3"/>
        <w:rPr>
          <w:lang w:eastAsia="zh-CN"/>
        </w:rPr>
      </w:pPr>
      <w:r>
        <w:rPr>
          <w:rFonts w:hint="eastAsia" w:eastAsiaTheme="minorEastAsia"/>
          <w:lang w:eastAsia="zh-CN"/>
        </w:rPr>
        <w:t>However,</w:t>
      </w:r>
      <w:r>
        <w:rPr>
          <w:rFonts w:hint="eastAsia"/>
          <w:lang w:eastAsia="zh-CN"/>
        </w:rPr>
        <w:t xml:space="preserve"> the UE capability of </w:t>
      </w:r>
      <w:r>
        <w:rPr>
          <w:lang w:eastAsia="zh-CN"/>
        </w:rPr>
        <w:t>early measurement frequencies</w:t>
      </w:r>
      <w:r>
        <w:rPr>
          <w:rFonts w:hint="eastAsia"/>
          <w:lang w:eastAsia="zh-CN"/>
        </w:rPr>
        <w:t xml:space="preserve"> in logged MDT is not introduced since the discussion of UE capability is early than the decision of introduc</w:t>
      </w:r>
      <w:r>
        <w:rPr>
          <w:rFonts w:hint="eastAsia" w:eastAsiaTheme="minorEastAsia"/>
          <w:lang w:eastAsia="zh-CN"/>
        </w:rPr>
        <w:t>ing</w:t>
      </w:r>
      <w:r>
        <w:rPr>
          <w:rFonts w:hint="eastAsia"/>
          <w:lang w:eastAsia="zh-CN"/>
        </w:rPr>
        <w:t xml:space="preserve"> </w:t>
      </w:r>
      <w:r>
        <w:rPr>
          <w:lang w:eastAsia="zh-CN"/>
        </w:rPr>
        <w:t>early measurement frequencies</w:t>
      </w:r>
      <w:r>
        <w:rPr>
          <w:rFonts w:hint="eastAsia"/>
          <w:lang w:eastAsia="zh-CN"/>
        </w:rPr>
        <w:t xml:space="preserve"> in logged MDT.</w:t>
      </w:r>
    </w:p>
    <w:p>
      <w:pPr>
        <w:pStyle w:val="3"/>
        <w:rPr>
          <w:lang w:eastAsia="zh-CN"/>
        </w:rPr>
      </w:pPr>
      <w:r>
        <w:rPr>
          <w:rFonts w:hint="eastAsia"/>
          <w:lang w:eastAsia="zh-CN"/>
        </w:rPr>
        <w:t xml:space="preserve">The </w:t>
      </w:r>
      <w:r>
        <w:rPr>
          <w:lang w:eastAsia="zh-CN"/>
        </w:rPr>
        <w:t>early measurement frequencies</w:t>
      </w:r>
      <w:r>
        <w:rPr>
          <w:rFonts w:hint="eastAsia"/>
          <w:lang w:eastAsia="zh-CN"/>
        </w:rPr>
        <w:t xml:space="preserve"> in logged MDT related UE capability has been discussed in </w:t>
      </w:r>
      <w:r>
        <w:rPr>
          <w:lang w:eastAsia="zh-CN"/>
        </w:rPr>
        <w:t>[Offline-877][SON_MDT] SONMDT related UE Capabilities (CATT, Intel)</w:t>
      </w:r>
      <w:r>
        <w:rPr>
          <w:rFonts w:hint="eastAsia" w:eastAsiaTheme="minorEastAsia"/>
          <w:lang w:eastAsia="zh-CN"/>
        </w:rPr>
        <w:t xml:space="preserve"> in RAN2#117-e</w:t>
      </w:r>
      <w:r>
        <w:rPr>
          <w:rFonts w:hint="eastAsia"/>
          <w:lang w:eastAsia="zh-CN"/>
        </w:rPr>
        <w:t>, and the summary and proposal are:</w:t>
      </w:r>
    </w:p>
    <w:tbl>
      <w:tblPr>
        <w:tblStyle w:val="49"/>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72" w:type="dxa"/>
          </w:tcPr>
          <w:p>
            <w:pPr>
              <w:pStyle w:val="3"/>
              <w:rPr>
                <w:lang w:eastAsia="zh-CN"/>
              </w:rPr>
            </w:pPr>
            <w:r>
              <w:rPr>
                <w:lang w:eastAsia="zh-CN"/>
              </w:rPr>
              <w:t xml:space="preserve">Summary of issue </w:t>
            </w:r>
            <w:r>
              <w:rPr>
                <w:rFonts w:hint="eastAsia"/>
                <w:lang w:eastAsia="zh-CN"/>
              </w:rPr>
              <w:t>2</w:t>
            </w:r>
            <w:r>
              <w:rPr>
                <w:lang w:eastAsia="zh-CN"/>
              </w:rPr>
              <w:t>-</w:t>
            </w:r>
            <w:r>
              <w:rPr>
                <w:rFonts w:hint="eastAsia"/>
                <w:lang w:eastAsia="zh-CN"/>
              </w:rPr>
              <w:t>2</w:t>
            </w:r>
            <w:r>
              <w:rPr>
                <w:lang w:eastAsia="zh-CN"/>
              </w:rPr>
              <w:t>:</w:t>
            </w:r>
          </w:p>
          <w:p>
            <w:pPr>
              <w:pStyle w:val="3"/>
              <w:rPr>
                <w:lang w:eastAsia="zh-CN"/>
              </w:rPr>
            </w:pPr>
            <w:r>
              <w:rPr>
                <w:lang w:eastAsia="zh-CN"/>
              </w:rPr>
              <w:t xml:space="preserve">According to the feedback provided, </w:t>
            </w:r>
            <w:r>
              <w:rPr>
                <w:rFonts w:hint="eastAsia"/>
                <w:lang w:eastAsia="zh-CN"/>
              </w:rPr>
              <w:t>9</w:t>
            </w:r>
            <w:r>
              <w:rPr>
                <w:lang w:eastAsia="zh-CN"/>
              </w:rPr>
              <w:t xml:space="preserve"> companies </w:t>
            </w:r>
            <w:r>
              <w:rPr>
                <w:rFonts w:hint="eastAsia"/>
                <w:lang w:eastAsia="zh-CN"/>
              </w:rPr>
              <w:t xml:space="preserve">agree </w:t>
            </w:r>
            <w:r>
              <w:rPr>
                <w:lang w:eastAsia="zh-CN"/>
              </w:rPr>
              <w:t>to introduce an optional UE capability with signalling for Early Measurement Logging in Logged MDT</w:t>
            </w:r>
            <w:r>
              <w:rPr>
                <w:rFonts w:hint="eastAsia"/>
                <w:lang w:eastAsia="zh-CN"/>
              </w:rPr>
              <w:t xml:space="preserve"> since</w:t>
            </w:r>
            <w:r>
              <w:rPr>
                <w:lang w:eastAsia="zh-CN"/>
              </w:rPr>
              <w:t xml:space="preserve"> the MDT/SON principle </w:t>
            </w:r>
            <w:r>
              <w:rPr>
                <w:rFonts w:hint="eastAsia"/>
                <w:lang w:eastAsia="zh-CN"/>
              </w:rPr>
              <w:t xml:space="preserve">is that </w:t>
            </w:r>
            <w:r>
              <w:rPr>
                <w:lang w:eastAsia="zh-CN"/>
              </w:rPr>
              <w:t>UE does not perform additional measurements for a SON/MDT feature</w:t>
            </w:r>
            <w:r>
              <w:rPr>
                <w:rFonts w:hint="eastAsia"/>
                <w:lang w:eastAsia="zh-CN"/>
              </w:rPr>
              <w:t xml:space="preserve">; 1 company thought </w:t>
            </w:r>
            <w:r>
              <w:rPr>
                <w:lang w:eastAsia="zh-CN"/>
              </w:rPr>
              <w:t>optional support without capability signalling</w:t>
            </w:r>
            <w:r>
              <w:rPr>
                <w:rFonts w:hint="eastAsia"/>
                <w:lang w:eastAsia="zh-CN"/>
              </w:rPr>
              <w:t xml:space="preserve"> is enough </w:t>
            </w:r>
            <w:r>
              <w:rPr>
                <w:lang w:eastAsia="zh-CN"/>
              </w:rPr>
              <w:t>since the network may have no use to know whether the UE has the capability</w:t>
            </w:r>
            <w:r>
              <w:rPr>
                <w:rFonts w:hint="eastAsia"/>
                <w:lang w:eastAsia="zh-CN"/>
              </w:rPr>
              <w:t xml:space="preserve">; 1 company thought it depends on </w:t>
            </w:r>
            <w:r>
              <w:rPr>
                <w:lang w:eastAsia="zh-CN"/>
              </w:rPr>
              <w:t>how EMR is logged in logged MDT</w:t>
            </w:r>
            <w:r>
              <w:rPr>
                <w:rFonts w:hint="eastAsia"/>
                <w:lang w:eastAsia="zh-CN"/>
              </w:rPr>
              <w:t>. To follow the majority view, rapporteur made the proposal as below:</w:t>
            </w:r>
          </w:p>
          <w:p>
            <w:pPr>
              <w:pStyle w:val="3"/>
              <w:rPr>
                <w:lang w:eastAsia="zh-CN"/>
              </w:rPr>
            </w:pPr>
            <w:r>
              <w:rPr>
                <w:lang w:eastAsia="zh-CN"/>
              </w:rPr>
              <w:t>Proposal</w:t>
            </w:r>
            <w:r>
              <w:rPr>
                <w:rFonts w:hint="eastAsia"/>
                <w:lang w:eastAsia="zh-CN"/>
              </w:rPr>
              <w:t xml:space="preserve"> 10 (9 out of 11)</w:t>
            </w:r>
            <w:r>
              <w:rPr>
                <w:lang w:eastAsia="zh-CN"/>
              </w:rPr>
              <w:t>:</w:t>
            </w:r>
            <w:r>
              <w:rPr>
                <w:rFonts w:hint="eastAsia"/>
                <w:lang w:eastAsia="zh-CN"/>
              </w:rPr>
              <w:t xml:space="preserve"> </w:t>
            </w:r>
            <w:r>
              <w:rPr>
                <w:lang w:eastAsia="zh-CN"/>
              </w:rPr>
              <w:t>Introduce an optional UE capability with signalling for Early Measurement Logging in Logged MDT</w:t>
            </w:r>
            <w:r>
              <w:rPr>
                <w:rFonts w:hint="eastAsia"/>
                <w:lang w:eastAsia="zh-CN"/>
              </w:rPr>
              <w:t>.</w:t>
            </w:r>
          </w:p>
        </w:tc>
      </w:tr>
    </w:tbl>
    <w:p>
      <w:pPr>
        <w:pStyle w:val="3"/>
        <w:spacing w:before="120" w:beforeLines="50"/>
        <w:rPr>
          <w:lang w:eastAsia="zh-CN"/>
        </w:rPr>
      </w:pPr>
      <w:r>
        <w:rPr>
          <w:rFonts w:hint="eastAsia"/>
          <w:lang w:eastAsia="zh-CN"/>
        </w:rPr>
        <w:t xml:space="preserve">Therefore, the </w:t>
      </w:r>
      <w:r>
        <w:rPr>
          <w:lang w:eastAsia="zh-CN"/>
        </w:rPr>
        <w:t>early measurement frequencies</w:t>
      </w:r>
      <w:r>
        <w:rPr>
          <w:rFonts w:hint="eastAsia"/>
          <w:lang w:eastAsia="zh-CN"/>
        </w:rPr>
        <w:t xml:space="preserve"> in logged MDT related UE capability is proposed to be added in R17 specification of TS38.331 and TS38.306.</w:t>
      </w:r>
    </w:p>
    <w:p>
      <w:pPr>
        <w:pStyle w:val="3"/>
        <w:rPr>
          <w:lang w:eastAsia="zh-CN"/>
        </w:rPr>
      </w:pPr>
      <w:r>
        <w:rPr>
          <w:rFonts w:hint="eastAsia"/>
          <w:lang w:eastAsia="zh-CN"/>
        </w:rPr>
        <w:t>So it is proposed in [1][2][4] to add</w:t>
      </w:r>
      <w:r>
        <w:rPr>
          <w:lang w:eastAsia="zh-CN"/>
        </w:rPr>
        <w:t xml:space="preserve"> an optional UE capability with signalling for Early Measurement Logging in Logged MDT.</w:t>
      </w:r>
    </w:p>
    <w:p>
      <w:pPr>
        <w:spacing w:before="120" w:after="120"/>
        <w:jc w:val="both"/>
        <w:rPr>
          <w:rFonts w:eastAsiaTheme="minorEastAsia"/>
          <w:b/>
          <w:lang w:val="en-GB" w:eastAsia="zh-CN"/>
        </w:rPr>
      </w:pPr>
      <w:r>
        <w:rPr>
          <w:b/>
          <w:bCs/>
        </w:rPr>
        <w:t>Question</w:t>
      </w:r>
      <w:r>
        <w:rPr>
          <w:b/>
        </w:rPr>
        <w:t xml:space="preserve"> 1: </w:t>
      </w:r>
      <w:r>
        <w:rPr>
          <w:b/>
          <w:bCs/>
          <w:szCs w:val="21"/>
        </w:rPr>
        <w:t xml:space="preserve">Do companies agree to add an optional UE capability </w:t>
      </w:r>
      <w:r>
        <w:rPr>
          <w:b/>
          <w:bCs/>
          <w:szCs w:val="21"/>
          <w:u w:val="single"/>
        </w:rPr>
        <w:t>with</w:t>
      </w:r>
      <w:r>
        <w:rPr>
          <w:b/>
          <w:bCs/>
          <w:szCs w:val="21"/>
        </w:rPr>
        <w:t xml:space="preserve"> signalling for Early Measurement Logging in Logged MDT</w:t>
      </w:r>
      <w:r>
        <w:rPr>
          <w:rFonts w:hint="eastAsia" w:eastAsiaTheme="minorEastAsia"/>
          <w:b/>
          <w:bCs/>
          <w:szCs w:val="21"/>
          <w:lang w:eastAsia="zh-CN"/>
        </w:rPr>
        <w:t>?</w:t>
      </w:r>
    </w:p>
    <w:tbl>
      <w:tblPr>
        <w:tblStyle w:val="48"/>
        <w:tblW w:w="84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379"/>
        <w:gridCol w:w="1467"/>
        <w:gridCol w:w="55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379"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pStyle w:val="99"/>
              <w:spacing w:before="20" w:after="20"/>
              <w:ind w:left="57" w:right="57"/>
              <w:jc w:val="left"/>
              <w:rPr>
                <w:sz w:val="20"/>
              </w:rPr>
            </w:pPr>
            <w:r>
              <w:rPr>
                <w:sz w:val="20"/>
              </w:rPr>
              <w:t>Company</w:t>
            </w:r>
          </w:p>
        </w:tc>
        <w:tc>
          <w:tcPr>
            <w:tcW w:w="146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pStyle w:val="99"/>
              <w:spacing w:before="20" w:after="20"/>
              <w:ind w:left="57" w:right="57"/>
              <w:jc w:val="left"/>
              <w:rPr>
                <w:sz w:val="20"/>
              </w:rPr>
            </w:pPr>
            <w:r>
              <w:rPr>
                <w:rFonts w:cs="Arial"/>
                <w:bCs/>
                <w:sz w:val="20"/>
                <w:lang w:val="en-US" w:eastAsia="zh-CN"/>
              </w:rPr>
              <w:t>Yes/No</w:t>
            </w:r>
          </w:p>
        </w:tc>
        <w:tc>
          <w:tcPr>
            <w:tcW w:w="558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pStyle w:val="99"/>
              <w:spacing w:before="20" w:after="20"/>
              <w:ind w:left="57" w:right="57"/>
              <w:jc w:val="left"/>
              <w:rPr>
                <w:sz w:val="20"/>
              </w:rPr>
            </w:pPr>
            <w:r>
              <w:rPr>
                <w:rFonts w:cs="Arial"/>
                <w:bCs/>
                <w:sz w:val="20"/>
              </w:rPr>
              <w:t>Comments</w:t>
            </w:r>
            <w:r>
              <w:rPr>
                <w:rFonts w:cs="Arial"/>
                <w:bCs/>
                <w:sz w:val="20"/>
                <w:lang w:eastAsia="zh-CN"/>
              </w:rPr>
              <w:t xml:space="preserve">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379"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rFonts w:eastAsiaTheme="minorEastAsia"/>
                <w:lang w:eastAsia="zh-CN"/>
              </w:rPr>
            </w:pPr>
            <w:r>
              <w:rPr>
                <w:rFonts w:hint="eastAsia" w:eastAsiaTheme="minorEastAsia"/>
                <w:lang w:eastAsia="zh-CN"/>
              </w:rPr>
              <w:t>CATT</w:t>
            </w:r>
          </w:p>
        </w:tc>
        <w:tc>
          <w:tcPr>
            <w:tcW w:w="1467"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rFonts w:eastAsiaTheme="minorEastAsia"/>
                <w:lang w:eastAsia="zh-CN"/>
              </w:rPr>
            </w:pPr>
            <w:r>
              <w:rPr>
                <w:rFonts w:hint="eastAsia" w:eastAsiaTheme="minorEastAsia"/>
                <w:lang w:eastAsia="zh-CN"/>
              </w:rPr>
              <w:t>Yes</w:t>
            </w:r>
          </w:p>
        </w:tc>
        <w:tc>
          <w:tcPr>
            <w:tcW w:w="5584"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zh-CN"/>
              </w:rPr>
            </w:pPr>
            <w:r>
              <w:rPr>
                <w:lang w:eastAsia="zh-CN"/>
              </w:rPr>
              <w:t>UE which has the capability of EMR may not have the capability of logging the EM result in the logged MDT.  We cannot think simply that a feature should be naturally recorded for MDT usage if the UE supports the feature itself. Therefore this capability of earlyMeasLog-r17 is needed for MDT usage.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379"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zh-CN"/>
              </w:rPr>
            </w:pPr>
            <w:r>
              <w:rPr>
                <w:lang w:eastAsia="zh-CN"/>
              </w:rPr>
              <w:t>Qualcomm</w:t>
            </w:r>
          </w:p>
        </w:tc>
        <w:tc>
          <w:tcPr>
            <w:tcW w:w="1467"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zh-CN"/>
              </w:rPr>
            </w:pPr>
            <w:r>
              <w:rPr>
                <w:lang w:eastAsia="zh-CN"/>
              </w:rPr>
              <w:t>Yes</w:t>
            </w:r>
          </w:p>
        </w:tc>
        <w:tc>
          <w:tcPr>
            <w:tcW w:w="5584"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zh-CN"/>
              </w:rPr>
            </w:pPr>
            <w:r>
              <w:rPr>
                <w:lang w:eastAsia="zh-CN"/>
              </w:rPr>
              <w:t>Same view as CATT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379"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ko-KR"/>
              </w:rPr>
            </w:pPr>
            <w:r>
              <w:rPr>
                <w:rFonts w:hint="eastAsia" w:eastAsia="宋体" w:cs="Arial"/>
                <w:lang w:val="de-DE" w:eastAsia="zh-CN"/>
              </w:rPr>
              <w:t>H</w:t>
            </w:r>
            <w:r>
              <w:rPr>
                <w:rFonts w:eastAsia="宋体" w:cs="Arial"/>
                <w:lang w:val="de-DE" w:eastAsia="zh-CN"/>
              </w:rPr>
              <w:t>uawei, HiSilicon</w:t>
            </w:r>
          </w:p>
        </w:tc>
        <w:tc>
          <w:tcPr>
            <w:tcW w:w="1467"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rFonts w:eastAsiaTheme="minorEastAsia"/>
                <w:lang w:eastAsia="zh-CN"/>
              </w:rPr>
            </w:pPr>
            <w:r>
              <w:rPr>
                <w:rFonts w:hint="eastAsia" w:eastAsiaTheme="minorEastAsia"/>
                <w:lang w:eastAsia="zh-CN"/>
              </w:rPr>
              <w:t>Y</w:t>
            </w:r>
            <w:r>
              <w:rPr>
                <w:rFonts w:eastAsiaTheme="minorEastAsia"/>
                <w:lang w:eastAsia="zh-CN"/>
              </w:rPr>
              <w:t>es</w:t>
            </w:r>
          </w:p>
        </w:tc>
        <w:tc>
          <w:tcPr>
            <w:tcW w:w="5584"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379"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zh-CN"/>
              </w:rPr>
            </w:pPr>
            <w:r>
              <w:rPr>
                <w:lang w:eastAsia="zh-CN"/>
              </w:rPr>
              <w:t>Apple</w:t>
            </w:r>
          </w:p>
        </w:tc>
        <w:tc>
          <w:tcPr>
            <w:tcW w:w="1467"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zh-CN"/>
              </w:rPr>
            </w:pPr>
            <w:r>
              <w:rPr>
                <w:lang w:eastAsia="zh-CN"/>
              </w:rPr>
              <w:t>Yes</w:t>
            </w:r>
          </w:p>
        </w:tc>
        <w:tc>
          <w:tcPr>
            <w:tcW w:w="5584"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379"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ko-KR"/>
              </w:rPr>
            </w:pPr>
            <w:r>
              <w:rPr>
                <w:rFonts w:hint="eastAsia"/>
                <w:lang w:eastAsia="ko-KR"/>
              </w:rPr>
              <w:t>Samsung</w:t>
            </w:r>
          </w:p>
        </w:tc>
        <w:tc>
          <w:tcPr>
            <w:tcW w:w="1467"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ko-KR"/>
              </w:rPr>
            </w:pPr>
            <w:r>
              <w:rPr>
                <w:rFonts w:hint="eastAsia"/>
                <w:lang w:eastAsia="ko-KR"/>
              </w:rPr>
              <w:t>Yes</w:t>
            </w:r>
          </w:p>
        </w:tc>
        <w:tc>
          <w:tcPr>
            <w:tcW w:w="5584"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379"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rFonts w:hint="eastAsia"/>
                <w:lang w:eastAsia="ko-KR"/>
              </w:rPr>
            </w:pPr>
            <w:r>
              <w:rPr>
                <w:rFonts w:hint="eastAsia"/>
                <w:lang w:eastAsia="zh-CN"/>
              </w:rPr>
              <w:t>I</w:t>
            </w:r>
            <w:r>
              <w:rPr>
                <w:lang w:eastAsia="zh-CN"/>
              </w:rPr>
              <w:t>TRI</w:t>
            </w:r>
          </w:p>
        </w:tc>
        <w:tc>
          <w:tcPr>
            <w:tcW w:w="1467"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rFonts w:hint="eastAsia"/>
                <w:lang w:eastAsia="ko-KR"/>
              </w:rPr>
            </w:pPr>
            <w:r>
              <w:rPr>
                <w:rFonts w:eastAsia="PMingLiU"/>
                <w:lang w:eastAsia="zh-TW"/>
              </w:rPr>
              <w:t xml:space="preserve">Yes </w:t>
            </w:r>
          </w:p>
        </w:tc>
        <w:tc>
          <w:tcPr>
            <w:tcW w:w="5584"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379"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rFonts w:hint="default"/>
                <w:lang w:val="en-US" w:eastAsia="zh-CN"/>
              </w:rPr>
            </w:pPr>
            <w:r>
              <w:rPr>
                <w:rFonts w:hint="eastAsia"/>
                <w:lang w:val="en-US" w:eastAsia="zh-CN"/>
              </w:rPr>
              <w:t>ZTE</w:t>
            </w:r>
          </w:p>
        </w:tc>
        <w:tc>
          <w:tcPr>
            <w:tcW w:w="1467"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rFonts w:eastAsia="PMingLiU"/>
                <w:lang w:eastAsia="zh-TW"/>
              </w:rPr>
            </w:pPr>
            <w:r>
              <w:rPr>
                <w:rFonts w:hint="eastAsia"/>
                <w:lang w:val="en-US" w:eastAsia="zh-CN"/>
              </w:rPr>
              <w:t>prefer conditional mandatory supported, i.e., if UE supports logged MDT and EMR, it supports log EMR in logged MDT.</w:t>
            </w:r>
          </w:p>
        </w:tc>
        <w:tc>
          <w:tcPr>
            <w:tcW w:w="5584"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rFonts w:hint="default"/>
                <w:lang w:val="en-US" w:eastAsia="zh-CN"/>
              </w:rPr>
            </w:pPr>
            <w:r>
              <w:rPr>
                <w:rFonts w:hint="eastAsia"/>
                <w:lang w:val="en-US" w:eastAsia="zh-CN"/>
              </w:rPr>
              <w:t>The intention of this feature is to help NW to map the coverage in case results on cell reselection frequencies might not be available (e.g., in high-speed scenarios) which is quite useful. Considering EMR in MDT is merged in neighboring cell results and how to log is left on UE implementation, the additional requirement is limited comparing to the gain. Therefore we prefer to have this feature conditional mandatory supported, i.e., if UE supports logged MDT and EMR, it supports log EMR in logged MDT.</w:t>
            </w:r>
          </w:p>
        </w:tc>
      </w:tr>
    </w:tbl>
    <w:p>
      <w:pPr>
        <w:pStyle w:val="3"/>
        <w:spacing w:before="120" w:beforeLines="50"/>
        <w:rPr>
          <w:lang w:eastAsia="zh-CN"/>
        </w:rPr>
      </w:pPr>
      <w:r>
        <w:rPr>
          <w:rFonts w:hint="eastAsia"/>
          <w:lang w:eastAsia="zh-CN"/>
        </w:rPr>
        <w:t>If Question 1 can be agreed, a new UE capability bit will be added in TS38.331, and the definition of this parameter will be added in TS3</w:t>
      </w:r>
      <w:r>
        <w:rPr>
          <w:rFonts w:hint="eastAsia" w:eastAsiaTheme="minorEastAsia"/>
          <w:lang w:eastAsia="zh-CN"/>
        </w:rPr>
        <w:t>8</w:t>
      </w:r>
      <w:r>
        <w:rPr>
          <w:rFonts w:hint="eastAsia"/>
          <w:lang w:eastAsia="zh-CN"/>
        </w:rPr>
        <w:t xml:space="preserve">.306 (section </w:t>
      </w:r>
      <w:r>
        <w:rPr>
          <w:lang w:eastAsia="zh-CN"/>
        </w:rPr>
        <w:t>4.2.18</w:t>
      </w:r>
      <w:r>
        <w:rPr>
          <w:rFonts w:hint="eastAsia"/>
          <w:lang w:eastAsia="zh-CN"/>
        </w:rPr>
        <w:t xml:space="preserve"> </w:t>
      </w:r>
      <w:r>
        <w:rPr>
          <w:lang w:eastAsia="zh-CN"/>
        </w:rPr>
        <w:t>UE-based performance measurement parameters</w:t>
      </w:r>
      <w:r>
        <w:rPr>
          <w:rFonts w:hint="eastAsia"/>
          <w:lang w:eastAsia="zh-CN"/>
        </w:rPr>
        <w:t>) accordingly. The definition is proposed in [2] as below:</w:t>
      </w:r>
    </w:p>
    <w:tbl>
      <w:tblPr>
        <w:tblStyle w:val="48"/>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088"/>
        <w:gridCol w:w="567"/>
        <w:gridCol w:w="567"/>
        <w:gridCol w:w="709"/>
        <w:gridCol w:w="70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7088" w:type="dxa"/>
          </w:tcPr>
          <w:p>
            <w:pPr>
              <w:pStyle w:val="99"/>
            </w:pPr>
            <w:r>
              <w:t>Definitions for parameters</w:t>
            </w:r>
          </w:p>
        </w:tc>
        <w:tc>
          <w:tcPr>
            <w:tcW w:w="567" w:type="dxa"/>
          </w:tcPr>
          <w:p>
            <w:pPr>
              <w:pStyle w:val="99"/>
            </w:pPr>
            <w:r>
              <w:t>Per</w:t>
            </w:r>
          </w:p>
        </w:tc>
        <w:tc>
          <w:tcPr>
            <w:tcW w:w="567" w:type="dxa"/>
          </w:tcPr>
          <w:p>
            <w:pPr>
              <w:pStyle w:val="99"/>
            </w:pPr>
            <w:r>
              <w:t>M</w:t>
            </w:r>
          </w:p>
        </w:tc>
        <w:tc>
          <w:tcPr>
            <w:tcW w:w="709" w:type="dxa"/>
          </w:tcPr>
          <w:p>
            <w:pPr>
              <w:pStyle w:val="99"/>
            </w:pPr>
            <w:r>
              <w:t>FDD-TDD DIFF</w:t>
            </w:r>
          </w:p>
        </w:tc>
        <w:tc>
          <w:tcPr>
            <w:tcW w:w="708" w:type="dxa"/>
          </w:tcPr>
          <w:p>
            <w:pPr>
              <w:pStyle w:val="99"/>
            </w:pPr>
            <w:r>
              <w:t>FR1-FR2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Borders>
              <w:top w:val="single" w:color="808080" w:sz="4" w:space="0"/>
              <w:left w:val="single" w:color="808080" w:sz="4" w:space="0"/>
              <w:bottom w:val="single" w:color="808080" w:sz="4" w:space="0"/>
              <w:right w:val="single" w:color="808080" w:sz="4" w:space="0"/>
            </w:tcBorders>
          </w:tcPr>
          <w:p>
            <w:pPr>
              <w:pStyle w:val="112"/>
              <w:rPr>
                <w:b/>
                <w:bCs/>
                <w:i/>
                <w:iCs/>
              </w:rPr>
            </w:pPr>
            <w:r>
              <w:rPr>
                <w:b/>
                <w:bCs/>
                <w:i/>
                <w:iCs/>
              </w:rPr>
              <w:t>earlyMeasLog-r17</w:t>
            </w:r>
          </w:p>
          <w:p>
            <w:pPr>
              <w:pStyle w:val="112"/>
              <w:rPr>
                <w:bCs/>
                <w:iCs/>
              </w:rPr>
            </w:pPr>
            <w:r>
              <w:rPr>
                <w:bCs/>
                <w:iCs/>
              </w:rPr>
              <w:t xml:space="preserve">Indicates whether the UE supports the storage of Early Measurement Logging in Logged MDT and the reporting in </w:t>
            </w:r>
            <w:r>
              <w:rPr>
                <w:bCs/>
                <w:i/>
                <w:iCs/>
              </w:rPr>
              <w:t>UEInformationResponse</w:t>
            </w:r>
            <w:r>
              <w:rPr>
                <w:bCs/>
                <w:iCs/>
              </w:rPr>
              <w:t xml:space="preserve"> message as specified in TS 38.331 [</w:t>
            </w:r>
            <w:r>
              <w:rPr>
                <w:rFonts w:hint="eastAsia" w:eastAsia="等线"/>
                <w:bCs/>
                <w:iCs/>
                <w:lang w:eastAsia="zh-CN"/>
              </w:rPr>
              <w:t>9</w:t>
            </w:r>
            <w:r>
              <w:rPr>
                <w:bCs/>
                <w:iCs/>
              </w:rPr>
              <w:t>].</w:t>
            </w:r>
          </w:p>
        </w:tc>
        <w:tc>
          <w:tcPr>
            <w:tcW w:w="567" w:type="dxa"/>
            <w:tcBorders>
              <w:top w:val="single" w:color="808080" w:sz="4" w:space="0"/>
              <w:left w:val="single" w:color="808080" w:sz="4" w:space="0"/>
              <w:bottom w:val="single" w:color="808080" w:sz="4" w:space="0"/>
              <w:right w:val="single" w:color="808080" w:sz="4" w:space="0"/>
            </w:tcBorders>
          </w:tcPr>
          <w:p>
            <w:pPr>
              <w:pStyle w:val="112"/>
              <w:jc w:val="center"/>
              <w:rPr>
                <w:rFonts w:cs="Arial"/>
                <w:szCs w:val="18"/>
              </w:rPr>
            </w:pPr>
            <w:r>
              <w:rPr>
                <w:rFonts w:cs="Arial"/>
                <w:szCs w:val="18"/>
              </w:rPr>
              <w:t>UE</w:t>
            </w:r>
          </w:p>
        </w:tc>
        <w:tc>
          <w:tcPr>
            <w:tcW w:w="567" w:type="dxa"/>
            <w:tcBorders>
              <w:top w:val="single" w:color="808080" w:sz="4" w:space="0"/>
              <w:left w:val="single" w:color="808080" w:sz="4" w:space="0"/>
              <w:bottom w:val="single" w:color="808080" w:sz="4" w:space="0"/>
              <w:right w:val="single" w:color="808080" w:sz="4" w:space="0"/>
            </w:tcBorders>
          </w:tcPr>
          <w:p>
            <w:pPr>
              <w:pStyle w:val="112"/>
              <w:jc w:val="center"/>
              <w:rPr>
                <w:rFonts w:cs="Arial"/>
                <w:szCs w:val="18"/>
              </w:rPr>
            </w:pPr>
            <w:r>
              <w:rPr>
                <w:rFonts w:cs="Arial"/>
                <w:szCs w:val="18"/>
              </w:rPr>
              <w:t>No</w:t>
            </w:r>
          </w:p>
        </w:tc>
        <w:tc>
          <w:tcPr>
            <w:tcW w:w="709" w:type="dxa"/>
            <w:tcBorders>
              <w:top w:val="single" w:color="808080" w:sz="4" w:space="0"/>
              <w:left w:val="single" w:color="808080" w:sz="4" w:space="0"/>
              <w:bottom w:val="single" w:color="808080" w:sz="4" w:space="0"/>
              <w:right w:val="single" w:color="808080" w:sz="4" w:space="0"/>
            </w:tcBorders>
          </w:tcPr>
          <w:p>
            <w:pPr>
              <w:pStyle w:val="112"/>
              <w:jc w:val="center"/>
              <w:rPr>
                <w:rFonts w:cs="Arial"/>
                <w:szCs w:val="18"/>
              </w:rPr>
            </w:pPr>
            <w:r>
              <w:rPr>
                <w:rFonts w:cs="Arial"/>
                <w:szCs w:val="18"/>
              </w:rPr>
              <w:t>No</w:t>
            </w:r>
          </w:p>
        </w:tc>
        <w:tc>
          <w:tcPr>
            <w:tcW w:w="708" w:type="dxa"/>
            <w:tcBorders>
              <w:top w:val="single" w:color="808080" w:sz="4" w:space="0"/>
              <w:left w:val="single" w:color="808080" w:sz="4" w:space="0"/>
              <w:bottom w:val="single" w:color="808080" w:sz="4" w:space="0"/>
              <w:right w:val="single" w:color="808080" w:sz="4" w:space="0"/>
            </w:tcBorders>
          </w:tcPr>
          <w:p>
            <w:pPr>
              <w:pStyle w:val="112"/>
              <w:jc w:val="center"/>
              <w:rPr>
                <w:rFonts w:cs="Arial"/>
                <w:szCs w:val="18"/>
              </w:rPr>
            </w:pPr>
            <w:r>
              <w:rPr>
                <w:rFonts w:cs="Arial"/>
                <w:szCs w:val="18"/>
              </w:rPr>
              <w:t>No</w:t>
            </w:r>
          </w:p>
        </w:tc>
      </w:tr>
    </w:tbl>
    <w:p>
      <w:pPr>
        <w:rPr>
          <w:rFonts w:eastAsiaTheme="minorEastAsia"/>
          <w:lang w:eastAsia="zh-CN"/>
        </w:rPr>
      </w:pPr>
    </w:p>
    <w:p>
      <w:pPr>
        <w:spacing w:before="120" w:after="120"/>
        <w:jc w:val="both"/>
        <w:rPr>
          <w:rFonts w:eastAsiaTheme="minorEastAsia"/>
          <w:b/>
          <w:lang w:val="en-GB" w:eastAsia="zh-CN"/>
        </w:rPr>
      </w:pPr>
      <w:r>
        <w:rPr>
          <w:b/>
          <w:bCs/>
        </w:rPr>
        <w:t>Question</w:t>
      </w:r>
      <w:r>
        <w:rPr>
          <w:b/>
        </w:rPr>
        <w:t xml:space="preserve"> </w:t>
      </w:r>
      <w:r>
        <w:rPr>
          <w:rFonts w:hint="eastAsia" w:eastAsiaTheme="minorEastAsia"/>
          <w:b/>
          <w:lang w:eastAsia="zh-CN"/>
        </w:rPr>
        <w:t>2</w:t>
      </w:r>
      <w:r>
        <w:rPr>
          <w:b/>
        </w:rPr>
        <w:t xml:space="preserve">: </w:t>
      </w:r>
      <w:r>
        <w:rPr>
          <w:rFonts w:hint="eastAsia" w:eastAsiaTheme="minorEastAsia"/>
          <w:b/>
          <w:lang w:eastAsia="zh-CN"/>
        </w:rPr>
        <w:t>If agreed with Question 1, d</w:t>
      </w:r>
      <w:r>
        <w:rPr>
          <w:b/>
          <w:bCs/>
          <w:szCs w:val="21"/>
        </w:rPr>
        <w:t xml:space="preserve">o companies agree </w:t>
      </w:r>
      <w:r>
        <w:rPr>
          <w:rFonts w:hint="eastAsia" w:eastAsiaTheme="minorEastAsia"/>
          <w:b/>
          <w:bCs/>
          <w:szCs w:val="21"/>
          <w:lang w:eastAsia="zh-CN"/>
        </w:rPr>
        <w:t>with the definition above</w:t>
      </w:r>
      <w:r>
        <w:rPr>
          <w:b/>
          <w:bCs/>
          <w:szCs w:val="21"/>
        </w:rPr>
        <w:t xml:space="preserve"> for Early Measurement Logging in Logged MDT</w:t>
      </w:r>
      <w:r>
        <w:rPr>
          <w:rFonts w:hint="eastAsia" w:eastAsiaTheme="minorEastAsia"/>
          <w:b/>
          <w:bCs/>
          <w:szCs w:val="21"/>
          <w:lang w:eastAsia="zh-CN"/>
        </w:rPr>
        <w:t>?</w:t>
      </w:r>
    </w:p>
    <w:tbl>
      <w:tblPr>
        <w:tblStyle w:val="48"/>
        <w:tblW w:w="84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379"/>
        <w:gridCol w:w="1467"/>
        <w:gridCol w:w="55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379"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pStyle w:val="99"/>
              <w:spacing w:before="20" w:after="20"/>
              <w:ind w:left="57" w:right="57"/>
              <w:jc w:val="left"/>
              <w:rPr>
                <w:sz w:val="20"/>
              </w:rPr>
            </w:pPr>
            <w:r>
              <w:rPr>
                <w:sz w:val="20"/>
              </w:rPr>
              <w:t>Company</w:t>
            </w:r>
          </w:p>
        </w:tc>
        <w:tc>
          <w:tcPr>
            <w:tcW w:w="146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pStyle w:val="99"/>
              <w:spacing w:before="20" w:after="20"/>
              <w:ind w:left="57" w:right="57"/>
              <w:jc w:val="left"/>
              <w:rPr>
                <w:sz w:val="20"/>
              </w:rPr>
            </w:pPr>
            <w:r>
              <w:rPr>
                <w:rFonts w:cs="Arial"/>
                <w:bCs/>
                <w:sz w:val="20"/>
                <w:lang w:val="en-US" w:eastAsia="zh-CN"/>
              </w:rPr>
              <w:t>Yes/No</w:t>
            </w:r>
          </w:p>
        </w:tc>
        <w:tc>
          <w:tcPr>
            <w:tcW w:w="558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pStyle w:val="99"/>
              <w:spacing w:before="20" w:after="20"/>
              <w:ind w:left="57" w:right="57"/>
              <w:jc w:val="left"/>
              <w:rPr>
                <w:sz w:val="20"/>
              </w:rPr>
            </w:pPr>
            <w:r>
              <w:rPr>
                <w:rFonts w:cs="Arial"/>
                <w:bCs/>
                <w:sz w:val="20"/>
              </w:rPr>
              <w:t>Comments</w:t>
            </w:r>
            <w:r>
              <w:rPr>
                <w:rFonts w:cs="Arial"/>
                <w:bCs/>
                <w:sz w:val="20"/>
                <w:lang w:eastAsia="zh-CN"/>
              </w:rPr>
              <w:t xml:space="preserve">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379"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rFonts w:eastAsiaTheme="minorEastAsia"/>
                <w:lang w:eastAsia="zh-CN"/>
              </w:rPr>
            </w:pPr>
            <w:r>
              <w:rPr>
                <w:rFonts w:hint="eastAsia" w:eastAsiaTheme="minorEastAsia"/>
                <w:lang w:eastAsia="zh-CN"/>
              </w:rPr>
              <w:t>CATT</w:t>
            </w:r>
          </w:p>
        </w:tc>
        <w:tc>
          <w:tcPr>
            <w:tcW w:w="1467"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rFonts w:eastAsiaTheme="minorEastAsia"/>
                <w:lang w:eastAsia="zh-CN"/>
              </w:rPr>
            </w:pPr>
            <w:r>
              <w:rPr>
                <w:rFonts w:hint="eastAsia" w:eastAsiaTheme="minorEastAsia"/>
                <w:lang w:eastAsia="zh-CN"/>
              </w:rPr>
              <w:t>Partly yes</w:t>
            </w:r>
          </w:p>
        </w:tc>
        <w:tc>
          <w:tcPr>
            <w:tcW w:w="5584"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rFonts w:eastAsiaTheme="minorEastAsia"/>
                <w:lang w:eastAsia="zh-CN"/>
              </w:rPr>
            </w:pPr>
            <w:r>
              <w:rPr>
                <w:rFonts w:eastAsiaTheme="minorEastAsia"/>
                <w:lang w:eastAsia="zh-CN"/>
              </w:rPr>
              <w:t>W</w:t>
            </w:r>
            <w:r>
              <w:rPr>
                <w:rFonts w:hint="eastAsia" w:eastAsiaTheme="minorEastAsia"/>
                <w:lang w:eastAsia="zh-CN"/>
              </w:rPr>
              <w:t>e made some change to align with other parameter definitions:</w:t>
            </w:r>
          </w:p>
          <w:p>
            <w:pPr>
              <w:pStyle w:val="100"/>
              <w:spacing w:before="20" w:after="20"/>
              <w:ind w:left="57" w:right="57"/>
              <w:jc w:val="left"/>
              <w:rPr>
                <w:rFonts w:eastAsiaTheme="minorEastAsia"/>
                <w:lang w:eastAsia="zh-CN"/>
              </w:rPr>
            </w:pPr>
            <w:r>
              <w:rPr>
                <w:bCs/>
                <w:iCs/>
              </w:rPr>
              <w:t xml:space="preserve">Indicates whether the UE supports the storage of Early Measurement Logging in </w:t>
            </w:r>
            <w:ins w:id="0" w:author="CATT" w:date="2022-05-11T11:49:00Z">
              <w:r>
                <w:rPr>
                  <w:bCs/>
                  <w:iCs/>
                </w:rPr>
                <w:t>logged measurements</w:t>
              </w:r>
            </w:ins>
            <w:del w:id="1" w:author="CATT" w:date="2022-05-11T11:49:00Z">
              <w:r>
                <w:rPr>
                  <w:bCs/>
                  <w:iCs/>
                </w:rPr>
                <w:delText>Logged MDT</w:delText>
              </w:r>
            </w:del>
            <w:r>
              <w:rPr>
                <w:bCs/>
                <w:iCs/>
              </w:rPr>
              <w:t xml:space="preserve"> and the reporting </w:t>
            </w:r>
            <w:ins w:id="2" w:author="CATT" w:date="2022-05-11T11:14:00Z">
              <w:r>
                <w:rPr/>
                <w:t>upon request from the network</w:t>
              </w:r>
            </w:ins>
            <w:del w:id="3" w:author="CATT" w:date="2022-05-11T11:14:00Z">
              <w:r>
                <w:rPr>
                  <w:bCs/>
                  <w:iCs/>
                </w:rPr>
                <w:delText xml:space="preserve">in </w:delText>
              </w:r>
            </w:del>
            <w:del w:id="4" w:author="CATT" w:date="2022-05-11T11:14:00Z">
              <w:r>
                <w:rPr>
                  <w:bCs/>
                  <w:i/>
                  <w:iCs/>
                </w:rPr>
                <w:delText>UEInformationResponse</w:delText>
              </w:r>
            </w:del>
            <w:del w:id="5" w:author="CATT" w:date="2022-05-11T11:14:00Z">
              <w:r>
                <w:rPr>
                  <w:bCs/>
                  <w:iCs/>
                </w:rPr>
                <w:delText xml:space="preserve"> message</w:delText>
              </w:r>
            </w:del>
            <w:r>
              <w:rPr>
                <w:bCs/>
                <w:iCs/>
              </w:rPr>
              <w:t xml:space="preserve"> as specified in TS 38.331 [</w:t>
            </w:r>
            <w:r>
              <w:rPr>
                <w:rFonts w:hint="eastAsia" w:eastAsia="等线"/>
                <w:bCs/>
                <w:iCs/>
                <w:lang w:eastAsia="zh-CN"/>
              </w:rPr>
              <w:t>9</w:t>
            </w:r>
            <w:r>
              <w:rPr>
                <w:bCs/>
                <w:iC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379"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zh-CN"/>
              </w:rPr>
            </w:pPr>
            <w:r>
              <w:rPr>
                <w:lang w:eastAsia="zh-CN"/>
              </w:rPr>
              <w:t>Qualcomm</w:t>
            </w:r>
          </w:p>
        </w:tc>
        <w:tc>
          <w:tcPr>
            <w:tcW w:w="1467"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zh-CN"/>
              </w:rPr>
            </w:pPr>
          </w:p>
        </w:tc>
        <w:tc>
          <w:tcPr>
            <w:tcW w:w="5584"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zh-CN"/>
              </w:rPr>
            </w:pPr>
            <w:r>
              <w:rPr>
                <w:lang w:eastAsia="zh-CN"/>
              </w:rPr>
              <w:t xml:space="preserve">Agree with CATT changes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379"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ko-KR"/>
              </w:rPr>
            </w:pPr>
            <w:r>
              <w:rPr>
                <w:rFonts w:hint="eastAsia" w:eastAsia="宋体" w:cs="Arial"/>
                <w:lang w:val="de-DE" w:eastAsia="zh-CN"/>
              </w:rPr>
              <w:t>H</w:t>
            </w:r>
            <w:r>
              <w:rPr>
                <w:rFonts w:eastAsia="宋体" w:cs="Arial"/>
                <w:lang w:val="de-DE" w:eastAsia="zh-CN"/>
              </w:rPr>
              <w:t>uawei, HiSilicon</w:t>
            </w:r>
          </w:p>
        </w:tc>
        <w:tc>
          <w:tcPr>
            <w:tcW w:w="1467"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rFonts w:eastAsiaTheme="minorEastAsia"/>
                <w:lang w:eastAsia="zh-CN"/>
              </w:rPr>
            </w:pPr>
            <w:r>
              <w:rPr>
                <w:rFonts w:hint="eastAsia" w:eastAsiaTheme="minorEastAsia"/>
                <w:lang w:eastAsia="zh-CN"/>
              </w:rPr>
              <w:t>Y</w:t>
            </w:r>
            <w:r>
              <w:rPr>
                <w:rFonts w:eastAsiaTheme="minorEastAsia"/>
                <w:lang w:eastAsia="zh-CN"/>
              </w:rPr>
              <w:t>es</w:t>
            </w:r>
          </w:p>
        </w:tc>
        <w:tc>
          <w:tcPr>
            <w:tcW w:w="5584"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rFonts w:eastAsiaTheme="minorEastAsia"/>
                <w:lang w:eastAsia="zh-CN"/>
              </w:rPr>
            </w:pPr>
            <w:r>
              <w:rPr>
                <w:rFonts w:hint="eastAsia" w:eastAsiaTheme="minorEastAsia"/>
                <w:lang w:eastAsia="zh-CN"/>
              </w:rPr>
              <w:t>A</w:t>
            </w:r>
            <w:r>
              <w:rPr>
                <w:rFonts w:eastAsiaTheme="minorEastAsia"/>
                <w:lang w:eastAsia="zh-CN"/>
              </w:rPr>
              <w:t>gree with CATT changes.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379"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zh-CN"/>
              </w:rPr>
            </w:pPr>
            <w:r>
              <w:rPr>
                <w:lang w:eastAsia="zh-CN"/>
              </w:rPr>
              <w:t>Apple</w:t>
            </w:r>
          </w:p>
        </w:tc>
        <w:tc>
          <w:tcPr>
            <w:tcW w:w="1467"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zh-CN"/>
              </w:rPr>
            </w:pPr>
            <w:r>
              <w:rPr>
                <w:lang w:eastAsia="zh-CN"/>
              </w:rPr>
              <w:t>Yes</w:t>
            </w:r>
          </w:p>
        </w:tc>
        <w:tc>
          <w:tcPr>
            <w:tcW w:w="5584"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zh-CN"/>
              </w:rPr>
            </w:pPr>
            <w:r>
              <w:rPr>
                <w:lang w:eastAsia="zh-CN"/>
              </w:rPr>
              <w:t>Agree with CATT changes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379"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ko-KR"/>
              </w:rPr>
            </w:pPr>
            <w:r>
              <w:rPr>
                <w:rFonts w:hint="eastAsia"/>
                <w:lang w:eastAsia="ko-KR"/>
              </w:rPr>
              <w:t>Samsung</w:t>
            </w:r>
          </w:p>
        </w:tc>
        <w:tc>
          <w:tcPr>
            <w:tcW w:w="1467"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ko-KR"/>
              </w:rPr>
            </w:pPr>
            <w:r>
              <w:rPr>
                <w:rFonts w:hint="eastAsia"/>
                <w:lang w:eastAsia="ko-KR"/>
              </w:rPr>
              <w:t>Yes</w:t>
            </w:r>
          </w:p>
        </w:tc>
        <w:tc>
          <w:tcPr>
            <w:tcW w:w="5584"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ko-KR"/>
              </w:rPr>
            </w:pPr>
            <w:r>
              <w:rPr>
                <w:lang w:eastAsia="ko-KR"/>
              </w:rPr>
              <w:t>Also fine</w:t>
            </w:r>
            <w:r>
              <w:rPr>
                <w:rFonts w:hint="eastAsia"/>
                <w:lang w:eastAsia="ko-KR"/>
              </w:rPr>
              <w:t xml:space="preserve"> with CATT changes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379"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rFonts w:eastAsia="PMingLiU"/>
                <w:lang w:eastAsia="zh-TW"/>
              </w:rPr>
            </w:pPr>
            <w:r>
              <w:rPr>
                <w:rFonts w:hint="eastAsia" w:eastAsia="PMingLiU"/>
                <w:lang w:eastAsia="zh-TW"/>
              </w:rPr>
              <w:t>I</w:t>
            </w:r>
            <w:r>
              <w:rPr>
                <w:rFonts w:eastAsia="PMingLiU"/>
                <w:lang w:eastAsia="zh-TW"/>
              </w:rPr>
              <w:t>TRI</w:t>
            </w:r>
          </w:p>
        </w:tc>
        <w:tc>
          <w:tcPr>
            <w:tcW w:w="1467"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ko-KR"/>
              </w:rPr>
            </w:pPr>
          </w:p>
        </w:tc>
        <w:tc>
          <w:tcPr>
            <w:tcW w:w="5584"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ko-KR"/>
              </w:rPr>
            </w:pPr>
            <w:r>
              <w:rPr>
                <w:rFonts w:hint="eastAsia" w:eastAsiaTheme="minorEastAsia"/>
                <w:lang w:eastAsia="zh-CN"/>
              </w:rPr>
              <w:t>A</w:t>
            </w:r>
            <w:r>
              <w:rPr>
                <w:rFonts w:eastAsiaTheme="minorEastAsia"/>
                <w:lang w:eastAsia="zh-CN"/>
              </w:rPr>
              <w:t>gree with CATT changes.</w:t>
            </w:r>
          </w:p>
        </w:tc>
      </w:tr>
    </w:tbl>
    <w:p>
      <w:pPr>
        <w:spacing w:before="120" w:after="120"/>
        <w:rPr>
          <w:rFonts w:ascii="Arial" w:hAnsi="Arial" w:cs="Arial"/>
          <w:b/>
          <w:highlight w:val="yellow"/>
          <w:lang w:eastAsia="zh-CN"/>
        </w:rPr>
      </w:pPr>
      <w:r>
        <w:rPr>
          <w:rFonts w:ascii="Arial" w:hAnsi="Arial" w:cs="Arial"/>
          <w:b/>
          <w:highlight w:val="yellow"/>
          <w:lang w:eastAsia="zh-CN"/>
        </w:rPr>
        <w:t>Summary</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rPr>
          <w:rFonts w:eastAsiaTheme="minorEastAsia"/>
          <w:lang w:eastAsia="zh-CN"/>
        </w:rPr>
      </w:pPr>
    </w:p>
    <w:p>
      <w:pPr>
        <w:pStyle w:val="4"/>
        <w:rPr>
          <w:sz w:val="24"/>
        </w:rPr>
      </w:pPr>
      <w:r>
        <w:rPr>
          <w:rFonts w:hint="eastAsia" w:eastAsiaTheme="minorEastAsia"/>
          <w:sz w:val="24"/>
        </w:rPr>
        <w:t xml:space="preserve">3.2   </w:t>
      </w:r>
      <w:r>
        <w:rPr>
          <w:rFonts w:hint="eastAsia"/>
          <w:sz w:val="24"/>
        </w:rPr>
        <w:t>Other TS3</w:t>
      </w:r>
      <w:r>
        <w:rPr>
          <w:rFonts w:hint="eastAsia" w:eastAsiaTheme="minorEastAsia"/>
          <w:sz w:val="24"/>
        </w:rPr>
        <w:t>8</w:t>
      </w:r>
      <w:r>
        <w:rPr>
          <w:rFonts w:hint="eastAsia"/>
          <w:sz w:val="24"/>
        </w:rPr>
        <w:t>.306 corrections</w:t>
      </w:r>
    </w:p>
    <w:p>
      <w:pPr>
        <w:pStyle w:val="3"/>
        <w:spacing w:before="120" w:beforeLines="50"/>
        <w:rPr>
          <w:rFonts w:eastAsiaTheme="minorEastAsia"/>
          <w:lang w:eastAsia="zh-CN"/>
        </w:rPr>
      </w:pPr>
      <w:r>
        <w:rPr>
          <w:rFonts w:hint="eastAsia"/>
          <w:lang w:eastAsia="zh-CN"/>
        </w:rPr>
        <w:t>T</w:t>
      </w:r>
      <w:r>
        <w:rPr>
          <w:lang w:eastAsia="zh-CN"/>
        </w:rPr>
        <w:t xml:space="preserve">he following </w:t>
      </w:r>
      <w:r>
        <w:rPr>
          <w:rFonts w:hint="eastAsia" w:eastAsiaTheme="minorEastAsia"/>
          <w:lang w:eastAsia="zh-CN"/>
        </w:rPr>
        <w:t xml:space="preserve">4 </w:t>
      </w:r>
      <w:r>
        <w:rPr>
          <w:lang w:eastAsia="zh-CN"/>
        </w:rPr>
        <w:t>changes are made</w:t>
      </w:r>
      <w:r>
        <w:rPr>
          <w:rFonts w:hint="eastAsia" w:eastAsiaTheme="minorEastAsia"/>
          <w:lang w:eastAsia="zh-CN"/>
        </w:rPr>
        <w:t xml:space="preserve"> for TS38.306 correction as proposed in [3]</w:t>
      </w:r>
      <w:r>
        <w:rPr>
          <w:lang w:eastAsia="zh-CN"/>
        </w:rPr>
        <w: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4" w:type="dxa"/>
          </w:tcPr>
          <w:p>
            <w:pPr>
              <w:pStyle w:val="3"/>
              <w:spacing w:before="120" w:beforeLines="50"/>
              <w:rPr>
                <w:rFonts w:eastAsiaTheme="minorEastAsia"/>
                <w:shd w:val="pct10" w:color="auto" w:fill="FFFFFF"/>
                <w:lang w:eastAsia="zh-CN"/>
              </w:rPr>
            </w:pPr>
            <w:r>
              <w:rPr>
                <w:rFonts w:hint="eastAsia" w:eastAsiaTheme="minorEastAsia"/>
                <w:shd w:val="pct10" w:color="auto" w:fill="FFFFFF"/>
                <w:lang w:eastAsia="zh-CN"/>
              </w:rPr>
              <w:t xml:space="preserve">Change 1: </w:t>
            </w:r>
            <w:r>
              <w:rPr>
                <w:rFonts w:hint="eastAsia"/>
                <w:shd w:val="pct10" w:color="auto" w:fill="FFFFFF"/>
                <w:lang w:eastAsia="zh-CN"/>
              </w:rPr>
              <w:t>M</w:t>
            </w:r>
            <w:r>
              <w:rPr>
                <w:shd w:val="pct10" w:color="auto" w:fill="FFFFFF"/>
                <w:lang w:eastAsia="zh-CN"/>
              </w:rPr>
              <w:t>HI is added in Abbreviations, i.e. Mobility History Information</w:t>
            </w:r>
          </w:p>
          <w:p>
            <w:pPr>
              <w:pStyle w:val="4"/>
            </w:pPr>
            <w:bookmarkStart w:id="7" w:name="_Toc90724001"/>
            <w:r>
              <w:t>3.3</w:t>
            </w:r>
            <w:r>
              <w:tab/>
            </w:r>
            <w:r>
              <w:t>Abbreviations</w:t>
            </w:r>
            <w:bookmarkEnd w:id="7"/>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143"/>
              <w:rPr>
                <w:lang w:eastAsia="zh-CN"/>
              </w:rPr>
            </w:pPr>
            <w:ins w:id="6" w:author="Huawei_0415" w:date="2022-04-15T16:54:00Z">
              <w:r>
                <w:rPr/>
                <w:t>MHI</w:t>
              </w:r>
            </w:ins>
            <w:ins w:id="7" w:author="Huawei_0415" w:date="2022-04-15T16:54:00Z">
              <w:r>
                <w:rPr/>
                <w:tab/>
              </w:r>
            </w:ins>
            <w:ins w:id="8" w:author="Huawei_0415" w:date="2022-04-15T16:54:00Z">
              <w:r>
                <w:rPr/>
                <w:t>Mobility History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4" w:type="dxa"/>
          </w:tcPr>
          <w:p>
            <w:pPr>
              <w:pStyle w:val="3"/>
              <w:spacing w:before="120" w:beforeLines="50"/>
              <w:rPr>
                <w:rFonts w:eastAsiaTheme="minorEastAsia"/>
                <w:shd w:val="pct10" w:color="auto" w:fill="FFFFFF"/>
                <w:lang w:eastAsia="zh-CN"/>
              </w:rPr>
            </w:pPr>
            <w:r>
              <w:rPr>
                <w:rFonts w:hint="eastAsia" w:eastAsiaTheme="minorEastAsia"/>
                <w:shd w:val="pct10" w:color="auto" w:fill="FFFFFF"/>
                <w:lang w:eastAsia="zh-CN"/>
              </w:rPr>
              <w:t xml:space="preserve">Change 2: </w:t>
            </w:r>
            <w:r>
              <w:rPr>
                <w:shd w:val="pct10" w:color="auto" w:fill="FFFFFF"/>
                <w:lang w:eastAsia="zh-CN"/>
              </w:rPr>
              <w:t>Add some text to some SON/MDT UE capabilities in order to be more precise</w:t>
            </w:r>
          </w:p>
          <w:p>
            <w:pPr>
              <w:pStyle w:val="4"/>
            </w:pPr>
            <w:bookmarkStart w:id="8" w:name="_Toc46488704"/>
            <w:bookmarkStart w:id="9" w:name="_Toc52574212"/>
            <w:bookmarkStart w:id="10" w:name="_Toc52574126"/>
            <w:bookmarkStart w:id="11" w:name="_Toc90724066"/>
            <w:r>
              <w:t>4.2.17</w:t>
            </w:r>
            <w:r>
              <w:tab/>
            </w:r>
            <w:r>
              <w:t>SON parameters</w:t>
            </w:r>
            <w:bookmarkEnd w:id="8"/>
            <w:bookmarkEnd w:id="9"/>
            <w:bookmarkEnd w:id="10"/>
            <w:bookmarkEnd w:id="11"/>
          </w:p>
          <w:tbl>
            <w:tblPr>
              <w:tblStyle w:val="48"/>
              <w:tblW w:w="816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5912"/>
              <w:gridCol w:w="507"/>
              <w:gridCol w:w="479"/>
              <w:gridCol w:w="646"/>
              <w:gridCol w:w="61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94" w:hRule="atLeast"/>
                <w:tblHeader/>
              </w:trPr>
              <w:tc>
                <w:tcPr>
                  <w:tcW w:w="6001" w:type="dxa"/>
                </w:tcPr>
                <w:p>
                  <w:pPr>
                    <w:pStyle w:val="99"/>
                  </w:pPr>
                  <w:r>
                    <w:t>Definitions for parameters</w:t>
                  </w:r>
                </w:p>
              </w:tc>
              <w:tc>
                <w:tcPr>
                  <w:tcW w:w="480" w:type="dxa"/>
                </w:tcPr>
                <w:p>
                  <w:pPr>
                    <w:pStyle w:val="99"/>
                  </w:pPr>
                  <w:r>
                    <w:t>Per</w:t>
                  </w:r>
                </w:p>
              </w:tc>
              <w:tc>
                <w:tcPr>
                  <w:tcW w:w="480" w:type="dxa"/>
                </w:tcPr>
                <w:p>
                  <w:pPr>
                    <w:pStyle w:val="99"/>
                  </w:pPr>
                  <w:r>
                    <w:t>M</w:t>
                  </w:r>
                </w:p>
              </w:tc>
              <w:tc>
                <w:tcPr>
                  <w:tcW w:w="600" w:type="dxa"/>
                </w:tcPr>
                <w:p>
                  <w:pPr>
                    <w:pStyle w:val="99"/>
                  </w:pPr>
                  <w:r>
                    <w:t>FDD-TDD DIFF</w:t>
                  </w:r>
                </w:p>
              </w:tc>
              <w:tc>
                <w:tcPr>
                  <w:tcW w:w="599" w:type="dxa"/>
                </w:tcPr>
                <w:p>
                  <w:pPr>
                    <w:pStyle w:val="99"/>
                  </w:pPr>
                  <w:r>
                    <w:t>FR1-FR2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605" w:hRule="atLeast"/>
                <w:tblHeader/>
              </w:trPr>
              <w:tc>
                <w:tcPr>
                  <w:tcW w:w="6001" w:type="dxa"/>
                </w:tcPr>
                <w:p>
                  <w:pPr>
                    <w:pStyle w:val="112"/>
                    <w:rPr>
                      <w:b/>
                      <w:bCs/>
                      <w:i/>
                      <w:iCs/>
                    </w:rPr>
                  </w:pPr>
                  <w:r>
                    <w:rPr>
                      <w:rFonts w:hint="eastAsia"/>
                      <w:b/>
                      <w:bCs/>
                      <w:i/>
                      <w:iCs/>
                    </w:rPr>
                    <w:t>success-HO</w:t>
                  </w:r>
                  <w:r>
                    <w:rPr>
                      <w:b/>
                      <w:bCs/>
                      <w:i/>
                      <w:iCs/>
                    </w:rPr>
                    <w:t>-Report-r1</w:t>
                  </w:r>
                  <w:r>
                    <w:rPr>
                      <w:rFonts w:hint="eastAsia"/>
                      <w:b/>
                      <w:bCs/>
                      <w:i/>
                      <w:iCs/>
                    </w:rPr>
                    <w:t>7</w:t>
                  </w:r>
                </w:p>
                <w:p>
                  <w:pPr>
                    <w:pStyle w:val="112"/>
                    <w:rPr>
                      <w:b/>
                      <w:bCs/>
                      <w:i/>
                      <w:iCs/>
                    </w:rPr>
                  </w:pPr>
                  <w:r>
                    <w:rPr>
                      <w:bCs/>
                      <w:iCs/>
                    </w:rPr>
                    <w:t xml:space="preserve">Indicates whether the UE supports the storage </w:t>
                  </w:r>
                  <w:r>
                    <w:rPr>
                      <w:rFonts w:hint="eastAsia"/>
                      <w:bCs/>
                      <w:iCs/>
                    </w:rPr>
                    <w:t>and</w:t>
                  </w:r>
                  <w:r>
                    <w:rPr>
                      <w:bCs/>
                      <w:iCs/>
                    </w:rPr>
                    <w:t xml:space="preserve"> delivery of Successful Handover Report </w:t>
                  </w:r>
                  <w:ins w:id="9" w:author="Huawei_0415" w:date="2022-04-15T16:49:00Z">
                    <w:r>
                      <w:rPr>
                        <w:bCs/>
                        <w:iCs/>
                      </w:rPr>
                      <w:t xml:space="preserve">upon request from the </w:t>
                    </w:r>
                  </w:ins>
                  <w:ins w:id="10" w:author="Huawei_0415" w:date="2022-04-15T16:50:00Z">
                    <w:r>
                      <w:rPr>
                        <w:bCs/>
                        <w:iCs/>
                      </w:rPr>
                      <w:t>network as specified in TS 38.331 [9]</w:t>
                    </w:r>
                  </w:ins>
                  <w:r>
                    <w:rPr>
                      <w:bCs/>
                      <w:iCs/>
                    </w:rPr>
                    <w:t>.</w:t>
                  </w:r>
                </w:p>
              </w:tc>
              <w:tc>
                <w:tcPr>
                  <w:tcW w:w="480" w:type="dxa"/>
                </w:tcPr>
                <w:p>
                  <w:pPr>
                    <w:pStyle w:val="112"/>
                    <w:jc w:val="center"/>
                    <w:rPr>
                      <w:rFonts w:cs="Arial"/>
                      <w:szCs w:val="18"/>
                    </w:rPr>
                  </w:pPr>
                  <w:r>
                    <w:rPr>
                      <w:rFonts w:cs="Arial"/>
                      <w:szCs w:val="18"/>
                    </w:rPr>
                    <w:t>UE</w:t>
                  </w:r>
                </w:p>
              </w:tc>
              <w:tc>
                <w:tcPr>
                  <w:tcW w:w="480" w:type="dxa"/>
                </w:tcPr>
                <w:p>
                  <w:pPr>
                    <w:pStyle w:val="112"/>
                    <w:jc w:val="center"/>
                    <w:rPr>
                      <w:rFonts w:cs="Arial"/>
                      <w:szCs w:val="18"/>
                    </w:rPr>
                  </w:pPr>
                  <w:r>
                    <w:rPr>
                      <w:rFonts w:cs="Arial"/>
                      <w:szCs w:val="18"/>
                    </w:rPr>
                    <w:t>No</w:t>
                  </w:r>
                </w:p>
              </w:tc>
              <w:tc>
                <w:tcPr>
                  <w:tcW w:w="600" w:type="dxa"/>
                </w:tcPr>
                <w:p>
                  <w:pPr>
                    <w:pStyle w:val="112"/>
                    <w:jc w:val="center"/>
                    <w:rPr>
                      <w:rFonts w:cs="Arial"/>
                      <w:szCs w:val="18"/>
                    </w:rPr>
                  </w:pPr>
                  <w:r>
                    <w:rPr>
                      <w:rFonts w:cs="Arial"/>
                      <w:szCs w:val="18"/>
                    </w:rPr>
                    <w:t>No</w:t>
                  </w:r>
                </w:p>
              </w:tc>
              <w:tc>
                <w:tcPr>
                  <w:tcW w:w="599" w:type="dxa"/>
                </w:tcPr>
                <w:p>
                  <w:pPr>
                    <w:pStyle w:val="112"/>
                    <w:jc w:val="center"/>
                    <w:rPr>
                      <w:rFonts w:cs="Arial"/>
                      <w:szCs w:val="18"/>
                    </w:rPr>
                  </w:pPr>
                  <w:r>
                    <w:rPr>
                      <w:rFonts w:cs="Arial"/>
                      <w:szCs w:val="18"/>
                    </w:rPr>
                    <w:t>No</w:t>
                  </w:r>
                </w:p>
              </w:tc>
            </w:tr>
          </w:tbl>
          <w:p>
            <w:pPr>
              <w:pStyle w:val="4"/>
            </w:pPr>
            <w:bookmarkStart w:id="12" w:name="_Toc52574213"/>
            <w:bookmarkStart w:id="13" w:name="_Toc90724067"/>
            <w:bookmarkStart w:id="14" w:name="_Toc46488705"/>
            <w:bookmarkStart w:id="15" w:name="_Toc52574127"/>
            <w:r>
              <w:t>4.2.18</w:t>
            </w:r>
            <w:r>
              <w:tab/>
            </w:r>
            <w:r>
              <w:t>UE-based performance measurement parameters</w:t>
            </w:r>
            <w:bookmarkEnd w:id="12"/>
            <w:bookmarkEnd w:id="13"/>
            <w:bookmarkEnd w:id="14"/>
            <w:bookmarkEnd w:id="15"/>
          </w:p>
          <w:tbl>
            <w:tblPr>
              <w:tblStyle w:val="48"/>
              <w:tblW w:w="8148"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5901"/>
              <w:gridCol w:w="507"/>
              <w:gridCol w:w="478"/>
              <w:gridCol w:w="646"/>
              <w:gridCol w:w="61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627" w:hRule="atLeast"/>
                <w:tblHeader/>
              </w:trPr>
              <w:tc>
                <w:tcPr>
                  <w:tcW w:w="5909" w:type="dxa"/>
                </w:tcPr>
                <w:p>
                  <w:pPr>
                    <w:pStyle w:val="99"/>
                  </w:pPr>
                  <w:r>
                    <w:t>Definitions for parameters</w:t>
                  </w:r>
                </w:p>
              </w:tc>
              <w:tc>
                <w:tcPr>
                  <w:tcW w:w="505" w:type="dxa"/>
                </w:tcPr>
                <w:p>
                  <w:pPr>
                    <w:pStyle w:val="99"/>
                  </w:pPr>
                  <w:r>
                    <w:t>Per</w:t>
                  </w:r>
                </w:p>
              </w:tc>
              <w:tc>
                <w:tcPr>
                  <w:tcW w:w="478" w:type="dxa"/>
                </w:tcPr>
                <w:p>
                  <w:pPr>
                    <w:pStyle w:val="99"/>
                  </w:pPr>
                  <w:r>
                    <w:t>M</w:t>
                  </w:r>
                </w:p>
              </w:tc>
              <w:tc>
                <w:tcPr>
                  <w:tcW w:w="643" w:type="dxa"/>
                </w:tcPr>
                <w:p>
                  <w:pPr>
                    <w:pStyle w:val="99"/>
                  </w:pPr>
                  <w:r>
                    <w:t>FDD-TDD DIFF</w:t>
                  </w:r>
                </w:p>
              </w:tc>
              <w:tc>
                <w:tcPr>
                  <w:tcW w:w="613" w:type="dxa"/>
                </w:tcPr>
                <w:p>
                  <w:pPr>
                    <w:pStyle w:val="99"/>
                  </w:pPr>
                  <w:r>
                    <w:t>FR1-FR2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627" w:hRule="atLeast"/>
                <w:tblHeader/>
              </w:trPr>
              <w:tc>
                <w:tcPr>
                  <w:tcW w:w="5909" w:type="dxa"/>
                </w:tcPr>
                <w:p>
                  <w:pPr>
                    <w:pStyle w:val="112"/>
                    <w:rPr>
                      <w:b/>
                      <w:bCs/>
                      <w:i/>
                      <w:iCs/>
                    </w:rPr>
                  </w:pPr>
                  <w:r>
                    <w:rPr>
                      <w:rFonts w:hint="eastAsia"/>
                      <w:b/>
                      <w:bCs/>
                      <w:i/>
                      <w:iCs/>
                    </w:rPr>
                    <w:t>multipleCEF</w:t>
                  </w:r>
                  <w:r>
                    <w:rPr>
                      <w:b/>
                      <w:bCs/>
                      <w:i/>
                      <w:iCs/>
                    </w:rPr>
                    <w:t>-Report-r1</w:t>
                  </w:r>
                  <w:r>
                    <w:rPr>
                      <w:rFonts w:hint="eastAsia"/>
                      <w:b/>
                      <w:bCs/>
                      <w:i/>
                      <w:iCs/>
                    </w:rPr>
                    <w:t>7</w:t>
                  </w:r>
                </w:p>
                <w:p>
                  <w:pPr>
                    <w:pStyle w:val="112"/>
                    <w:rPr>
                      <w:b/>
                      <w:bCs/>
                      <w:i/>
                      <w:iCs/>
                    </w:rPr>
                  </w:pPr>
                  <w:r>
                    <w:rPr>
                      <w:bCs/>
                      <w:iCs/>
                    </w:rPr>
                    <w:t>Indicates whether the UE supports the storage and delivery of multiple CEF</w:t>
                  </w:r>
                  <w:ins w:id="11" w:author="Huawei_0415" w:date="2022-04-15T16:50:00Z">
                    <w:r>
                      <w:rPr>
                        <w:bCs/>
                        <w:iCs/>
                      </w:rPr>
                      <w:t xml:space="preserve"> reports</w:t>
                    </w:r>
                  </w:ins>
                  <w:r>
                    <w:rPr>
                      <w:bCs/>
                      <w:iCs/>
                    </w:rPr>
                    <w:t xml:space="preserve"> upon request from the network</w:t>
                  </w:r>
                  <w:ins w:id="12" w:author="Huawei_0415" w:date="2022-04-15T16:50:00Z">
                    <w:r>
                      <w:rPr>
                        <w:bCs/>
                        <w:iCs/>
                      </w:rPr>
                      <w:t xml:space="preserve"> as specified in TS 38.331 [9]</w:t>
                    </w:r>
                  </w:ins>
                  <w:r>
                    <w:rPr>
                      <w:bCs/>
                      <w:iCs/>
                    </w:rPr>
                    <w:t>.</w:t>
                  </w:r>
                </w:p>
              </w:tc>
              <w:tc>
                <w:tcPr>
                  <w:tcW w:w="505" w:type="dxa"/>
                </w:tcPr>
                <w:p>
                  <w:pPr>
                    <w:pStyle w:val="112"/>
                    <w:jc w:val="center"/>
                    <w:rPr>
                      <w:rFonts w:cs="Arial"/>
                      <w:szCs w:val="18"/>
                    </w:rPr>
                  </w:pPr>
                  <w:r>
                    <w:rPr>
                      <w:rFonts w:cs="Arial"/>
                      <w:szCs w:val="18"/>
                    </w:rPr>
                    <w:t>UE</w:t>
                  </w:r>
                </w:p>
              </w:tc>
              <w:tc>
                <w:tcPr>
                  <w:tcW w:w="478" w:type="dxa"/>
                </w:tcPr>
                <w:p>
                  <w:pPr>
                    <w:pStyle w:val="112"/>
                    <w:jc w:val="center"/>
                    <w:rPr>
                      <w:rFonts w:cs="Arial"/>
                      <w:szCs w:val="18"/>
                    </w:rPr>
                  </w:pPr>
                  <w:r>
                    <w:rPr>
                      <w:rFonts w:cs="Arial"/>
                      <w:szCs w:val="18"/>
                    </w:rPr>
                    <w:t>No</w:t>
                  </w:r>
                </w:p>
              </w:tc>
              <w:tc>
                <w:tcPr>
                  <w:tcW w:w="643" w:type="dxa"/>
                </w:tcPr>
                <w:p>
                  <w:pPr>
                    <w:pStyle w:val="112"/>
                    <w:jc w:val="center"/>
                    <w:rPr>
                      <w:rFonts w:cs="Arial"/>
                      <w:szCs w:val="18"/>
                    </w:rPr>
                  </w:pPr>
                  <w:r>
                    <w:rPr>
                      <w:rFonts w:cs="Arial"/>
                      <w:szCs w:val="18"/>
                    </w:rPr>
                    <w:t>No</w:t>
                  </w:r>
                </w:p>
              </w:tc>
              <w:tc>
                <w:tcPr>
                  <w:tcW w:w="613" w:type="dxa"/>
                </w:tcPr>
                <w:p>
                  <w:pPr>
                    <w:pStyle w:val="112"/>
                    <w:jc w:val="center"/>
                    <w:rPr>
                      <w:rFonts w:cs="Arial"/>
                      <w:szCs w:val="18"/>
                    </w:rPr>
                  </w:pPr>
                  <w:r>
                    <w:rPr>
                      <w:rFonts w:cs="Arial"/>
                      <w:szCs w:val="18"/>
                    </w:rPr>
                    <w:t>No</w:t>
                  </w:r>
                </w:p>
              </w:tc>
            </w:tr>
          </w:tbl>
          <w:p>
            <w:pPr>
              <w:pStyle w:val="3"/>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4" w:type="dxa"/>
          </w:tcPr>
          <w:p>
            <w:pPr>
              <w:pStyle w:val="3"/>
              <w:spacing w:before="120" w:beforeLines="50"/>
              <w:rPr>
                <w:rFonts w:eastAsiaTheme="minorEastAsia"/>
                <w:shd w:val="pct10" w:color="auto" w:fill="FFFFFF"/>
                <w:lang w:eastAsia="zh-CN"/>
              </w:rPr>
            </w:pPr>
            <w:r>
              <w:rPr>
                <w:rFonts w:hint="eastAsia" w:eastAsiaTheme="minorEastAsia"/>
                <w:shd w:val="pct10" w:color="auto" w:fill="FFFFFF"/>
                <w:lang w:eastAsia="zh-CN"/>
              </w:rPr>
              <w:t xml:space="preserve">Change 3: </w:t>
            </w:r>
            <w:r>
              <w:rPr>
                <w:rFonts w:hint="eastAsia"/>
                <w:shd w:val="pct10" w:color="auto" w:fill="FFFFFF"/>
                <w:lang w:eastAsia="zh-CN"/>
              </w:rPr>
              <w:t>T</w:t>
            </w:r>
            <w:r>
              <w:rPr>
                <w:shd w:val="pct10" w:color="auto" w:fill="FFFFFF"/>
                <w:lang w:eastAsia="zh-CN"/>
              </w:rPr>
              <w:t>he wording logged MDT is changed into logged measurements</w:t>
            </w:r>
          </w:p>
          <w:p>
            <w:pPr>
              <w:pStyle w:val="4"/>
            </w:pPr>
            <w:r>
              <w:t>4.2.18</w:t>
            </w:r>
            <w:r>
              <w:tab/>
            </w:r>
            <w:r>
              <w:t>UE-based performance measurement parameters</w:t>
            </w:r>
          </w:p>
          <w:tbl>
            <w:tblPr>
              <w:tblStyle w:val="48"/>
              <w:tblW w:w="81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5892"/>
              <w:gridCol w:w="507"/>
              <w:gridCol w:w="478"/>
              <w:gridCol w:w="646"/>
              <w:gridCol w:w="61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673" w:hRule="atLeast"/>
                <w:tblHeader/>
              </w:trPr>
              <w:tc>
                <w:tcPr>
                  <w:tcW w:w="5984" w:type="dxa"/>
                </w:tcPr>
                <w:p>
                  <w:pPr>
                    <w:pStyle w:val="99"/>
                  </w:pPr>
                  <w:r>
                    <w:t>Definitions for parameters</w:t>
                  </w:r>
                </w:p>
              </w:tc>
              <w:tc>
                <w:tcPr>
                  <w:tcW w:w="479" w:type="dxa"/>
                </w:tcPr>
                <w:p>
                  <w:pPr>
                    <w:pStyle w:val="99"/>
                  </w:pPr>
                  <w:r>
                    <w:t>Per</w:t>
                  </w:r>
                </w:p>
              </w:tc>
              <w:tc>
                <w:tcPr>
                  <w:tcW w:w="479" w:type="dxa"/>
                </w:tcPr>
                <w:p>
                  <w:pPr>
                    <w:pStyle w:val="99"/>
                  </w:pPr>
                  <w:r>
                    <w:t>M</w:t>
                  </w:r>
                </w:p>
              </w:tc>
              <w:tc>
                <w:tcPr>
                  <w:tcW w:w="599" w:type="dxa"/>
                </w:tcPr>
                <w:p>
                  <w:pPr>
                    <w:pStyle w:val="99"/>
                  </w:pPr>
                  <w:r>
                    <w:t>FDD-TDD DIFF</w:t>
                  </w:r>
                </w:p>
              </w:tc>
              <w:tc>
                <w:tcPr>
                  <w:tcW w:w="598" w:type="dxa"/>
                </w:tcPr>
                <w:p>
                  <w:pPr>
                    <w:pStyle w:val="99"/>
                  </w:pPr>
                  <w:r>
                    <w:t>FR1-FR2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686" w:hRule="atLeast"/>
                <w:tblHeader/>
              </w:trPr>
              <w:tc>
                <w:tcPr>
                  <w:tcW w:w="5984" w:type="dxa"/>
                </w:tcPr>
                <w:p>
                  <w:pPr>
                    <w:pStyle w:val="112"/>
                    <w:rPr>
                      <w:b/>
                      <w:bCs/>
                      <w:i/>
                      <w:iCs/>
                    </w:rPr>
                  </w:pPr>
                  <w:r>
                    <w:rPr>
                      <w:b/>
                      <w:bCs/>
                      <w:i/>
                      <w:iCs/>
                    </w:rPr>
                    <w:t>sigBasedLogMDT-OverrideProtect-r17</w:t>
                  </w:r>
                </w:p>
                <w:p>
                  <w:pPr>
                    <w:pStyle w:val="112"/>
                    <w:rPr>
                      <w:b/>
                      <w:bCs/>
                      <w:i/>
                      <w:iCs/>
                    </w:rPr>
                  </w:pPr>
                  <w:r>
                    <w:rPr>
                      <w:bCs/>
                      <w:iCs/>
                    </w:rPr>
                    <w:t xml:space="preserve">Indicates whether the UE supports the override protection of the signalling based </w:t>
                  </w:r>
                  <w:ins w:id="13" w:author="Huawei_0415" w:date="2022-04-15T16:51:00Z">
                    <w:r>
                      <w:rPr>
                        <w:bCs/>
                        <w:iCs/>
                      </w:rPr>
                      <w:t>logged measurements</w:t>
                    </w:r>
                  </w:ins>
                  <w:del w:id="14" w:author="Huawei_0415" w:date="2022-04-15T16:51:00Z">
                    <w:r>
                      <w:rPr>
                        <w:bCs/>
                        <w:iCs/>
                      </w:rPr>
                      <w:delText>Logged MDT</w:delText>
                    </w:r>
                  </w:del>
                  <w:r>
                    <w:rPr>
                      <w:bCs/>
                      <w:iCs/>
                    </w:rPr>
                    <w:t xml:space="preserve"> configured in </w:t>
                  </w:r>
                  <w:r>
                    <w:rPr>
                      <w:rFonts w:hint="eastAsia"/>
                      <w:bCs/>
                      <w:iCs/>
                      <w:lang w:eastAsia="zh-CN"/>
                    </w:rPr>
                    <w:t>NR.</w:t>
                  </w:r>
                </w:p>
              </w:tc>
              <w:tc>
                <w:tcPr>
                  <w:tcW w:w="479" w:type="dxa"/>
                </w:tcPr>
                <w:p>
                  <w:pPr>
                    <w:pStyle w:val="112"/>
                    <w:jc w:val="center"/>
                    <w:rPr>
                      <w:rFonts w:cs="Arial"/>
                      <w:szCs w:val="18"/>
                    </w:rPr>
                  </w:pPr>
                  <w:r>
                    <w:rPr>
                      <w:rFonts w:cs="Arial"/>
                      <w:szCs w:val="18"/>
                    </w:rPr>
                    <w:t>UE</w:t>
                  </w:r>
                </w:p>
              </w:tc>
              <w:tc>
                <w:tcPr>
                  <w:tcW w:w="479" w:type="dxa"/>
                </w:tcPr>
                <w:p>
                  <w:pPr>
                    <w:pStyle w:val="112"/>
                    <w:jc w:val="center"/>
                    <w:rPr>
                      <w:rFonts w:cs="Arial"/>
                      <w:szCs w:val="18"/>
                    </w:rPr>
                  </w:pPr>
                  <w:r>
                    <w:rPr>
                      <w:rFonts w:cs="Arial"/>
                      <w:szCs w:val="18"/>
                    </w:rPr>
                    <w:t>No</w:t>
                  </w:r>
                </w:p>
              </w:tc>
              <w:tc>
                <w:tcPr>
                  <w:tcW w:w="599" w:type="dxa"/>
                </w:tcPr>
                <w:p>
                  <w:pPr>
                    <w:pStyle w:val="112"/>
                    <w:jc w:val="center"/>
                    <w:rPr>
                      <w:rFonts w:cs="Arial"/>
                      <w:szCs w:val="18"/>
                    </w:rPr>
                  </w:pPr>
                  <w:r>
                    <w:rPr>
                      <w:rFonts w:cs="Arial"/>
                      <w:szCs w:val="18"/>
                    </w:rPr>
                    <w:t>No</w:t>
                  </w:r>
                </w:p>
              </w:tc>
              <w:tc>
                <w:tcPr>
                  <w:tcW w:w="598" w:type="dxa"/>
                </w:tcPr>
                <w:p>
                  <w:pPr>
                    <w:pStyle w:val="112"/>
                    <w:jc w:val="center"/>
                    <w:rPr>
                      <w:rFonts w:cs="Arial"/>
                      <w:szCs w:val="18"/>
                    </w:rPr>
                  </w:pPr>
                  <w:r>
                    <w:rPr>
                      <w:rFonts w:cs="Arial"/>
                      <w:szCs w:val="18"/>
                    </w:rPr>
                    <w:t>No</w:t>
                  </w:r>
                </w:p>
              </w:tc>
            </w:tr>
          </w:tbl>
          <w:p>
            <w:pPr>
              <w:pStyle w:val="4"/>
            </w:pPr>
            <w:bookmarkStart w:id="16" w:name="_Toc37238672"/>
            <w:bookmarkStart w:id="17" w:name="_Toc29382279"/>
            <w:bookmarkStart w:id="18" w:name="_Toc90724077"/>
            <w:bookmarkStart w:id="19" w:name="_Toc12750914"/>
            <w:bookmarkStart w:id="20" w:name="_Toc52574221"/>
            <w:bookmarkStart w:id="21" w:name="_Toc37238786"/>
            <w:bookmarkStart w:id="22" w:name="_Toc37093396"/>
            <w:bookmarkStart w:id="23" w:name="_Toc52574135"/>
            <w:bookmarkStart w:id="24" w:name="_Toc46488711"/>
            <w:r>
              <w:t>6</w:t>
            </w:r>
            <w:r>
              <w:tab/>
            </w:r>
            <w:r>
              <w:t>Conditionally mandatory features without UE radio access capability parameters</w:t>
            </w:r>
            <w:bookmarkEnd w:id="16"/>
            <w:bookmarkEnd w:id="17"/>
            <w:bookmarkEnd w:id="18"/>
            <w:bookmarkEnd w:id="19"/>
            <w:bookmarkEnd w:id="20"/>
            <w:bookmarkEnd w:id="21"/>
            <w:bookmarkEnd w:id="22"/>
            <w:bookmarkEnd w:id="23"/>
            <w:bookmarkEnd w:id="24"/>
          </w:p>
          <w:tbl>
            <w:tblPr>
              <w:tblStyle w:val="48"/>
              <w:tblW w:w="8233"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2449"/>
              <w:gridCol w:w="578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216" w:hRule="atLeast"/>
                <w:tblHeader/>
              </w:trPr>
              <w:tc>
                <w:tcPr>
                  <w:tcW w:w="2449" w:type="dxa"/>
                </w:tcPr>
                <w:p>
                  <w:pPr>
                    <w:pStyle w:val="99"/>
                    <w:rPr>
                      <w:rFonts w:cs="Arial"/>
                      <w:szCs w:val="18"/>
                    </w:rPr>
                  </w:pPr>
                  <w:r>
                    <w:rPr>
                      <w:rFonts w:cs="Arial"/>
                      <w:szCs w:val="18"/>
                    </w:rPr>
                    <w:t>Features</w:t>
                  </w:r>
                </w:p>
              </w:tc>
              <w:tc>
                <w:tcPr>
                  <w:tcW w:w="5784" w:type="dxa"/>
                </w:tcPr>
                <w:p>
                  <w:pPr>
                    <w:pStyle w:val="99"/>
                    <w:rPr>
                      <w:rFonts w:cs="Arial"/>
                      <w:szCs w:val="18"/>
                    </w:rPr>
                  </w:pPr>
                  <w:r>
                    <w:rPr>
                      <w:rFonts w:cs="Arial"/>
                      <w:szCs w:val="18"/>
                    </w:rPr>
                    <w:t>Condition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66" w:hRule="atLeast"/>
              </w:trPr>
              <w:tc>
                <w:tcPr>
                  <w:tcW w:w="2449" w:type="dxa"/>
                  <w:tcBorders>
                    <w:top w:val="single" w:color="808080" w:sz="4" w:space="0"/>
                    <w:left w:val="single" w:color="808080" w:sz="4" w:space="0"/>
                    <w:bottom w:val="single" w:color="808080" w:sz="4" w:space="0"/>
                    <w:right w:val="single" w:color="808080" w:sz="4" w:space="0"/>
                  </w:tcBorders>
                </w:tcPr>
                <w:p>
                  <w:pPr>
                    <w:pStyle w:val="112"/>
                    <w:rPr>
                      <w:rFonts w:cs="Arial"/>
                      <w:bCs/>
                      <w:iCs/>
                      <w:szCs w:val="18"/>
                    </w:rPr>
                  </w:pPr>
                  <w:r>
                    <w:rPr>
                      <w:rFonts w:cs="Arial"/>
                      <w:bCs/>
                      <w:iCs/>
                      <w:szCs w:val="18"/>
                    </w:rPr>
                    <w:t xml:space="preserve">Logged </w:t>
                  </w:r>
                  <w:del w:id="15" w:author="Huawei_0415" w:date="2022-04-15T16:52:00Z">
                    <w:r>
                      <w:rPr>
                        <w:rFonts w:cs="Arial"/>
                        <w:bCs/>
                        <w:iCs/>
                        <w:szCs w:val="18"/>
                      </w:rPr>
                      <w:delText xml:space="preserve">MDT </w:delText>
                    </w:r>
                  </w:del>
                  <w:r>
                    <w:rPr>
                      <w:rFonts w:hint="eastAsia" w:cs="Arial"/>
                      <w:bCs/>
                      <w:iCs/>
                      <w:szCs w:val="18"/>
                    </w:rPr>
                    <w:t>m</w:t>
                  </w:r>
                  <w:r>
                    <w:rPr>
                      <w:rFonts w:cs="Arial"/>
                      <w:bCs/>
                      <w:iCs/>
                      <w:szCs w:val="18"/>
                    </w:rPr>
                    <w:t>easurement</w:t>
                  </w:r>
                  <w:ins w:id="16" w:author="Huawei_0415" w:date="2022-04-15T16:52:00Z">
                    <w:r>
                      <w:rPr>
                        <w:rFonts w:cs="Arial"/>
                        <w:bCs/>
                        <w:iCs/>
                        <w:szCs w:val="18"/>
                      </w:rPr>
                      <w:t>s</w:t>
                    </w:r>
                  </w:ins>
                  <w:r>
                    <w:rPr>
                      <w:rFonts w:cs="Arial"/>
                      <w:bCs/>
                      <w:iCs/>
                      <w:szCs w:val="18"/>
                    </w:rPr>
                    <w:t xml:space="preserve"> </w:t>
                  </w:r>
                  <w:r>
                    <w:rPr>
                      <w:rFonts w:hint="eastAsia" w:cs="Arial"/>
                      <w:bCs/>
                      <w:iCs/>
                      <w:szCs w:val="18"/>
                    </w:rPr>
                    <w:t>s</w:t>
                  </w:r>
                  <w:r>
                    <w:rPr>
                      <w:rFonts w:cs="Arial"/>
                      <w:bCs/>
                      <w:iCs/>
                      <w:szCs w:val="18"/>
                    </w:rPr>
                    <w:t xml:space="preserve">uspension due to IDC </w:t>
                  </w:r>
                  <w:r>
                    <w:rPr>
                      <w:rFonts w:hint="eastAsia" w:cs="Arial"/>
                      <w:bCs/>
                      <w:iCs/>
                      <w:szCs w:val="18"/>
                    </w:rPr>
                    <w:t>i</w:t>
                  </w:r>
                  <w:r>
                    <w:rPr>
                      <w:rFonts w:cs="Arial"/>
                      <w:bCs/>
                      <w:iCs/>
                      <w:szCs w:val="18"/>
                    </w:rPr>
                    <w:t>nterference</w:t>
                  </w:r>
                </w:p>
              </w:tc>
              <w:tc>
                <w:tcPr>
                  <w:tcW w:w="5784" w:type="dxa"/>
                  <w:tcBorders>
                    <w:top w:val="single" w:color="808080" w:sz="4" w:space="0"/>
                    <w:left w:val="single" w:color="808080" w:sz="4" w:space="0"/>
                    <w:bottom w:val="single" w:color="808080" w:sz="4" w:space="0"/>
                    <w:right w:val="single" w:color="808080" w:sz="4" w:space="0"/>
                  </w:tcBorders>
                </w:tcPr>
                <w:p>
                  <w:pPr>
                    <w:pStyle w:val="112"/>
                    <w:rPr>
                      <w:lang w:eastAsia="ko-KR"/>
                    </w:rPr>
                  </w:pPr>
                  <w:r>
                    <w:rPr>
                      <w:lang w:eastAsia="ko-KR"/>
                    </w:rPr>
                    <w:t xml:space="preserve">It is mandatory to support Logged </w:t>
                  </w:r>
                  <w:del w:id="17" w:author="Huawei_0415" w:date="2022-04-15T16:52:00Z">
                    <w:r>
                      <w:rPr>
                        <w:lang w:eastAsia="ko-KR"/>
                      </w:rPr>
                      <w:delText xml:space="preserve">MDT </w:delText>
                    </w:r>
                  </w:del>
                  <w:r>
                    <w:rPr>
                      <w:lang w:eastAsia="ko-KR"/>
                    </w:rPr>
                    <w:t>measurement</w:t>
                  </w:r>
                  <w:ins w:id="18" w:author="Huawei_0415" w:date="2022-04-15T16:52:00Z">
                    <w:r>
                      <w:rPr>
                        <w:lang w:eastAsia="ko-KR"/>
                      </w:rPr>
                      <w:t>s</w:t>
                    </w:r>
                  </w:ins>
                  <w:r>
                    <w:rPr>
                      <w:lang w:eastAsia="ko-KR"/>
                    </w:rPr>
                    <w:t xml:space="preserve"> suspension due to IDC interference for UEs which are supporting logged measurements in RRC_IDLE</w:t>
                  </w:r>
                  <w:r>
                    <w:rPr>
                      <w:rFonts w:hint="eastAsia"/>
                      <w:lang w:eastAsia="ko-KR"/>
                    </w:rPr>
                    <w:t xml:space="preserve"> and </w:t>
                  </w:r>
                  <w:r>
                    <w:rPr>
                      <w:lang w:eastAsia="ko-KR"/>
                    </w:rPr>
                    <w:t>RRC_I</w:t>
                  </w:r>
                  <w:r>
                    <w:rPr>
                      <w:rFonts w:hint="eastAsia"/>
                      <w:lang w:eastAsia="ko-KR"/>
                    </w:rPr>
                    <w:t>NACTIVE</w:t>
                  </w:r>
                  <w:r>
                    <w:rPr>
                      <w:lang w:eastAsia="ko-KR"/>
                    </w:rPr>
                    <w:t xml:space="preserve"> upon request from the network and in-device coexistence indication as specified in TS 3</w:t>
                  </w:r>
                  <w:r>
                    <w:rPr>
                      <w:rFonts w:hint="eastAsia"/>
                      <w:lang w:eastAsia="ko-KR"/>
                    </w:rPr>
                    <w:t>8</w:t>
                  </w:r>
                  <w:r>
                    <w:rPr>
                      <w:lang w:eastAsia="ko-KR"/>
                    </w:rPr>
                    <w:t>.331 [</w:t>
                  </w:r>
                  <w:r>
                    <w:rPr>
                      <w:rFonts w:hint="eastAsia"/>
                      <w:lang w:eastAsia="ko-KR"/>
                    </w:rPr>
                    <w:t>9</w:t>
                  </w:r>
                  <w:r>
                    <w:rPr>
                      <w:lang w:eastAsia="ko-KR"/>
                    </w:rPr>
                    <w:t>].</w:t>
                  </w:r>
                </w:p>
              </w:tc>
            </w:tr>
          </w:tbl>
          <w:p>
            <w:pPr>
              <w:pStyle w:val="3"/>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4" w:type="dxa"/>
          </w:tcPr>
          <w:p>
            <w:pPr>
              <w:pStyle w:val="3"/>
              <w:spacing w:before="120" w:beforeLines="50"/>
              <w:rPr>
                <w:rFonts w:eastAsiaTheme="minorEastAsia"/>
                <w:shd w:val="pct10" w:color="auto" w:fill="FFFFFF"/>
                <w:lang w:eastAsia="zh-CN"/>
              </w:rPr>
            </w:pPr>
            <w:r>
              <w:rPr>
                <w:rFonts w:hint="eastAsia" w:eastAsiaTheme="minorEastAsia"/>
                <w:shd w:val="pct10" w:color="auto" w:fill="FFFFFF"/>
                <w:lang w:eastAsia="zh-CN"/>
              </w:rPr>
              <w:t xml:space="preserve">Change 4: </w:t>
            </w:r>
            <w:r>
              <w:rPr>
                <w:shd w:val="pct10" w:color="auto" w:fill="FFFFFF"/>
                <w:lang w:eastAsia="zh-CN"/>
              </w:rPr>
              <w:t>For SpCell ID indication, SpCell ID is changed to spCellID-r17 in order to be more precise</w:t>
            </w:r>
          </w:p>
          <w:p>
            <w:pPr>
              <w:pStyle w:val="4"/>
            </w:pPr>
            <w:bookmarkStart w:id="25" w:name="_Toc90724076"/>
            <w:r>
              <w:t>5.7</w:t>
            </w:r>
            <w:r>
              <w:tab/>
            </w:r>
            <w:r>
              <w:t>MDT and SON features</w:t>
            </w:r>
            <w:bookmarkEnd w:id="25"/>
          </w:p>
          <w:tbl>
            <w:tblPr>
              <w:tblStyle w:val="48"/>
              <w:tblW w:w="8372"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837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18" w:hRule="atLeast"/>
                <w:tblHeader/>
              </w:trPr>
              <w:tc>
                <w:tcPr>
                  <w:tcW w:w="8372" w:type="dxa"/>
                </w:tcPr>
                <w:p>
                  <w:pPr>
                    <w:pStyle w:val="99"/>
                  </w:pPr>
                  <w: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656" w:hRule="atLeast"/>
                <w:tblHeader/>
              </w:trPr>
              <w:tc>
                <w:tcPr>
                  <w:tcW w:w="8372" w:type="dxa"/>
                  <w:tcBorders>
                    <w:top w:val="single" w:color="808080" w:sz="4" w:space="0"/>
                    <w:left w:val="single" w:color="808080" w:sz="4" w:space="0"/>
                    <w:bottom w:val="single" w:color="808080" w:sz="4" w:space="0"/>
                    <w:right w:val="single" w:color="808080" w:sz="4" w:space="0"/>
                  </w:tcBorders>
                </w:tcPr>
                <w:p>
                  <w:pPr>
                    <w:pStyle w:val="112"/>
                    <w:rPr>
                      <w:b/>
                      <w:bCs/>
                    </w:rPr>
                  </w:pPr>
                  <w:r>
                    <w:rPr>
                      <w:b/>
                      <w:bCs/>
                    </w:rPr>
                    <w:t>S</w:t>
                  </w:r>
                  <w:r>
                    <w:rPr>
                      <w:rFonts w:hint="eastAsia"/>
                      <w:b/>
                      <w:bCs/>
                    </w:rPr>
                    <w:t>p</w:t>
                  </w:r>
                  <w:r>
                    <w:rPr>
                      <w:b/>
                      <w:bCs/>
                    </w:rPr>
                    <w:t>Cell ID indication</w:t>
                  </w:r>
                </w:p>
                <w:p>
                  <w:pPr>
                    <w:pStyle w:val="112"/>
                  </w:pPr>
                  <w:r>
                    <w:t xml:space="preserve">It is optional for UE to support the delivery of the </w:t>
                  </w:r>
                  <w:ins w:id="19" w:author="Huawei_0415" w:date="2022-04-15T16:55:00Z">
                    <w:r>
                      <w:rPr/>
                      <w:t>spCellID-r17</w:t>
                    </w:r>
                  </w:ins>
                  <w:del w:id="20" w:author="Huawei_0415" w:date="2022-04-15T16:55:00Z">
                    <w:r>
                      <w:rPr/>
                      <w:delText>SpCell ID</w:delText>
                    </w:r>
                  </w:del>
                  <w:r>
                    <w:t xml:space="preserve"> in the RA-Report, if the RA procedure is performed in a SCell of the MCG/SCG.</w:t>
                  </w:r>
                </w:p>
              </w:tc>
            </w:tr>
          </w:tbl>
          <w:p>
            <w:pPr>
              <w:pStyle w:val="3"/>
              <w:spacing w:before="120" w:beforeLines="50"/>
              <w:rPr>
                <w:rFonts w:eastAsiaTheme="minorEastAsia"/>
                <w:lang w:eastAsia="zh-CN"/>
              </w:rPr>
            </w:pPr>
          </w:p>
        </w:tc>
      </w:tr>
    </w:tbl>
    <w:p>
      <w:pPr>
        <w:pStyle w:val="3"/>
        <w:spacing w:before="120" w:beforeLines="50"/>
        <w:rPr>
          <w:rFonts w:eastAsiaTheme="minorEastAsia"/>
          <w:lang w:eastAsia="zh-CN"/>
        </w:rPr>
      </w:pPr>
      <w:r>
        <w:rPr>
          <w:rFonts w:hint="eastAsia" w:eastAsiaTheme="minorEastAsia"/>
          <w:lang w:eastAsia="zh-CN"/>
        </w:rPr>
        <w:t>Companies are welcome to provide your comment on the 4 changes above.</w:t>
      </w:r>
    </w:p>
    <w:p>
      <w:pPr>
        <w:spacing w:before="120" w:after="120"/>
        <w:jc w:val="both"/>
        <w:rPr>
          <w:rFonts w:eastAsiaTheme="minorEastAsia"/>
          <w:b/>
          <w:bCs/>
          <w:szCs w:val="21"/>
          <w:lang w:eastAsia="zh-CN"/>
        </w:rPr>
      </w:pPr>
      <w:r>
        <w:rPr>
          <w:b/>
          <w:bCs/>
        </w:rPr>
        <w:t>Question</w:t>
      </w:r>
      <w:r>
        <w:rPr>
          <w:b/>
        </w:rPr>
        <w:t xml:space="preserve"> </w:t>
      </w:r>
      <w:r>
        <w:rPr>
          <w:rFonts w:hint="eastAsia" w:eastAsiaTheme="minorEastAsia"/>
          <w:b/>
          <w:lang w:eastAsia="zh-CN"/>
        </w:rPr>
        <w:t>3</w:t>
      </w:r>
      <w:r>
        <w:rPr>
          <w:b/>
        </w:rPr>
        <w:t xml:space="preserve">: </w:t>
      </w:r>
      <w:r>
        <w:rPr>
          <w:b/>
          <w:bCs/>
          <w:szCs w:val="21"/>
        </w:rPr>
        <w:t xml:space="preserve">Do companies agree with </w:t>
      </w:r>
      <w:r>
        <w:rPr>
          <w:rFonts w:hint="eastAsia" w:eastAsiaTheme="minorEastAsia"/>
          <w:b/>
          <w:bCs/>
          <w:szCs w:val="21"/>
          <w:lang w:eastAsia="zh-CN"/>
        </w:rPr>
        <w:t>all the 4 changes? If not, please provide the disagreed change number and your comments in the table below.</w:t>
      </w:r>
    </w:p>
    <w:tbl>
      <w:tblPr>
        <w:tblStyle w:val="48"/>
        <w:tblW w:w="84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379"/>
        <w:gridCol w:w="1467"/>
        <w:gridCol w:w="55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379"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pStyle w:val="99"/>
              <w:spacing w:before="20" w:after="20"/>
              <w:ind w:left="57" w:right="57"/>
              <w:jc w:val="left"/>
              <w:rPr>
                <w:sz w:val="20"/>
              </w:rPr>
            </w:pPr>
            <w:r>
              <w:rPr>
                <w:sz w:val="20"/>
              </w:rPr>
              <w:t>Company</w:t>
            </w:r>
          </w:p>
        </w:tc>
        <w:tc>
          <w:tcPr>
            <w:tcW w:w="146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pStyle w:val="99"/>
              <w:spacing w:before="20" w:after="20"/>
              <w:ind w:left="57" w:right="57"/>
              <w:jc w:val="left"/>
              <w:rPr>
                <w:sz w:val="20"/>
              </w:rPr>
            </w:pPr>
            <w:r>
              <w:rPr>
                <w:rFonts w:cs="Arial"/>
                <w:bCs/>
                <w:sz w:val="20"/>
                <w:lang w:val="en-US" w:eastAsia="zh-CN"/>
              </w:rPr>
              <w:t>Yes/No</w:t>
            </w:r>
          </w:p>
        </w:tc>
        <w:tc>
          <w:tcPr>
            <w:tcW w:w="558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pStyle w:val="99"/>
              <w:spacing w:before="20" w:after="20"/>
              <w:ind w:left="57" w:right="57"/>
              <w:jc w:val="left"/>
              <w:rPr>
                <w:sz w:val="20"/>
              </w:rPr>
            </w:pPr>
            <w:r>
              <w:rPr>
                <w:rFonts w:cs="Arial"/>
                <w:bCs/>
                <w:sz w:val="20"/>
              </w:rPr>
              <w:t>Comments</w:t>
            </w:r>
            <w:r>
              <w:rPr>
                <w:rFonts w:cs="Arial"/>
                <w:bCs/>
                <w:sz w:val="20"/>
                <w:lang w:eastAsia="zh-CN"/>
              </w:rPr>
              <w:t xml:space="preserve">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379"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rFonts w:eastAsiaTheme="minorEastAsia"/>
                <w:lang w:eastAsia="zh-CN"/>
              </w:rPr>
            </w:pPr>
            <w:r>
              <w:rPr>
                <w:rFonts w:hint="eastAsia" w:eastAsiaTheme="minorEastAsia"/>
                <w:lang w:eastAsia="zh-CN"/>
              </w:rPr>
              <w:t>CATT</w:t>
            </w:r>
          </w:p>
        </w:tc>
        <w:tc>
          <w:tcPr>
            <w:tcW w:w="1467"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rFonts w:eastAsiaTheme="minorEastAsia"/>
                <w:lang w:eastAsia="zh-CN"/>
              </w:rPr>
            </w:pPr>
            <w:r>
              <w:rPr>
                <w:rFonts w:hint="eastAsia" w:eastAsiaTheme="minorEastAsia"/>
                <w:lang w:eastAsia="zh-CN"/>
              </w:rPr>
              <w:t>Yes for all</w:t>
            </w:r>
          </w:p>
        </w:tc>
        <w:tc>
          <w:tcPr>
            <w:tcW w:w="5584"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rFonts w:eastAsiaTheme="minorEastAsia"/>
                <w:lang w:eastAsia="zh-CN"/>
              </w:rPr>
            </w:pPr>
            <w:r>
              <w:rPr>
                <w:rFonts w:eastAsiaTheme="minorEastAsia"/>
                <w:lang w:eastAsia="zh-CN"/>
              </w:rPr>
              <w:t>F</w:t>
            </w:r>
            <w:r>
              <w:rPr>
                <w:rFonts w:hint="eastAsia" w:eastAsiaTheme="minorEastAsia"/>
                <w:lang w:eastAsia="zh-CN"/>
              </w:rPr>
              <w:t>or change 4, the spCellID-r17 should be italic.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379"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zh-CN"/>
              </w:rPr>
            </w:pPr>
            <w:r>
              <w:rPr>
                <w:lang w:eastAsia="zh-CN"/>
              </w:rPr>
              <w:t>Qualcomm</w:t>
            </w:r>
          </w:p>
        </w:tc>
        <w:tc>
          <w:tcPr>
            <w:tcW w:w="1467"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zh-CN"/>
              </w:rPr>
            </w:pPr>
            <w:r>
              <w:rPr>
                <w:lang w:eastAsia="zh-CN"/>
              </w:rPr>
              <w:t>Yes to all</w:t>
            </w:r>
          </w:p>
        </w:tc>
        <w:tc>
          <w:tcPr>
            <w:tcW w:w="5584"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379"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ko-KR"/>
              </w:rPr>
            </w:pPr>
            <w:r>
              <w:rPr>
                <w:rFonts w:hint="eastAsia" w:eastAsia="宋体" w:cs="Arial"/>
                <w:lang w:val="de-DE" w:eastAsia="zh-CN"/>
              </w:rPr>
              <w:t>H</w:t>
            </w:r>
            <w:r>
              <w:rPr>
                <w:rFonts w:eastAsia="宋体" w:cs="Arial"/>
                <w:lang w:val="de-DE" w:eastAsia="zh-CN"/>
              </w:rPr>
              <w:t>uawei, HiSilicon</w:t>
            </w:r>
          </w:p>
        </w:tc>
        <w:tc>
          <w:tcPr>
            <w:tcW w:w="1467"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rFonts w:eastAsiaTheme="minorEastAsia"/>
                <w:lang w:eastAsia="zh-CN"/>
              </w:rPr>
            </w:pPr>
            <w:r>
              <w:rPr>
                <w:rFonts w:hint="eastAsia" w:eastAsiaTheme="minorEastAsia"/>
                <w:lang w:eastAsia="zh-CN"/>
              </w:rPr>
              <w:t>Y</w:t>
            </w:r>
            <w:r>
              <w:rPr>
                <w:rFonts w:eastAsiaTheme="minorEastAsia"/>
                <w:lang w:eastAsia="zh-CN"/>
              </w:rPr>
              <w:t>es to all</w:t>
            </w:r>
          </w:p>
        </w:tc>
        <w:tc>
          <w:tcPr>
            <w:tcW w:w="5584"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rFonts w:eastAsiaTheme="minorEastAsia"/>
                <w:lang w:eastAsia="zh-CN"/>
              </w:rPr>
            </w:pPr>
            <w:r>
              <w:rPr>
                <w:rFonts w:hint="eastAsia" w:eastAsiaTheme="minorEastAsia"/>
                <w:lang w:eastAsia="zh-CN"/>
              </w:rPr>
              <w:t>P</w:t>
            </w:r>
            <w:r>
              <w:rPr>
                <w:rFonts w:eastAsiaTheme="minorEastAsia"/>
                <w:lang w:eastAsia="zh-CN"/>
              </w:rPr>
              <w:t>roponent.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379"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zh-CN"/>
              </w:rPr>
            </w:pPr>
            <w:r>
              <w:rPr>
                <w:lang w:eastAsia="zh-CN"/>
              </w:rPr>
              <w:t>Apple</w:t>
            </w:r>
          </w:p>
        </w:tc>
        <w:tc>
          <w:tcPr>
            <w:tcW w:w="1467"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zh-CN"/>
              </w:rPr>
            </w:pPr>
            <w:r>
              <w:rPr>
                <w:lang w:eastAsia="zh-CN"/>
              </w:rPr>
              <w:t>Yes to all</w:t>
            </w:r>
          </w:p>
        </w:tc>
        <w:tc>
          <w:tcPr>
            <w:tcW w:w="5584"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379" w:type="dxa"/>
            <w:tcBorders>
              <w:top w:val="single" w:color="auto" w:sz="4" w:space="0"/>
              <w:left w:val="single" w:color="auto" w:sz="4" w:space="0"/>
              <w:bottom w:val="single" w:color="auto" w:sz="4" w:space="0"/>
              <w:right w:val="single" w:color="auto" w:sz="4" w:space="0"/>
            </w:tcBorders>
          </w:tcPr>
          <w:p>
            <w:pPr>
              <w:pStyle w:val="100"/>
              <w:spacing w:before="20" w:after="20"/>
              <w:ind w:right="57"/>
              <w:jc w:val="left"/>
              <w:rPr>
                <w:lang w:eastAsia="ko-KR"/>
              </w:rPr>
            </w:pPr>
            <w:r>
              <w:rPr>
                <w:lang w:eastAsia="ko-KR"/>
              </w:rPr>
              <w:t>Samsung</w:t>
            </w:r>
          </w:p>
        </w:tc>
        <w:tc>
          <w:tcPr>
            <w:tcW w:w="1467"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ko-KR"/>
              </w:rPr>
            </w:pPr>
            <w:r>
              <w:rPr>
                <w:rFonts w:hint="eastAsia"/>
                <w:lang w:eastAsia="ko-KR"/>
              </w:rPr>
              <w:t>Yes</w:t>
            </w:r>
          </w:p>
        </w:tc>
        <w:tc>
          <w:tcPr>
            <w:tcW w:w="5584"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379"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rFonts w:hint="eastAsia" w:eastAsia="PMingLiU"/>
                <w:lang w:eastAsia="zh-TW"/>
              </w:rPr>
            </w:pPr>
            <w:r>
              <w:rPr>
                <w:rFonts w:hint="eastAsia" w:eastAsia="PMingLiU"/>
                <w:lang w:eastAsia="zh-TW"/>
              </w:rPr>
              <w:t>I</w:t>
            </w:r>
            <w:r>
              <w:rPr>
                <w:rFonts w:eastAsia="PMingLiU"/>
                <w:lang w:eastAsia="zh-TW"/>
              </w:rPr>
              <w:t>TRI</w:t>
            </w:r>
          </w:p>
        </w:tc>
        <w:tc>
          <w:tcPr>
            <w:tcW w:w="1467"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ko-KR"/>
              </w:rPr>
            </w:pPr>
            <w:r>
              <w:rPr>
                <w:lang w:eastAsia="zh-CN"/>
              </w:rPr>
              <w:t>Yes to all</w:t>
            </w:r>
          </w:p>
        </w:tc>
        <w:tc>
          <w:tcPr>
            <w:tcW w:w="5584"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379"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rFonts w:hint="default" w:eastAsia="宋体"/>
                <w:lang w:val="en-US" w:eastAsia="zh-CN"/>
              </w:rPr>
            </w:pPr>
            <w:r>
              <w:rPr>
                <w:rFonts w:hint="eastAsia" w:eastAsia="宋体"/>
                <w:lang w:val="en-US" w:eastAsia="zh-CN"/>
              </w:rPr>
              <w:t>ZTE</w:t>
            </w:r>
          </w:p>
        </w:tc>
        <w:tc>
          <w:tcPr>
            <w:tcW w:w="1467"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rFonts w:hint="default"/>
                <w:lang w:val="en-US" w:eastAsia="zh-CN"/>
              </w:rPr>
            </w:pPr>
            <w:r>
              <w:rPr>
                <w:rFonts w:hint="eastAsia"/>
                <w:lang w:val="en-US" w:eastAsia="zh-CN"/>
              </w:rPr>
              <w:t>Yes</w:t>
            </w:r>
            <w:bookmarkStart w:id="26" w:name="_GoBack"/>
            <w:bookmarkEnd w:id="26"/>
          </w:p>
        </w:tc>
        <w:tc>
          <w:tcPr>
            <w:tcW w:w="5584" w:type="dxa"/>
            <w:tcBorders>
              <w:top w:val="single" w:color="auto" w:sz="4" w:space="0"/>
              <w:left w:val="single" w:color="auto" w:sz="4" w:space="0"/>
              <w:bottom w:val="single" w:color="auto" w:sz="4" w:space="0"/>
              <w:right w:val="single" w:color="auto" w:sz="4" w:space="0"/>
            </w:tcBorders>
          </w:tcPr>
          <w:p>
            <w:pPr>
              <w:pStyle w:val="100"/>
              <w:spacing w:before="20" w:after="20"/>
              <w:ind w:left="57" w:right="57"/>
              <w:jc w:val="left"/>
              <w:rPr>
                <w:lang w:eastAsia="ko-KR"/>
              </w:rPr>
            </w:pPr>
          </w:p>
        </w:tc>
      </w:tr>
    </w:tbl>
    <w:p>
      <w:pPr>
        <w:spacing w:before="120" w:after="120"/>
        <w:rPr>
          <w:rFonts w:ascii="Arial" w:hAnsi="Arial" w:cs="Arial"/>
          <w:b/>
          <w:highlight w:val="yellow"/>
          <w:lang w:eastAsia="zh-CN"/>
        </w:rPr>
      </w:pPr>
      <w:r>
        <w:rPr>
          <w:rFonts w:ascii="Arial" w:hAnsi="Arial" w:cs="Arial"/>
          <w:b/>
          <w:highlight w:val="yellow"/>
          <w:lang w:eastAsia="zh-CN"/>
        </w:rPr>
        <w:t>Summary</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rPr>
          <w:rFonts w:eastAsiaTheme="minorEastAsia"/>
          <w:lang w:eastAsia="zh-CN"/>
        </w:rPr>
      </w:pPr>
    </w:p>
    <w:p>
      <w:pPr>
        <w:pStyle w:val="2"/>
        <w:jc w:val="both"/>
      </w:pPr>
      <w:r>
        <w:t>Conclusion</w:t>
      </w:r>
    </w:p>
    <w:p>
      <w:pPr>
        <w:spacing w:before="120" w:after="120"/>
        <w:rPr>
          <w:rFonts w:ascii="Arial" w:hAnsi="Arial" w:cs="Arial"/>
          <w:lang w:eastAsia="zh-CN"/>
        </w:rPr>
      </w:pPr>
      <w:r>
        <w:rPr>
          <w:rFonts w:ascii="Arial" w:hAnsi="Arial" w:cs="Arial"/>
          <w:highlight w:val="yellow"/>
          <w:lang w:eastAsia="zh-CN"/>
        </w:rPr>
        <w:t>To be updated</w:t>
      </w:r>
    </w:p>
    <w:p>
      <w:pPr>
        <w:pStyle w:val="2"/>
        <w:jc w:val="both"/>
      </w:pPr>
      <w:r>
        <w:rPr>
          <w:rFonts w:hint="eastAsia"/>
        </w:rPr>
        <w:t>Reference</w:t>
      </w:r>
    </w:p>
    <w:p>
      <w:pPr>
        <w:pStyle w:val="3"/>
        <w:numPr>
          <w:ilvl w:val="0"/>
          <w:numId w:val="10"/>
        </w:numPr>
        <w:jc w:val="left"/>
        <w:rPr>
          <w:rFonts w:eastAsiaTheme="minorEastAsia"/>
          <w:lang w:val="en-GB" w:eastAsia="zh-CN"/>
        </w:rPr>
      </w:pPr>
      <w:r>
        <w:rPr>
          <w:rFonts w:eastAsiaTheme="minorEastAsia"/>
          <w:lang w:val="en-GB" w:eastAsia="zh-CN"/>
        </w:rPr>
        <w:t>R2-2204944</w:t>
      </w:r>
      <w:r>
        <w:rPr>
          <w:rFonts w:eastAsiaTheme="minorEastAsia"/>
          <w:lang w:val="en-GB" w:eastAsia="zh-CN"/>
        </w:rPr>
        <w:tab/>
      </w:r>
      <w:r>
        <w:rPr>
          <w:rFonts w:eastAsiaTheme="minorEastAsia"/>
          <w:lang w:val="en-GB" w:eastAsia="zh-CN"/>
        </w:rPr>
        <w:t>[C329] Add MDT related UE Capabilities of EMR</w:t>
      </w:r>
      <w:r>
        <w:rPr>
          <w:rFonts w:eastAsiaTheme="minorEastAsia"/>
          <w:lang w:val="en-GB" w:eastAsia="zh-CN"/>
        </w:rPr>
        <w:tab/>
      </w:r>
      <w:r>
        <w:rPr>
          <w:rFonts w:eastAsiaTheme="minorEastAsia"/>
          <w:lang w:val="en-GB" w:eastAsia="zh-CN"/>
        </w:rPr>
        <w:t>CATT</w:t>
      </w:r>
      <w:r>
        <w:rPr>
          <w:rFonts w:eastAsiaTheme="minorEastAsia"/>
          <w:lang w:val="en-GB" w:eastAsia="zh-CN"/>
        </w:rPr>
        <w:tab/>
      </w:r>
      <w:r>
        <w:rPr>
          <w:rFonts w:eastAsiaTheme="minorEastAsia"/>
          <w:lang w:val="en-GB" w:eastAsia="zh-CN"/>
        </w:rPr>
        <w:t>draftCR</w:t>
      </w:r>
      <w:r>
        <w:rPr>
          <w:rFonts w:eastAsiaTheme="minorEastAsia"/>
          <w:lang w:val="en-GB" w:eastAsia="zh-CN"/>
        </w:rPr>
        <w:tab/>
      </w:r>
      <w:r>
        <w:rPr>
          <w:rFonts w:eastAsiaTheme="minorEastAsia"/>
          <w:lang w:val="en-GB" w:eastAsia="zh-CN"/>
        </w:rPr>
        <w:t>Rel-17</w:t>
      </w:r>
      <w:r>
        <w:rPr>
          <w:rFonts w:eastAsiaTheme="minorEastAsia"/>
          <w:lang w:val="en-GB" w:eastAsia="zh-CN"/>
        </w:rPr>
        <w:tab/>
      </w:r>
      <w:r>
        <w:rPr>
          <w:rFonts w:eastAsiaTheme="minorEastAsia"/>
          <w:lang w:val="en-GB" w:eastAsia="zh-CN"/>
        </w:rPr>
        <w:t>38.331</w:t>
      </w:r>
    </w:p>
    <w:p>
      <w:pPr>
        <w:pStyle w:val="3"/>
        <w:numPr>
          <w:ilvl w:val="0"/>
          <w:numId w:val="10"/>
        </w:numPr>
        <w:jc w:val="left"/>
        <w:rPr>
          <w:rFonts w:eastAsiaTheme="minorEastAsia"/>
          <w:lang w:val="en-GB" w:eastAsia="zh-CN"/>
        </w:rPr>
      </w:pPr>
      <w:r>
        <w:t>R2-2204945</w:t>
      </w:r>
      <w:r>
        <w:tab/>
      </w:r>
      <w:r>
        <w:t>Add MDT related UE Capabilities of EMR</w:t>
      </w:r>
      <w:r>
        <w:tab/>
      </w:r>
      <w:r>
        <w:t>CATT</w:t>
      </w:r>
      <w:r>
        <w:tab/>
      </w:r>
      <w:r>
        <w:t>draftCR</w:t>
      </w:r>
      <w:r>
        <w:tab/>
      </w:r>
      <w:r>
        <w:t>Rel-17</w:t>
      </w:r>
      <w:r>
        <w:tab/>
      </w:r>
      <w:r>
        <w:t>38.306</w:t>
      </w:r>
    </w:p>
    <w:p>
      <w:pPr>
        <w:pStyle w:val="3"/>
        <w:numPr>
          <w:ilvl w:val="0"/>
          <w:numId w:val="10"/>
        </w:numPr>
        <w:jc w:val="left"/>
        <w:rPr>
          <w:rFonts w:eastAsiaTheme="minorEastAsia"/>
          <w:lang w:val="en-GB" w:eastAsia="zh-CN"/>
        </w:rPr>
      </w:pPr>
      <w:r>
        <w:t>R2-2205073</w:t>
      </w:r>
      <w:r>
        <w:tab/>
      </w:r>
      <w:r>
        <w:t>Corrections on TS 38.306 for UE capabilities for SON and MDT</w:t>
      </w:r>
      <w:r>
        <w:tab/>
      </w:r>
      <w:r>
        <w:t>Huawei, HiSilicon</w:t>
      </w:r>
      <w:r>
        <w:tab/>
      </w:r>
      <w:r>
        <w:t>CR</w:t>
      </w:r>
      <w:r>
        <w:tab/>
      </w:r>
      <w:r>
        <w:t>Rel-17</w:t>
      </w:r>
      <w:r>
        <w:tab/>
      </w:r>
      <w:r>
        <w:t>38.306</w:t>
      </w:r>
    </w:p>
    <w:p>
      <w:pPr>
        <w:pStyle w:val="3"/>
        <w:numPr>
          <w:ilvl w:val="0"/>
          <w:numId w:val="10"/>
        </w:numPr>
        <w:jc w:val="left"/>
        <w:rPr>
          <w:rFonts w:eastAsiaTheme="minorEastAsia"/>
          <w:lang w:val="en-GB" w:eastAsia="zh-CN"/>
        </w:rPr>
      </w:pPr>
      <w:r>
        <w:t>R2-2205705</w:t>
      </w:r>
      <w:r>
        <w:tab/>
      </w:r>
      <w:r>
        <w:t xml:space="preserve">SON MDT UE Capabilities </w:t>
      </w:r>
      <w:r>
        <w:tab/>
      </w:r>
      <w:r>
        <w:t>Qualcomm Incorporated</w:t>
      </w:r>
      <w:r>
        <w:tab/>
      </w:r>
      <w:r>
        <w:t>discussion</w:t>
      </w:r>
    </w:p>
    <w:sectPr>
      <w:pgSz w:w="11906" w:h="16838"/>
      <w:pgMar w:top="1440" w:right="1701" w:bottom="1440" w:left="1797" w:header="709" w:footer="709" w:gutter="0"/>
      <w:pgBorders w:offsetFrom="page">
        <w:top w:val="single" w:color="FFFFFF" w:themeColor="background1" w:sz="4" w:space="24"/>
        <w:left w:val="single" w:color="FFFFFF" w:themeColor="background1" w:sz="4" w:space="24"/>
        <w:bottom w:val="single" w:color="FFFFFF" w:themeColor="background1" w:sz="4" w:space="24"/>
        <w:right w:val="single" w:color="FFFFFF" w:themeColor="background1" w:sz="4" w:space="24"/>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Cambria">
    <w:panose1 w:val="02040503050406030204"/>
    <w:charset w:val="00"/>
    <w:family w:val="roman"/>
    <w:pitch w:val="default"/>
    <w:sig w:usb0="E00006FF" w:usb1="420024FF" w:usb2="02000000" w:usb3="00000000" w:csb0="2000019F" w:csb1="00000000"/>
  </w:font>
  <w:font w:name="MS LineDraw">
    <w:altName w:val="Courier New"/>
    <w:panose1 w:val="00000000000000000000"/>
    <w:charset w:val="02"/>
    <w:family w:val="modern"/>
    <w:pitch w:val="default"/>
    <w:sig w:usb0="00000000" w:usb1="00000000" w:usb2="00000000" w:usb3="00000000" w:csb0="00000000" w:csb1="00000000"/>
  </w:font>
  <w:font w:name="Monotype Sorts">
    <w:altName w:val="Segoe UI Symbol"/>
    <w:panose1 w:val="00000000000000000000"/>
    <w:charset w:val="02"/>
    <w:family w:val="auto"/>
    <w:pitch w:val="default"/>
    <w:sig w:usb0="00000000" w:usb1="00000000" w:usb2="00000000" w:usb3="00000000" w:csb0="80000000" w:csb1="00000000"/>
  </w:font>
  <w:font w:name="Consolas">
    <w:panose1 w:val="020B0609020204030204"/>
    <w:charset w:val="00"/>
    <w:family w:val="modern"/>
    <w:pitch w:val="default"/>
    <w:sig w:usb0="E00006FF" w:usb1="0000FCFF" w:usb2="00000001" w:usb3="00000000" w:csb0="6000019F" w:csb1="DFD70000"/>
  </w:font>
  <w:font w:name="Arial Unicode MS">
    <w:panose1 w:val="020B0604020202020204"/>
    <w:charset w:val="88"/>
    <w:family w:val="swiss"/>
    <w:pitch w:val="default"/>
    <w:sig w:usb0="FFFFFFFF" w:usb1="E9FFFFFF"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8024E"/>
    <w:multiLevelType w:val="multilevel"/>
    <w:tmpl w:val="3928024E"/>
    <w:lvl w:ilvl="0" w:tentative="0">
      <w:start w:val="1"/>
      <w:numFmt w:val="decimal"/>
      <w:pStyle w:val="27"/>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3AA46647"/>
    <w:multiLevelType w:val="multilevel"/>
    <w:tmpl w:val="3AA46647"/>
    <w:lvl w:ilvl="0" w:tentative="0">
      <w:start w:val="1"/>
      <w:numFmt w:val="decimal"/>
      <w:pStyle w:val="9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4A55685D"/>
    <w:multiLevelType w:val="singleLevel"/>
    <w:tmpl w:val="4A55685D"/>
    <w:lvl w:ilvl="0" w:tentative="0">
      <w:start w:val="1"/>
      <w:numFmt w:val="bullet"/>
      <w:pStyle w:val="92"/>
      <w:lvlText w:val=""/>
      <w:lvlJc w:val="left"/>
      <w:pPr>
        <w:tabs>
          <w:tab w:val="left" w:pos="992"/>
        </w:tabs>
        <w:ind w:left="992" w:hanging="425"/>
      </w:pPr>
      <w:rPr>
        <w:rFonts w:hint="default" w:ascii="Symbol" w:hAnsi="Symbol"/>
      </w:rPr>
    </w:lvl>
  </w:abstractNum>
  <w:abstractNum w:abstractNumId="3">
    <w:nsid w:val="521F44A7"/>
    <w:multiLevelType w:val="multilevel"/>
    <w:tmpl w:val="521F44A7"/>
    <w:lvl w:ilvl="0" w:tentative="0">
      <w:start w:val="1"/>
      <w:numFmt w:val="bullet"/>
      <w:pStyle w:val="17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66F2AD1"/>
    <w:multiLevelType w:val="multilevel"/>
    <w:tmpl w:val="566F2AD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1912B1"/>
    <w:multiLevelType w:val="multilevel"/>
    <w:tmpl w:val="5F1912B1"/>
    <w:lvl w:ilvl="0" w:tentative="0">
      <w:start w:val="1"/>
      <w:numFmt w:val="bullet"/>
      <w:pStyle w:val="106"/>
      <w:lvlText w:val=""/>
      <w:lvlJc w:val="left"/>
      <w:pPr>
        <w:ind w:left="720" w:hanging="360"/>
      </w:pPr>
      <w:rPr>
        <w:rFonts w:hint="default" w:ascii="Symbol" w:hAnsi="Symbol"/>
      </w:rPr>
    </w:lvl>
    <w:lvl w:ilvl="1" w:tentative="0">
      <w:start w:val="1"/>
      <w:numFmt w:val="bullet"/>
      <w:pStyle w:val="108"/>
      <w:lvlText w:val="o"/>
      <w:lvlJc w:val="left"/>
      <w:pPr>
        <w:ind w:left="1440" w:hanging="360"/>
      </w:pPr>
      <w:rPr>
        <w:rFonts w:hint="default" w:ascii="Courier New" w:hAnsi="Courier New" w:cs="Courier New"/>
      </w:rPr>
    </w:lvl>
    <w:lvl w:ilvl="2" w:tentative="0">
      <w:start w:val="1"/>
      <w:numFmt w:val="bullet"/>
      <w:pStyle w:val="110"/>
      <w:lvlText w:val=""/>
      <w:lvlJc w:val="left"/>
      <w:pPr>
        <w:ind w:left="2160" w:hanging="360"/>
      </w:pPr>
      <w:rPr>
        <w:rFonts w:hint="default" w:ascii="Wingdings" w:hAnsi="Wingdings"/>
      </w:rPr>
    </w:lvl>
    <w:lvl w:ilvl="3" w:tentative="0">
      <w:start w:val="1"/>
      <w:numFmt w:val="bullet"/>
      <w:pStyle w:val="11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0146DC0"/>
    <w:multiLevelType w:val="multilevel"/>
    <w:tmpl w:val="70146DC0"/>
    <w:lvl w:ilvl="0" w:tentative="0">
      <w:start w:val="1"/>
      <w:numFmt w:val="bullet"/>
      <w:pStyle w:val="129"/>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36D6E2A"/>
    <w:multiLevelType w:val="multilevel"/>
    <w:tmpl w:val="736D6E2A"/>
    <w:lvl w:ilvl="0" w:tentative="0">
      <w:start w:val="1"/>
      <w:numFmt w:val="decimal"/>
      <w:pStyle w:val="31"/>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7BED18BC"/>
    <w:multiLevelType w:val="multilevel"/>
    <w:tmpl w:val="7BED18BC"/>
    <w:lvl w:ilvl="0" w:tentative="0">
      <w:start w:val="1"/>
      <w:numFmt w:val="decimal"/>
      <w:pStyle w:val="2"/>
      <w:lvlText w:val="%1."/>
      <w:lvlJc w:val="left"/>
      <w:pPr>
        <w:tabs>
          <w:tab w:val="left" w:pos="567"/>
        </w:tabs>
        <w:ind w:left="567" w:hanging="567"/>
      </w:pPr>
      <w:rPr>
        <w:rFonts w:hint="default"/>
        <w:u w:val="none"/>
      </w:rPr>
    </w:lvl>
    <w:lvl w:ilvl="1" w:tentative="0">
      <w:start w:val="1"/>
      <w:numFmt w:val="decimal"/>
      <w:lvlText w:val="%1.%2."/>
      <w:lvlJc w:val="left"/>
      <w:pPr>
        <w:tabs>
          <w:tab w:val="left" w:pos="-1374"/>
        </w:tabs>
        <w:ind w:left="-1374" w:hanging="567"/>
      </w:pPr>
      <w:rPr>
        <w:rFonts w:hint="default"/>
        <w:i w:val="0"/>
        <w:u w:val="none"/>
      </w:rPr>
    </w:lvl>
    <w:lvl w:ilvl="2" w:tentative="0">
      <w:start w:val="1"/>
      <w:numFmt w:val="decimal"/>
      <w:pStyle w:val="5"/>
      <w:lvlText w:val="%1.%2.%3"/>
      <w:lvlJc w:val="left"/>
      <w:pPr>
        <w:tabs>
          <w:tab w:val="left" w:pos="-1247"/>
        </w:tabs>
        <w:ind w:left="1304" w:hanging="1304"/>
      </w:pPr>
      <w:rPr>
        <w:rFonts w:hint="default"/>
        <w:sz w:val="20"/>
        <w:szCs w:val="20"/>
        <w:u w:val="none"/>
      </w:rPr>
    </w:lvl>
    <w:lvl w:ilvl="3" w:tentative="0">
      <w:start w:val="1"/>
      <w:numFmt w:val="decimal"/>
      <w:lvlText w:val="%1.%2.%3.%4"/>
      <w:lvlJc w:val="left"/>
      <w:pPr>
        <w:tabs>
          <w:tab w:val="left" w:pos="-6068"/>
        </w:tabs>
        <w:ind w:left="-3517" w:hanging="1304"/>
      </w:pPr>
      <w:rPr>
        <w:rFonts w:hint="default"/>
        <w:u w:val="none"/>
      </w:rPr>
    </w:lvl>
    <w:lvl w:ilvl="4" w:tentative="0">
      <w:start w:val="1"/>
      <w:numFmt w:val="decimal"/>
      <w:lvlText w:val="%1.%2.%3.%4.%5"/>
      <w:lvlJc w:val="left"/>
      <w:pPr>
        <w:tabs>
          <w:tab w:val="left" w:pos="-6068"/>
        </w:tabs>
        <w:ind w:left="-6068" w:firstLine="0"/>
      </w:pPr>
      <w:rPr>
        <w:rFonts w:hint="default"/>
      </w:rPr>
    </w:lvl>
    <w:lvl w:ilvl="5" w:tentative="0">
      <w:start w:val="1"/>
      <w:numFmt w:val="decimal"/>
      <w:lvlText w:val="%1.%2.%3.%4.%5.%6"/>
      <w:lvlJc w:val="left"/>
      <w:pPr>
        <w:tabs>
          <w:tab w:val="left" w:pos="-6068"/>
        </w:tabs>
        <w:ind w:left="-6068" w:firstLine="0"/>
      </w:pPr>
      <w:rPr>
        <w:rFonts w:hint="default"/>
      </w:rPr>
    </w:lvl>
    <w:lvl w:ilvl="6" w:tentative="0">
      <w:start w:val="1"/>
      <w:numFmt w:val="decimal"/>
      <w:lvlText w:val="%1.%2.%3.%4.%5.%6.%7"/>
      <w:lvlJc w:val="left"/>
      <w:pPr>
        <w:tabs>
          <w:tab w:val="left" w:pos="-6068"/>
        </w:tabs>
        <w:ind w:left="-6068" w:firstLine="0"/>
      </w:pPr>
      <w:rPr>
        <w:rFonts w:hint="default"/>
      </w:rPr>
    </w:lvl>
    <w:lvl w:ilvl="7" w:tentative="0">
      <w:start w:val="1"/>
      <w:numFmt w:val="decimal"/>
      <w:lvlText w:val="%1.%2.%3.%4.%5.%6.%7.%8"/>
      <w:lvlJc w:val="left"/>
      <w:pPr>
        <w:tabs>
          <w:tab w:val="left" w:pos="-6068"/>
        </w:tabs>
        <w:ind w:left="-6068" w:firstLine="0"/>
      </w:pPr>
      <w:rPr>
        <w:rFonts w:hint="default"/>
      </w:rPr>
    </w:lvl>
    <w:lvl w:ilvl="8" w:tentative="0">
      <w:start w:val="1"/>
      <w:numFmt w:val="decimal"/>
      <w:lvlText w:val="%1.%2.%3.%4.%5.%6.%7.%8.%9"/>
      <w:lvlJc w:val="left"/>
      <w:pPr>
        <w:tabs>
          <w:tab w:val="left" w:pos="-6068"/>
        </w:tabs>
        <w:ind w:left="-6068" w:firstLine="0"/>
      </w:pPr>
      <w:rPr>
        <w:rFonts w:hint="default"/>
      </w:rPr>
    </w:lvl>
  </w:abstractNum>
  <w:abstractNum w:abstractNumId="9">
    <w:nsid w:val="7F547DFD"/>
    <w:multiLevelType w:val="singleLevel"/>
    <w:tmpl w:val="7F547DFD"/>
    <w:lvl w:ilvl="0" w:tentative="0">
      <w:start w:val="1"/>
      <w:numFmt w:val="bullet"/>
      <w:pStyle w:val="98"/>
      <w:lvlText w:val=""/>
      <w:lvlJc w:val="left"/>
      <w:pPr>
        <w:tabs>
          <w:tab w:val="left" w:pos="1418"/>
        </w:tabs>
        <w:ind w:left="1418" w:hanging="426"/>
      </w:pPr>
      <w:rPr>
        <w:rFonts w:hint="default" w:ascii="Wingdings" w:hAnsi="Wingdings"/>
      </w:rPr>
    </w:lvl>
  </w:abstractNum>
  <w:num w:numId="1">
    <w:abstractNumId w:val="8"/>
  </w:num>
  <w:num w:numId="2">
    <w:abstractNumId w:val="0"/>
  </w:num>
  <w:num w:numId="3">
    <w:abstractNumId w:val="7"/>
  </w:num>
  <w:num w:numId="4">
    <w:abstractNumId w:val="2"/>
  </w:num>
  <w:num w:numId="5">
    <w:abstractNumId w:val="1"/>
  </w:num>
  <w:num w:numId="6">
    <w:abstractNumId w:val="9"/>
  </w:num>
  <w:num w:numId="7">
    <w:abstractNumId w:val="5"/>
  </w:num>
  <w:num w:numId="8">
    <w:abstractNumId w:val="6"/>
  </w:num>
  <w:num w:numId="9">
    <w:abstractNumId w:val="3"/>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Huawei_0415">
    <w15:presenceInfo w15:providerId="None" w15:userId="Huawei_0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isplayHorizont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M7MwNzQxNjM3NjdT0lEKTi0uzszPAykwrAUAU6cXoSwAAAA="/>
  </w:docVars>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472"/>
    <w:rsid w:val="00017718"/>
    <w:rsid w:val="00020773"/>
    <w:rsid w:val="0002102E"/>
    <w:rsid w:val="0002139B"/>
    <w:rsid w:val="0002195F"/>
    <w:rsid w:val="00021D3D"/>
    <w:rsid w:val="00021F35"/>
    <w:rsid w:val="00022738"/>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12"/>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CB9"/>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FA8"/>
    <w:rsid w:val="00054139"/>
    <w:rsid w:val="0005461C"/>
    <w:rsid w:val="0005475A"/>
    <w:rsid w:val="00054E0F"/>
    <w:rsid w:val="00054FB6"/>
    <w:rsid w:val="00055E49"/>
    <w:rsid w:val="0005638E"/>
    <w:rsid w:val="000566E1"/>
    <w:rsid w:val="000575A9"/>
    <w:rsid w:val="00057B7E"/>
    <w:rsid w:val="00060A1B"/>
    <w:rsid w:val="00060DF6"/>
    <w:rsid w:val="0006264B"/>
    <w:rsid w:val="00062919"/>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982"/>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195"/>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57"/>
    <w:rsid w:val="00093279"/>
    <w:rsid w:val="00093708"/>
    <w:rsid w:val="0009377A"/>
    <w:rsid w:val="00093E43"/>
    <w:rsid w:val="00093E9F"/>
    <w:rsid w:val="00095375"/>
    <w:rsid w:val="00095FCD"/>
    <w:rsid w:val="00096BC9"/>
    <w:rsid w:val="00096CF4"/>
    <w:rsid w:val="00097266"/>
    <w:rsid w:val="000972E1"/>
    <w:rsid w:val="000A078C"/>
    <w:rsid w:val="000A0C8F"/>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AD3"/>
    <w:rsid w:val="000A5EDA"/>
    <w:rsid w:val="000A60DD"/>
    <w:rsid w:val="000A6426"/>
    <w:rsid w:val="000A6567"/>
    <w:rsid w:val="000A683C"/>
    <w:rsid w:val="000A7F81"/>
    <w:rsid w:val="000B0643"/>
    <w:rsid w:val="000B09B7"/>
    <w:rsid w:val="000B0C8C"/>
    <w:rsid w:val="000B145F"/>
    <w:rsid w:val="000B3216"/>
    <w:rsid w:val="000B4996"/>
    <w:rsid w:val="000B507A"/>
    <w:rsid w:val="000B597E"/>
    <w:rsid w:val="000B6448"/>
    <w:rsid w:val="000B66A6"/>
    <w:rsid w:val="000B7123"/>
    <w:rsid w:val="000C0433"/>
    <w:rsid w:val="000C0467"/>
    <w:rsid w:val="000C06E1"/>
    <w:rsid w:val="000C12BB"/>
    <w:rsid w:val="000C16C7"/>
    <w:rsid w:val="000C21E2"/>
    <w:rsid w:val="000C2908"/>
    <w:rsid w:val="000C33A8"/>
    <w:rsid w:val="000C34D6"/>
    <w:rsid w:val="000C3877"/>
    <w:rsid w:val="000C3A02"/>
    <w:rsid w:val="000C3D34"/>
    <w:rsid w:val="000C4369"/>
    <w:rsid w:val="000C45E3"/>
    <w:rsid w:val="000C484D"/>
    <w:rsid w:val="000C48A7"/>
    <w:rsid w:val="000C495C"/>
    <w:rsid w:val="000C4A0A"/>
    <w:rsid w:val="000C4E1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A19"/>
    <w:rsid w:val="000D3D5C"/>
    <w:rsid w:val="000D427B"/>
    <w:rsid w:val="000D4ABD"/>
    <w:rsid w:val="000D4D27"/>
    <w:rsid w:val="000D4E1E"/>
    <w:rsid w:val="000D5510"/>
    <w:rsid w:val="000D5C4A"/>
    <w:rsid w:val="000D5EF9"/>
    <w:rsid w:val="000D64DD"/>
    <w:rsid w:val="000D6975"/>
    <w:rsid w:val="000D71F9"/>
    <w:rsid w:val="000D746F"/>
    <w:rsid w:val="000D756C"/>
    <w:rsid w:val="000D78A4"/>
    <w:rsid w:val="000E0399"/>
    <w:rsid w:val="000E063A"/>
    <w:rsid w:val="000E0818"/>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43B"/>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4AE"/>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1ED"/>
    <w:rsid w:val="001632A1"/>
    <w:rsid w:val="001632FF"/>
    <w:rsid w:val="0016462E"/>
    <w:rsid w:val="00164749"/>
    <w:rsid w:val="00164894"/>
    <w:rsid w:val="00164943"/>
    <w:rsid w:val="00164C37"/>
    <w:rsid w:val="00164CA8"/>
    <w:rsid w:val="00165B2B"/>
    <w:rsid w:val="00165F51"/>
    <w:rsid w:val="00166119"/>
    <w:rsid w:val="00166212"/>
    <w:rsid w:val="00166226"/>
    <w:rsid w:val="001662F3"/>
    <w:rsid w:val="0016686F"/>
    <w:rsid w:val="00167110"/>
    <w:rsid w:val="00167420"/>
    <w:rsid w:val="001678E8"/>
    <w:rsid w:val="00167D10"/>
    <w:rsid w:val="00170113"/>
    <w:rsid w:val="00170176"/>
    <w:rsid w:val="0017040D"/>
    <w:rsid w:val="0017058E"/>
    <w:rsid w:val="0017068B"/>
    <w:rsid w:val="00170FFA"/>
    <w:rsid w:val="0017106B"/>
    <w:rsid w:val="00171E5B"/>
    <w:rsid w:val="0017258C"/>
    <w:rsid w:val="001726A5"/>
    <w:rsid w:val="00172CA2"/>
    <w:rsid w:val="00172DA0"/>
    <w:rsid w:val="00172E8C"/>
    <w:rsid w:val="00173316"/>
    <w:rsid w:val="00173BE8"/>
    <w:rsid w:val="001740C7"/>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6D8"/>
    <w:rsid w:val="00197ED3"/>
    <w:rsid w:val="00197FD3"/>
    <w:rsid w:val="001A03A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BE7"/>
    <w:rsid w:val="001E6DDD"/>
    <w:rsid w:val="001E7EDF"/>
    <w:rsid w:val="001F0064"/>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4E2F"/>
    <w:rsid w:val="001F535B"/>
    <w:rsid w:val="001F5BA9"/>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A8B"/>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0EC"/>
    <w:rsid w:val="00211258"/>
    <w:rsid w:val="00212195"/>
    <w:rsid w:val="0021259F"/>
    <w:rsid w:val="00213041"/>
    <w:rsid w:val="002135E2"/>
    <w:rsid w:val="00213EDC"/>
    <w:rsid w:val="00214086"/>
    <w:rsid w:val="0021438A"/>
    <w:rsid w:val="00214ED0"/>
    <w:rsid w:val="002151EF"/>
    <w:rsid w:val="00215E17"/>
    <w:rsid w:val="002166C0"/>
    <w:rsid w:val="00216ACF"/>
    <w:rsid w:val="002175DB"/>
    <w:rsid w:val="00217B3C"/>
    <w:rsid w:val="00217CB1"/>
    <w:rsid w:val="00217FB1"/>
    <w:rsid w:val="00220678"/>
    <w:rsid w:val="0022144D"/>
    <w:rsid w:val="00221744"/>
    <w:rsid w:val="0022175D"/>
    <w:rsid w:val="002219C8"/>
    <w:rsid w:val="00221A7D"/>
    <w:rsid w:val="00221B2E"/>
    <w:rsid w:val="0022201C"/>
    <w:rsid w:val="00222B2F"/>
    <w:rsid w:val="00223519"/>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B6D"/>
    <w:rsid w:val="00262C92"/>
    <w:rsid w:val="002630EC"/>
    <w:rsid w:val="002631C6"/>
    <w:rsid w:val="002636C1"/>
    <w:rsid w:val="002638EC"/>
    <w:rsid w:val="00263A6F"/>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A21"/>
    <w:rsid w:val="00277A2C"/>
    <w:rsid w:val="002801AE"/>
    <w:rsid w:val="0028068A"/>
    <w:rsid w:val="00280869"/>
    <w:rsid w:val="00281791"/>
    <w:rsid w:val="002819C7"/>
    <w:rsid w:val="00282258"/>
    <w:rsid w:val="002838FA"/>
    <w:rsid w:val="00284D86"/>
    <w:rsid w:val="00286574"/>
    <w:rsid w:val="002870B3"/>
    <w:rsid w:val="0029020F"/>
    <w:rsid w:val="0029073B"/>
    <w:rsid w:val="002911A8"/>
    <w:rsid w:val="00291574"/>
    <w:rsid w:val="00291AF5"/>
    <w:rsid w:val="00291B47"/>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4A"/>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3272"/>
    <w:rsid w:val="002B3844"/>
    <w:rsid w:val="002B3B6A"/>
    <w:rsid w:val="002B3D3B"/>
    <w:rsid w:val="002B4115"/>
    <w:rsid w:val="002B4653"/>
    <w:rsid w:val="002B4695"/>
    <w:rsid w:val="002B56EF"/>
    <w:rsid w:val="002B6522"/>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CAD"/>
    <w:rsid w:val="002D738F"/>
    <w:rsid w:val="002D7559"/>
    <w:rsid w:val="002D7B6E"/>
    <w:rsid w:val="002D7C29"/>
    <w:rsid w:val="002E0BD3"/>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ABA"/>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60D"/>
    <w:rsid w:val="00300964"/>
    <w:rsid w:val="00300B56"/>
    <w:rsid w:val="0030147C"/>
    <w:rsid w:val="003018F6"/>
    <w:rsid w:val="00301FDE"/>
    <w:rsid w:val="00302017"/>
    <w:rsid w:val="003030E5"/>
    <w:rsid w:val="003033E3"/>
    <w:rsid w:val="00303A3C"/>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615"/>
    <w:rsid w:val="00310773"/>
    <w:rsid w:val="00310885"/>
    <w:rsid w:val="00310FD3"/>
    <w:rsid w:val="0031126F"/>
    <w:rsid w:val="0031147B"/>
    <w:rsid w:val="00311810"/>
    <w:rsid w:val="00311926"/>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41C"/>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7D0"/>
    <w:rsid w:val="00326892"/>
    <w:rsid w:val="00327402"/>
    <w:rsid w:val="00327537"/>
    <w:rsid w:val="00327D94"/>
    <w:rsid w:val="003305CE"/>
    <w:rsid w:val="00330C3E"/>
    <w:rsid w:val="00330C6A"/>
    <w:rsid w:val="00330FB7"/>
    <w:rsid w:val="0033103B"/>
    <w:rsid w:val="003311AD"/>
    <w:rsid w:val="00331285"/>
    <w:rsid w:val="00331546"/>
    <w:rsid w:val="00331FE5"/>
    <w:rsid w:val="003322BC"/>
    <w:rsid w:val="0033249E"/>
    <w:rsid w:val="0033289C"/>
    <w:rsid w:val="00332DB9"/>
    <w:rsid w:val="00333344"/>
    <w:rsid w:val="003339A3"/>
    <w:rsid w:val="00333A2F"/>
    <w:rsid w:val="00333CB3"/>
    <w:rsid w:val="00334097"/>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AD0"/>
    <w:rsid w:val="00342C65"/>
    <w:rsid w:val="0034301B"/>
    <w:rsid w:val="00343688"/>
    <w:rsid w:val="00344351"/>
    <w:rsid w:val="00344658"/>
    <w:rsid w:val="00345872"/>
    <w:rsid w:val="00345FC4"/>
    <w:rsid w:val="003460C5"/>
    <w:rsid w:val="0034619D"/>
    <w:rsid w:val="00346C07"/>
    <w:rsid w:val="00346C9B"/>
    <w:rsid w:val="00346CFA"/>
    <w:rsid w:val="00346EBE"/>
    <w:rsid w:val="00347108"/>
    <w:rsid w:val="0034741F"/>
    <w:rsid w:val="00347461"/>
    <w:rsid w:val="00347780"/>
    <w:rsid w:val="00347967"/>
    <w:rsid w:val="00347B6B"/>
    <w:rsid w:val="00350BFD"/>
    <w:rsid w:val="003511A0"/>
    <w:rsid w:val="00351582"/>
    <w:rsid w:val="00351D5C"/>
    <w:rsid w:val="00351FF6"/>
    <w:rsid w:val="00352AED"/>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203"/>
    <w:rsid w:val="00376812"/>
    <w:rsid w:val="00376AFD"/>
    <w:rsid w:val="00376BAC"/>
    <w:rsid w:val="0037702A"/>
    <w:rsid w:val="003771B8"/>
    <w:rsid w:val="00377DC1"/>
    <w:rsid w:val="00380157"/>
    <w:rsid w:val="003809A5"/>
    <w:rsid w:val="00380BE3"/>
    <w:rsid w:val="00381580"/>
    <w:rsid w:val="00381ACD"/>
    <w:rsid w:val="00381AFA"/>
    <w:rsid w:val="00381FD2"/>
    <w:rsid w:val="0038203E"/>
    <w:rsid w:val="00383149"/>
    <w:rsid w:val="003834A0"/>
    <w:rsid w:val="003835AC"/>
    <w:rsid w:val="003838FE"/>
    <w:rsid w:val="003839BF"/>
    <w:rsid w:val="00384D9A"/>
    <w:rsid w:val="00385355"/>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9B4"/>
    <w:rsid w:val="003A4A0E"/>
    <w:rsid w:val="003A5239"/>
    <w:rsid w:val="003A652D"/>
    <w:rsid w:val="003A67CF"/>
    <w:rsid w:val="003A6940"/>
    <w:rsid w:val="003A6A39"/>
    <w:rsid w:val="003A6A56"/>
    <w:rsid w:val="003A72CD"/>
    <w:rsid w:val="003A7426"/>
    <w:rsid w:val="003A7757"/>
    <w:rsid w:val="003A77AA"/>
    <w:rsid w:val="003A787B"/>
    <w:rsid w:val="003B00AF"/>
    <w:rsid w:val="003B066C"/>
    <w:rsid w:val="003B0A44"/>
    <w:rsid w:val="003B0C87"/>
    <w:rsid w:val="003B0C8B"/>
    <w:rsid w:val="003B0DC0"/>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1F76"/>
    <w:rsid w:val="003D214E"/>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373"/>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08"/>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AA5"/>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F5D"/>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4742"/>
    <w:rsid w:val="0047670A"/>
    <w:rsid w:val="0047727E"/>
    <w:rsid w:val="00477325"/>
    <w:rsid w:val="0047768B"/>
    <w:rsid w:val="00480436"/>
    <w:rsid w:val="00480FB8"/>
    <w:rsid w:val="00481444"/>
    <w:rsid w:val="0048182F"/>
    <w:rsid w:val="004822DE"/>
    <w:rsid w:val="00482788"/>
    <w:rsid w:val="00482CF8"/>
    <w:rsid w:val="004836B6"/>
    <w:rsid w:val="00483AC9"/>
    <w:rsid w:val="00483C4B"/>
    <w:rsid w:val="00483DBF"/>
    <w:rsid w:val="0048410D"/>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5FD1"/>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1F6"/>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F3A"/>
    <w:rsid w:val="004C2088"/>
    <w:rsid w:val="004C2DDC"/>
    <w:rsid w:val="004C2F0C"/>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330"/>
    <w:rsid w:val="004E04B7"/>
    <w:rsid w:val="004E055F"/>
    <w:rsid w:val="004E0F9B"/>
    <w:rsid w:val="004E104F"/>
    <w:rsid w:val="004E186D"/>
    <w:rsid w:val="004E20E6"/>
    <w:rsid w:val="004E254F"/>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1015F"/>
    <w:rsid w:val="0051085E"/>
    <w:rsid w:val="00510A84"/>
    <w:rsid w:val="005115BB"/>
    <w:rsid w:val="00511706"/>
    <w:rsid w:val="005124E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5D95"/>
    <w:rsid w:val="005261E9"/>
    <w:rsid w:val="00526F67"/>
    <w:rsid w:val="00526FAC"/>
    <w:rsid w:val="0052724E"/>
    <w:rsid w:val="00527422"/>
    <w:rsid w:val="0052781E"/>
    <w:rsid w:val="00530597"/>
    <w:rsid w:val="00530888"/>
    <w:rsid w:val="00530A28"/>
    <w:rsid w:val="00531B70"/>
    <w:rsid w:val="005329B1"/>
    <w:rsid w:val="00533631"/>
    <w:rsid w:val="00533759"/>
    <w:rsid w:val="00533DC2"/>
    <w:rsid w:val="00533F35"/>
    <w:rsid w:val="00534774"/>
    <w:rsid w:val="00534970"/>
    <w:rsid w:val="00534DDF"/>
    <w:rsid w:val="00535AC2"/>
    <w:rsid w:val="00535B8A"/>
    <w:rsid w:val="00535FC6"/>
    <w:rsid w:val="00536AC8"/>
    <w:rsid w:val="00536D8A"/>
    <w:rsid w:val="00536DAE"/>
    <w:rsid w:val="00536E1B"/>
    <w:rsid w:val="00536FE7"/>
    <w:rsid w:val="005372A1"/>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AA6"/>
    <w:rsid w:val="00544FF0"/>
    <w:rsid w:val="00545079"/>
    <w:rsid w:val="005454E2"/>
    <w:rsid w:val="00545A80"/>
    <w:rsid w:val="00545EB7"/>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3E"/>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127"/>
    <w:rsid w:val="00596578"/>
    <w:rsid w:val="005967B6"/>
    <w:rsid w:val="00596A18"/>
    <w:rsid w:val="00596A82"/>
    <w:rsid w:val="00596AD9"/>
    <w:rsid w:val="00597392"/>
    <w:rsid w:val="00597737"/>
    <w:rsid w:val="005979D8"/>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2F"/>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B65"/>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4880"/>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C9B"/>
    <w:rsid w:val="005F5D55"/>
    <w:rsid w:val="005F60B5"/>
    <w:rsid w:val="005F6707"/>
    <w:rsid w:val="005F6AC2"/>
    <w:rsid w:val="005F71F5"/>
    <w:rsid w:val="005F746D"/>
    <w:rsid w:val="005F7A13"/>
    <w:rsid w:val="00600269"/>
    <w:rsid w:val="00600377"/>
    <w:rsid w:val="00600EC2"/>
    <w:rsid w:val="00600FA8"/>
    <w:rsid w:val="0060188A"/>
    <w:rsid w:val="006019A8"/>
    <w:rsid w:val="00601AA0"/>
    <w:rsid w:val="00601AB5"/>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A90"/>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07B"/>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B90"/>
    <w:rsid w:val="00642C83"/>
    <w:rsid w:val="00642EB8"/>
    <w:rsid w:val="00643AF7"/>
    <w:rsid w:val="00643DBC"/>
    <w:rsid w:val="006443EA"/>
    <w:rsid w:val="006446B7"/>
    <w:rsid w:val="006452DA"/>
    <w:rsid w:val="0064567B"/>
    <w:rsid w:val="00645980"/>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3DD"/>
    <w:rsid w:val="00653433"/>
    <w:rsid w:val="00653578"/>
    <w:rsid w:val="006535F7"/>
    <w:rsid w:val="0065390E"/>
    <w:rsid w:val="00653B73"/>
    <w:rsid w:val="00653BCE"/>
    <w:rsid w:val="00653F3A"/>
    <w:rsid w:val="006543C7"/>
    <w:rsid w:val="006547DB"/>
    <w:rsid w:val="00654BBA"/>
    <w:rsid w:val="00654ECE"/>
    <w:rsid w:val="0065553A"/>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716"/>
    <w:rsid w:val="006739DC"/>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DD9"/>
    <w:rsid w:val="006A1411"/>
    <w:rsid w:val="006A1F76"/>
    <w:rsid w:val="006A23F5"/>
    <w:rsid w:val="006A260A"/>
    <w:rsid w:val="006A2A36"/>
    <w:rsid w:val="006A2FE3"/>
    <w:rsid w:val="006A356B"/>
    <w:rsid w:val="006A3870"/>
    <w:rsid w:val="006A3B28"/>
    <w:rsid w:val="006A3D3E"/>
    <w:rsid w:val="006A45E1"/>
    <w:rsid w:val="006A4F6A"/>
    <w:rsid w:val="006A5D2C"/>
    <w:rsid w:val="006A6262"/>
    <w:rsid w:val="006A6B74"/>
    <w:rsid w:val="006A6D0B"/>
    <w:rsid w:val="006A705D"/>
    <w:rsid w:val="006A7438"/>
    <w:rsid w:val="006A74E5"/>
    <w:rsid w:val="006A75D0"/>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0F87"/>
    <w:rsid w:val="006C1BCF"/>
    <w:rsid w:val="006C1EF8"/>
    <w:rsid w:val="006C22C0"/>
    <w:rsid w:val="006C2844"/>
    <w:rsid w:val="006C286C"/>
    <w:rsid w:val="006C2960"/>
    <w:rsid w:val="006C3445"/>
    <w:rsid w:val="006C383E"/>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2FFC"/>
    <w:rsid w:val="006D3893"/>
    <w:rsid w:val="006D44B4"/>
    <w:rsid w:val="006D47D2"/>
    <w:rsid w:val="006D4C13"/>
    <w:rsid w:val="006D5573"/>
    <w:rsid w:val="006D578E"/>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73E"/>
    <w:rsid w:val="006F1E59"/>
    <w:rsid w:val="006F209C"/>
    <w:rsid w:val="006F2283"/>
    <w:rsid w:val="006F28C5"/>
    <w:rsid w:val="006F2969"/>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AE0"/>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28F"/>
    <w:rsid w:val="00710D24"/>
    <w:rsid w:val="00710F06"/>
    <w:rsid w:val="007112CC"/>
    <w:rsid w:val="00711B0B"/>
    <w:rsid w:val="00711C69"/>
    <w:rsid w:val="00711F27"/>
    <w:rsid w:val="00711F5A"/>
    <w:rsid w:val="00712A31"/>
    <w:rsid w:val="00712E53"/>
    <w:rsid w:val="007134C3"/>
    <w:rsid w:val="00713E8F"/>
    <w:rsid w:val="007140D7"/>
    <w:rsid w:val="00715231"/>
    <w:rsid w:val="00715509"/>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24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026"/>
    <w:rsid w:val="00744983"/>
    <w:rsid w:val="00744FD7"/>
    <w:rsid w:val="007453FA"/>
    <w:rsid w:val="00745702"/>
    <w:rsid w:val="0074609B"/>
    <w:rsid w:val="0074651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085"/>
    <w:rsid w:val="007718DC"/>
    <w:rsid w:val="00771EF4"/>
    <w:rsid w:val="0077275B"/>
    <w:rsid w:val="007727CD"/>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26F"/>
    <w:rsid w:val="00782351"/>
    <w:rsid w:val="007825F3"/>
    <w:rsid w:val="00782844"/>
    <w:rsid w:val="00782A62"/>
    <w:rsid w:val="00782B3E"/>
    <w:rsid w:val="00782CD3"/>
    <w:rsid w:val="00782EBF"/>
    <w:rsid w:val="00782FDA"/>
    <w:rsid w:val="0078304C"/>
    <w:rsid w:val="00783465"/>
    <w:rsid w:val="0078355A"/>
    <w:rsid w:val="00783FF5"/>
    <w:rsid w:val="00784764"/>
    <w:rsid w:val="00784B2C"/>
    <w:rsid w:val="007850B2"/>
    <w:rsid w:val="0078533C"/>
    <w:rsid w:val="0078559D"/>
    <w:rsid w:val="0078575B"/>
    <w:rsid w:val="00786E9F"/>
    <w:rsid w:val="0078773E"/>
    <w:rsid w:val="00787810"/>
    <w:rsid w:val="0079081A"/>
    <w:rsid w:val="00790909"/>
    <w:rsid w:val="00790A12"/>
    <w:rsid w:val="00791070"/>
    <w:rsid w:val="0079122A"/>
    <w:rsid w:val="00791D8A"/>
    <w:rsid w:val="00791DBE"/>
    <w:rsid w:val="00792568"/>
    <w:rsid w:val="00792B44"/>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C7"/>
    <w:rsid w:val="007B0051"/>
    <w:rsid w:val="007B0F8E"/>
    <w:rsid w:val="007B1C54"/>
    <w:rsid w:val="007B23BC"/>
    <w:rsid w:val="007B24B0"/>
    <w:rsid w:val="007B2666"/>
    <w:rsid w:val="007B27A7"/>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4C9"/>
    <w:rsid w:val="007C19BD"/>
    <w:rsid w:val="007C1DD3"/>
    <w:rsid w:val="007C1E70"/>
    <w:rsid w:val="007C207E"/>
    <w:rsid w:val="007C227A"/>
    <w:rsid w:val="007C2426"/>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6F6"/>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CD"/>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3F31"/>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69E1"/>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A4"/>
    <w:rsid w:val="00846FCE"/>
    <w:rsid w:val="0084766A"/>
    <w:rsid w:val="008477AD"/>
    <w:rsid w:val="00847A0E"/>
    <w:rsid w:val="00847E56"/>
    <w:rsid w:val="008502DA"/>
    <w:rsid w:val="00850CFB"/>
    <w:rsid w:val="0085181A"/>
    <w:rsid w:val="00851962"/>
    <w:rsid w:val="00852025"/>
    <w:rsid w:val="00852BD3"/>
    <w:rsid w:val="00852C36"/>
    <w:rsid w:val="00852FAA"/>
    <w:rsid w:val="00854257"/>
    <w:rsid w:val="00854B85"/>
    <w:rsid w:val="00854DDE"/>
    <w:rsid w:val="0085528D"/>
    <w:rsid w:val="00855790"/>
    <w:rsid w:val="00855C4D"/>
    <w:rsid w:val="008561EF"/>
    <w:rsid w:val="0085626E"/>
    <w:rsid w:val="00856B8F"/>
    <w:rsid w:val="0085730B"/>
    <w:rsid w:val="008573A4"/>
    <w:rsid w:val="008573CD"/>
    <w:rsid w:val="00857556"/>
    <w:rsid w:val="008577C6"/>
    <w:rsid w:val="008603C1"/>
    <w:rsid w:val="008606DB"/>
    <w:rsid w:val="008611CD"/>
    <w:rsid w:val="0086198E"/>
    <w:rsid w:val="00862121"/>
    <w:rsid w:val="0086244B"/>
    <w:rsid w:val="00862D87"/>
    <w:rsid w:val="00862F49"/>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446"/>
    <w:rsid w:val="008715CB"/>
    <w:rsid w:val="008718B2"/>
    <w:rsid w:val="00871907"/>
    <w:rsid w:val="00871DA1"/>
    <w:rsid w:val="0087202B"/>
    <w:rsid w:val="008725C3"/>
    <w:rsid w:val="00872C99"/>
    <w:rsid w:val="00872D4C"/>
    <w:rsid w:val="00872DB0"/>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680"/>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5E02"/>
    <w:rsid w:val="008970E2"/>
    <w:rsid w:val="00897287"/>
    <w:rsid w:val="008974AD"/>
    <w:rsid w:val="00897A83"/>
    <w:rsid w:val="00897EF8"/>
    <w:rsid w:val="008A002B"/>
    <w:rsid w:val="008A02A5"/>
    <w:rsid w:val="008A07C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A33"/>
    <w:rsid w:val="008B2B6B"/>
    <w:rsid w:val="008B2DBD"/>
    <w:rsid w:val="008B3D27"/>
    <w:rsid w:val="008B3EC1"/>
    <w:rsid w:val="008B40BB"/>
    <w:rsid w:val="008B4206"/>
    <w:rsid w:val="008B4BE3"/>
    <w:rsid w:val="008B552F"/>
    <w:rsid w:val="008B5CB8"/>
    <w:rsid w:val="008B5F42"/>
    <w:rsid w:val="008B6150"/>
    <w:rsid w:val="008B6354"/>
    <w:rsid w:val="008B6368"/>
    <w:rsid w:val="008B6472"/>
    <w:rsid w:val="008B66E7"/>
    <w:rsid w:val="008B6744"/>
    <w:rsid w:val="008B682F"/>
    <w:rsid w:val="008B6F67"/>
    <w:rsid w:val="008B7571"/>
    <w:rsid w:val="008B768E"/>
    <w:rsid w:val="008B7A2C"/>
    <w:rsid w:val="008C012C"/>
    <w:rsid w:val="008C072F"/>
    <w:rsid w:val="008C0C15"/>
    <w:rsid w:val="008C1028"/>
    <w:rsid w:val="008C1807"/>
    <w:rsid w:val="008C1EF6"/>
    <w:rsid w:val="008C3225"/>
    <w:rsid w:val="008C44A4"/>
    <w:rsid w:val="008C4785"/>
    <w:rsid w:val="008C4B28"/>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49C"/>
    <w:rsid w:val="008E0167"/>
    <w:rsid w:val="008E01C9"/>
    <w:rsid w:val="008E021E"/>
    <w:rsid w:val="008E04FE"/>
    <w:rsid w:val="008E06C4"/>
    <w:rsid w:val="008E074A"/>
    <w:rsid w:val="008E0A80"/>
    <w:rsid w:val="008E1010"/>
    <w:rsid w:val="008E1227"/>
    <w:rsid w:val="008E12E7"/>
    <w:rsid w:val="008E1916"/>
    <w:rsid w:val="008E1AE2"/>
    <w:rsid w:val="008E1FEC"/>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44AE"/>
    <w:rsid w:val="00904707"/>
    <w:rsid w:val="00904883"/>
    <w:rsid w:val="009048B6"/>
    <w:rsid w:val="00904AE4"/>
    <w:rsid w:val="00904B5C"/>
    <w:rsid w:val="00904C16"/>
    <w:rsid w:val="0090540B"/>
    <w:rsid w:val="00906150"/>
    <w:rsid w:val="009076A9"/>
    <w:rsid w:val="00907791"/>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5E2"/>
    <w:rsid w:val="009369F7"/>
    <w:rsid w:val="0094063B"/>
    <w:rsid w:val="0094078B"/>
    <w:rsid w:val="0094162F"/>
    <w:rsid w:val="0094167A"/>
    <w:rsid w:val="00941AAF"/>
    <w:rsid w:val="0094208D"/>
    <w:rsid w:val="009427EC"/>
    <w:rsid w:val="0094285C"/>
    <w:rsid w:val="0094394B"/>
    <w:rsid w:val="009439C2"/>
    <w:rsid w:val="00943D59"/>
    <w:rsid w:val="00943E30"/>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9F1"/>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36"/>
    <w:rsid w:val="00983317"/>
    <w:rsid w:val="00983486"/>
    <w:rsid w:val="00983718"/>
    <w:rsid w:val="00983EA0"/>
    <w:rsid w:val="00983EA7"/>
    <w:rsid w:val="0098433B"/>
    <w:rsid w:val="0098437A"/>
    <w:rsid w:val="0098472A"/>
    <w:rsid w:val="00984806"/>
    <w:rsid w:val="00984E31"/>
    <w:rsid w:val="00984F54"/>
    <w:rsid w:val="00985B6F"/>
    <w:rsid w:val="00986207"/>
    <w:rsid w:val="00986DBA"/>
    <w:rsid w:val="00987032"/>
    <w:rsid w:val="00987D09"/>
    <w:rsid w:val="0099080A"/>
    <w:rsid w:val="0099150C"/>
    <w:rsid w:val="00991A5E"/>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181"/>
    <w:rsid w:val="009B5462"/>
    <w:rsid w:val="009B57CA"/>
    <w:rsid w:val="009B5E70"/>
    <w:rsid w:val="009B614D"/>
    <w:rsid w:val="009B68B1"/>
    <w:rsid w:val="009B751A"/>
    <w:rsid w:val="009B7EA5"/>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8D6"/>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6FD"/>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64A"/>
    <w:rsid w:val="00A20AB5"/>
    <w:rsid w:val="00A20B92"/>
    <w:rsid w:val="00A21B3D"/>
    <w:rsid w:val="00A21EF9"/>
    <w:rsid w:val="00A2207D"/>
    <w:rsid w:val="00A22544"/>
    <w:rsid w:val="00A22688"/>
    <w:rsid w:val="00A22BAD"/>
    <w:rsid w:val="00A22D37"/>
    <w:rsid w:val="00A231D5"/>
    <w:rsid w:val="00A23ABA"/>
    <w:rsid w:val="00A23D19"/>
    <w:rsid w:val="00A241A9"/>
    <w:rsid w:val="00A24269"/>
    <w:rsid w:val="00A247F1"/>
    <w:rsid w:val="00A2489B"/>
    <w:rsid w:val="00A24B08"/>
    <w:rsid w:val="00A24C07"/>
    <w:rsid w:val="00A25D63"/>
    <w:rsid w:val="00A26409"/>
    <w:rsid w:val="00A267CB"/>
    <w:rsid w:val="00A26A51"/>
    <w:rsid w:val="00A26B01"/>
    <w:rsid w:val="00A26DEC"/>
    <w:rsid w:val="00A27147"/>
    <w:rsid w:val="00A27485"/>
    <w:rsid w:val="00A274FC"/>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592"/>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0BCC"/>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2879"/>
    <w:rsid w:val="00A74610"/>
    <w:rsid w:val="00A74F1B"/>
    <w:rsid w:val="00A74F53"/>
    <w:rsid w:val="00A7534F"/>
    <w:rsid w:val="00A7590E"/>
    <w:rsid w:val="00A75957"/>
    <w:rsid w:val="00A75C41"/>
    <w:rsid w:val="00A75E43"/>
    <w:rsid w:val="00A76071"/>
    <w:rsid w:val="00A76DB9"/>
    <w:rsid w:val="00A807EA"/>
    <w:rsid w:val="00A809A6"/>
    <w:rsid w:val="00A80C64"/>
    <w:rsid w:val="00A81227"/>
    <w:rsid w:val="00A8124D"/>
    <w:rsid w:val="00A815C4"/>
    <w:rsid w:val="00A81749"/>
    <w:rsid w:val="00A81FD2"/>
    <w:rsid w:val="00A82C5F"/>
    <w:rsid w:val="00A82CF6"/>
    <w:rsid w:val="00A8386D"/>
    <w:rsid w:val="00A83B5C"/>
    <w:rsid w:val="00A83E12"/>
    <w:rsid w:val="00A84A98"/>
    <w:rsid w:val="00A85390"/>
    <w:rsid w:val="00A8556F"/>
    <w:rsid w:val="00A858FA"/>
    <w:rsid w:val="00A85E86"/>
    <w:rsid w:val="00A86297"/>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1EA"/>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24F2"/>
    <w:rsid w:val="00AA2FCD"/>
    <w:rsid w:val="00AA40CB"/>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B76C4"/>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6D5"/>
    <w:rsid w:val="00AF678B"/>
    <w:rsid w:val="00AF7612"/>
    <w:rsid w:val="00AF764A"/>
    <w:rsid w:val="00B001D0"/>
    <w:rsid w:val="00B00353"/>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973"/>
    <w:rsid w:val="00B13A0C"/>
    <w:rsid w:val="00B13B45"/>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414"/>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2697"/>
    <w:rsid w:val="00B53718"/>
    <w:rsid w:val="00B5405F"/>
    <w:rsid w:val="00B54A1C"/>
    <w:rsid w:val="00B54B80"/>
    <w:rsid w:val="00B55766"/>
    <w:rsid w:val="00B56483"/>
    <w:rsid w:val="00B56C46"/>
    <w:rsid w:val="00B57921"/>
    <w:rsid w:val="00B60CF6"/>
    <w:rsid w:val="00B60E3D"/>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EA0"/>
    <w:rsid w:val="00B82502"/>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98A"/>
    <w:rsid w:val="00B90B2F"/>
    <w:rsid w:val="00B91628"/>
    <w:rsid w:val="00B9197F"/>
    <w:rsid w:val="00B91DB7"/>
    <w:rsid w:val="00B92159"/>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32C"/>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4B25"/>
    <w:rsid w:val="00BC56B4"/>
    <w:rsid w:val="00BC614D"/>
    <w:rsid w:val="00BC64C2"/>
    <w:rsid w:val="00BC66C3"/>
    <w:rsid w:val="00BC6AC2"/>
    <w:rsid w:val="00BC6E4A"/>
    <w:rsid w:val="00BC6E7F"/>
    <w:rsid w:val="00BC72B5"/>
    <w:rsid w:val="00BC7587"/>
    <w:rsid w:val="00BC7EF2"/>
    <w:rsid w:val="00BD09E0"/>
    <w:rsid w:val="00BD0A75"/>
    <w:rsid w:val="00BD0D3A"/>
    <w:rsid w:val="00BD107C"/>
    <w:rsid w:val="00BD1924"/>
    <w:rsid w:val="00BD1EFD"/>
    <w:rsid w:val="00BD2035"/>
    <w:rsid w:val="00BD234A"/>
    <w:rsid w:val="00BD2417"/>
    <w:rsid w:val="00BD2711"/>
    <w:rsid w:val="00BD31C4"/>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EA"/>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101"/>
    <w:rsid w:val="00C00298"/>
    <w:rsid w:val="00C00B3D"/>
    <w:rsid w:val="00C0141E"/>
    <w:rsid w:val="00C0191C"/>
    <w:rsid w:val="00C01A88"/>
    <w:rsid w:val="00C02174"/>
    <w:rsid w:val="00C02A96"/>
    <w:rsid w:val="00C031AD"/>
    <w:rsid w:val="00C0346B"/>
    <w:rsid w:val="00C048CA"/>
    <w:rsid w:val="00C05091"/>
    <w:rsid w:val="00C05AF4"/>
    <w:rsid w:val="00C060B5"/>
    <w:rsid w:val="00C06217"/>
    <w:rsid w:val="00C0694B"/>
    <w:rsid w:val="00C06987"/>
    <w:rsid w:val="00C06AE7"/>
    <w:rsid w:val="00C075BF"/>
    <w:rsid w:val="00C07908"/>
    <w:rsid w:val="00C079F7"/>
    <w:rsid w:val="00C1005C"/>
    <w:rsid w:val="00C1014E"/>
    <w:rsid w:val="00C118AB"/>
    <w:rsid w:val="00C11E30"/>
    <w:rsid w:val="00C11F21"/>
    <w:rsid w:val="00C120F5"/>
    <w:rsid w:val="00C122A7"/>
    <w:rsid w:val="00C12B55"/>
    <w:rsid w:val="00C12BAE"/>
    <w:rsid w:val="00C12F5C"/>
    <w:rsid w:val="00C1326A"/>
    <w:rsid w:val="00C13509"/>
    <w:rsid w:val="00C13652"/>
    <w:rsid w:val="00C13ACE"/>
    <w:rsid w:val="00C13EDE"/>
    <w:rsid w:val="00C142CC"/>
    <w:rsid w:val="00C142D6"/>
    <w:rsid w:val="00C1442B"/>
    <w:rsid w:val="00C146CE"/>
    <w:rsid w:val="00C148A4"/>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931"/>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2671"/>
    <w:rsid w:val="00C53DD8"/>
    <w:rsid w:val="00C54344"/>
    <w:rsid w:val="00C5437C"/>
    <w:rsid w:val="00C5471F"/>
    <w:rsid w:val="00C54CDF"/>
    <w:rsid w:val="00C551C2"/>
    <w:rsid w:val="00C5592D"/>
    <w:rsid w:val="00C55A22"/>
    <w:rsid w:val="00C55B83"/>
    <w:rsid w:val="00C55BB5"/>
    <w:rsid w:val="00C55EB4"/>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725"/>
    <w:rsid w:val="00C71935"/>
    <w:rsid w:val="00C7197D"/>
    <w:rsid w:val="00C72378"/>
    <w:rsid w:val="00C729E9"/>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1F02"/>
    <w:rsid w:val="00C926F6"/>
    <w:rsid w:val="00C92841"/>
    <w:rsid w:val="00C9294A"/>
    <w:rsid w:val="00C9302D"/>
    <w:rsid w:val="00C93824"/>
    <w:rsid w:val="00C93C01"/>
    <w:rsid w:val="00C93E54"/>
    <w:rsid w:val="00C95A7A"/>
    <w:rsid w:val="00C95F0E"/>
    <w:rsid w:val="00C9623B"/>
    <w:rsid w:val="00C963B3"/>
    <w:rsid w:val="00C967B1"/>
    <w:rsid w:val="00C968CA"/>
    <w:rsid w:val="00C96EA0"/>
    <w:rsid w:val="00C9729C"/>
    <w:rsid w:val="00C97566"/>
    <w:rsid w:val="00C977AE"/>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2F9D"/>
    <w:rsid w:val="00CC373D"/>
    <w:rsid w:val="00CC3DE1"/>
    <w:rsid w:val="00CC3ED1"/>
    <w:rsid w:val="00CC3F40"/>
    <w:rsid w:val="00CC4131"/>
    <w:rsid w:val="00CC4213"/>
    <w:rsid w:val="00CC43D2"/>
    <w:rsid w:val="00CC4BAB"/>
    <w:rsid w:val="00CC4F79"/>
    <w:rsid w:val="00CC5430"/>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BC"/>
    <w:rsid w:val="00CD6DCC"/>
    <w:rsid w:val="00CD70F0"/>
    <w:rsid w:val="00CD7BD1"/>
    <w:rsid w:val="00CD7EDC"/>
    <w:rsid w:val="00CE059E"/>
    <w:rsid w:val="00CE0739"/>
    <w:rsid w:val="00CE09C9"/>
    <w:rsid w:val="00CE0BAB"/>
    <w:rsid w:val="00CE0BEF"/>
    <w:rsid w:val="00CE0FD0"/>
    <w:rsid w:val="00CE140B"/>
    <w:rsid w:val="00CE1BA7"/>
    <w:rsid w:val="00CE1D45"/>
    <w:rsid w:val="00CE2136"/>
    <w:rsid w:val="00CE2875"/>
    <w:rsid w:val="00CE2D3B"/>
    <w:rsid w:val="00CE2DD9"/>
    <w:rsid w:val="00CE2E7A"/>
    <w:rsid w:val="00CE3240"/>
    <w:rsid w:val="00CE3732"/>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1D71"/>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BFB"/>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90A"/>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419"/>
    <w:rsid w:val="00D34B30"/>
    <w:rsid w:val="00D34FF0"/>
    <w:rsid w:val="00D351FF"/>
    <w:rsid w:val="00D35816"/>
    <w:rsid w:val="00D35B5D"/>
    <w:rsid w:val="00D3607D"/>
    <w:rsid w:val="00D3657A"/>
    <w:rsid w:val="00D36853"/>
    <w:rsid w:val="00D36971"/>
    <w:rsid w:val="00D36DE6"/>
    <w:rsid w:val="00D37088"/>
    <w:rsid w:val="00D370A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0D15"/>
    <w:rsid w:val="00D9197D"/>
    <w:rsid w:val="00D91CBF"/>
    <w:rsid w:val="00D91F03"/>
    <w:rsid w:val="00D92022"/>
    <w:rsid w:val="00D92C9E"/>
    <w:rsid w:val="00D92CAF"/>
    <w:rsid w:val="00D92CD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50F"/>
    <w:rsid w:val="00DA36F0"/>
    <w:rsid w:val="00DA3A94"/>
    <w:rsid w:val="00DA3BAA"/>
    <w:rsid w:val="00DA4402"/>
    <w:rsid w:val="00DA44C7"/>
    <w:rsid w:val="00DA4A1C"/>
    <w:rsid w:val="00DA4A7A"/>
    <w:rsid w:val="00DA558E"/>
    <w:rsid w:val="00DA5680"/>
    <w:rsid w:val="00DA5898"/>
    <w:rsid w:val="00DA5F28"/>
    <w:rsid w:val="00DA609F"/>
    <w:rsid w:val="00DA60F2"/>
    <w:rsid w:val="00DA6A89"/>
    <w:rsid w:val="00DA732A"/>
    <w:rsid w:val="00DA7454"/>
    <w:rsid w:val="00DA7733"/>
    <w:rsid w:val="00DA776B"/>
    <w:rsid w:val="00DA7DD9"/>
    <w:rsid w:val="00DB040A"/>
    <w:rsid w:val="00DB0AA0"/>
    <w:rsid w:val="00DB0E48"/>
    <w:rsid w:val="00DB2213"/>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1B6F"/>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483D"/>
    <w:rsid w:val="00DD55D6"/>
    <w:rsid w:val="00DD6086"/>
    <w:rsid w:val="00DD6A9B"/>
    <w:rsid w:val="00DD7204"/>
    <w:rsid w:val="00DD76D8"/>
    <w:rsid w:val="00DD7D11"/>
    <w:rsid w:val="00DD7FC7"/>
    <w:rsid w:val="00DE07E5"/>
    <w:rsid w:val="00DE09FF"/>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0EC7"/>
    <w:rsid w:val="00DF1702"/>
    <w:rsid w:val="00DF1904"/>
    <w:rsid w:val="00DF2324"/>
    <w:rsid w:val="00DF2588"/>
    <w:rsid w:val="00DF26E9"/>
    <w:rsid w:val="00DF27D5"/>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474E"/>
    <w:rsid w:val="00E150EF"/>
    <w:rsid w:val="00E15540"/>
    <w:rsid w:val="00E1568B"/>
    <w:rsid w:val="00E15F44"/>
    <w:rsid w:val="00E15FB1"/>
    <w:rsid w:val="00E16BC3"/>
    <w:rsid w:val="00E16D74"/>
    <w:rsid w:val="00E16E6D"/>
    <w:rsid w:val="00E171BD"/>
    <w:rsid w:val="00E17227"/>
    <w:rsid w:val="00E1723E"/>
    <w:rsid w:val="00E1755F"/>
    <w:rsid w:val="00E175C4"/>
    <w:rsid w:val="00E17E31"/>
    <w:rsid w:val="00E20082"/>
    <w:rsid w:val="00E201C7"/>
    <w:rsid w:val="00E203E1"/>
    <w:rsid w:val="00E2065A"/>
    <w:rsid w:val="00E20C87"/>
    <w:rsid w:val="00E20EF2"/>
    <w:rsid w:val="00E210EF"/>
    <w:rsid w:val="00E21212"/>
    <w:rsid w:val="00E229FA"/>
    <w:rsid w:val="00E2303A"/>
    <w:rsid w:val="00E235E9"/>
    <w:rsid w:val="00E23674"/>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8D9"/>
    <w:rsid w:val="00E27FBC"/>
    <w:rsid w:val="00E300DF"/>
    <w:rsid w:val="00E30359"/>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26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606"/>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4FE1"/>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346"/>
    <w:rsid w:val="00E954CA"/>
    <w:rsid w:val="00E96FDE"/>
    <w:rsid w:val="00E97321"/>
    <w:rsid w:val="00EA063A"/>
    <w:rsid w:val="00EA08A4"/>
    <w:rsid w:val="00EA0959"/>
    <w:rsid w:val="00EA11BD"/>
    <w:rsid w:val="00EA130C"/>
    <w:rsid w:val="00EA193B"/>
    <w:rsid w:val="00EA1A62"/>
    <w:rsid w:val="00EA1D33"/>
    <w:rsid w:val="00EA1DC6"/>
    <w:rsid w:val="00EA2D5A"/>
    <w:rsid w:val="00EA3ED8"/>
    <w:rsid w:val="00EA4662"/>
    <w:rsid w:val="00EA5248"/>
    <w:rsid w:val="00EA525C"/>
    <w:rsid w:val="00EA5638"/>
    <w:rsid w:val="00EA697C"/>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79"/>
    <w:rsid w:val="00EB25EB"/>
    <w:rsid w:val="00EB27D5"/>
    <w:rsid w:val="00EB2C0C"/>
    <w:rsid w:val="00EB2DF2"/>
    <w:rsid w:val="00EB3CB0"/>
    <w:rsid w:val="00EB4042"/>
    <w:rsid w:val="00EB48C0"/>
    <w:rsid w:val="00EB48CF"/>
    <w:rsid w:val="00EB4A95"/>
    <w:rsid w:val="00EB4DAC"/>
    <w:rsid w:val="00EB4E49"/>
    <w:rsid w:val="00EB4F72"/>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B70"/>
    <w:rsid w:val="00EE09B8"/>
    <w:rsid w:val="00EE0DD3"/>
    <w:rsid w:val="00EE16CE"/>
    <w:rsid w:val="00EE2437"/>
    <w:rsid w:val="00EE2586"/>
    <w:rsid w:val="00EE2903"/>
    <w:rsid w:val="00EE29A0"/>
    <w:rsid w:val="00EE2F3D"/>
    <w:rsid w:val="00EE338E"/>
    <w:rsid w:val="00EE3C62"/>
    <w:rsid w:val="00EE425D"/>
    <w:rsid w:val="00EE44BC"/>
    <w:rsid w:val="00EE48E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EF798A"/>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180"/>
    <w:rsid w:val="00F12D4F"/>
    <w:rsid w:val="00F13480"/>
    <w:rsid w:val="00F13E25"/>
    <w:rsid w:val="00F14C58"/>
    <w:rsid w:val="00F14EAF"/>
    <w:rsid w:val="00F14F57"/>
    <w:rsid w:val="00F1506E"/>
    <w:rsid w:val="00F15CD1"/>
    <w:rsid w:val="00F165A2"/>
    <w:rsid w:val="00F16962"/>
    <w:rsid w:val="00F16C49"/>
    <w:rsid w:val="00F16D70"/>
    <w:rsid w:val="00F17368"/>
    <w:rsid w:val="00F173A3"/>
    <w:rsid w:val="00F17669"/>
    <w:rsid w:val="00F17AF4"/>
    <w:rsid w:val="00F17BAF"/>
    <w:rsid w:val="00F17EB4"/>
    <w:rsid w:val="00F21186"/>
    <w:rsid w:val="00F212B1"/>
    <w:rsid w:val="00F212D5"/>
    <w:rsid w:val="00F2151E"/>
    <w:rsid w:val="00F215C8"/>
    <w:rsid w:val="00F215F4"/>
    <w:rsid w:val="00F21833"/>
    <w:rsid w:val="00F223A1"/>
    <w:rsid w:val="00F224BE"/>
    <w:rsid w:val="00F22A65"/>
    <w:rsid w:val="00F22FEF"/>
    <w:rsid w:val="00F23123"/>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148"/>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0E"/>
    <w:rsid w:val="00F55666"/>
    <w:rsid w:val="00F5673F"/>
    <w:rsid w:val="00F567FF"/>
    <w:rsid w:val="00F56861"/>
    <w:rsid w:val="00F56AA8"/>
    <w:rsid w:val="00F56AF9"/>
    <w:rsid w:val="00F56DEF"/>
    <w:rsid w:val="00F571F1"/>
    <w:rsid w:val="00F57228"/>
    <w:rsid w:val="00F60493"/>
    <w:rsid w:val="00F60E2F"/>
    <w:rsid w:val="00F61773"/>
    <w:rsid w:val="00F618D9"/>
    <w:rsid w:val="00F61CB6"/>
    <w:rsid w:val="00F61F7C"/>
    <w:rsid w:val="00F62DD9"/>
    <w:rsid w:val="00F632AD"/>
    <w:rsid w:val="00F639BD"/>
    <w:rsid w:val="00F63B17"/>
    <w:rsid w:val="00F63D53"/>
    <w:rsid w:val="00F641C0"/>
    <w:rsid w:val="00F642A0"/>
    <w:rsid w:val="00F644AE"/>
    <w:rsid w:val="00F649D6"/>
    <w:rsid w:val="00F64AA0"/>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20B9"/>
    <w:rsid w:val="00F741AD"/>
    <w:rsid w:val="00F743B5"/>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921"/>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AD8"/>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169"/>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31F"/>
    <w:rsid w:val="00FF75C3"/>
    <w:rsid w:val="00FF77BD"/>
    <w:rsid w:val="22CC7210"/>
    <w:rsid w:val="30B12A6E"/>
    <w:rsid w:val="43E57AE1"/>
    <w:rsid w:val="53E422C0"/>
    <w:rsid w:val="73F01088"/>
  </w:rsids>
  <m:mathPr>
    <m:mathFont m:val="Cambria Math"/>
    <m:brkBin m:val="before"/>
    <m:brkBinSub m:val="--"/>
    <m:smallFrac m:val="1"/>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qFormat="1" w:unhideWhenUsed="0" w:uiPriority="0" w:semiHidden="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US" w:eastAsia="en-US" w:bidi="ar-SA"/>
    </w:rPr>
  </w:style>
  <w:style w:type="paragraph" w:styleId="2">
    <w:name w:val="heading 1"/>
    <w:basedOn w:val="1"/>
    <w:next w:val="3"/>
    <w:link w:val="116"/>
    <w:qFormat/>
    <w:uiPriority w:val="0"/>
    <w:pPr>
      <w:keepNext/>
      <w:numPr>
        <w:ilvl w:val="0"/>
        <w:numId w:val="1"/>
      </w:numPr>
      <w:spacing w:before="360" w:after="120"/>
      <w:outlineLvl w:val="0"/>
    </w:pPr>
    <w:rPr>
      <w:rFonts w:ascii="Arial" w:hAnsi="Arial" w:eastAsia="宋体" w:cs="Arial"/>
      <w:b/>
      <w:bCs/>
      <w:kern w:val="32"/>
      <w:sz w:val="28"/>
      <w:szCs w:val="32"/>
      <w:lang w:eastAsia="zh-CN"/>
    </w:rPr>
  </w:style>
  <w:style w:type="paragraph" w:styleId="4">
    <w:name w:val="heading 2"/>
    <w:basedOn w:val="1"/>
    <w:next w:val="3"/>
    <w:link w:val="117"/>
    <w:qFormat/>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120"/>
    <w:qFormat/>
    <w:uiPriority w:val="0"/>
    <w:pPr>
      <w:keepNext/>
      <w:numPr>
        <w:ilvl w:val="2"/>
        <w:numId w:val="1"/>
      </w:numPr>
      <w:spacing w:before="240" w:after="60"/>
      <w:outlineLvl w:val="2"/>
    </w:pPr>
    <w:rPr>
      <w:rFonts w:ascii="Arial" w:hAnsi="Arial" w:eastAsia="MS Mincho" w:cs="Arial"/>
      <w:b/>
      <w:bCs/>
      <w:sz w:val="26"/>
      <w:szCs w:val="26"/>
    </w:rPr>
  </w:style>
  <w:style w:type="paragraph" w:styleId="6">
    <w:name w:val="heading 4"/>
    <w:basedOn w:val="1"/>
    <w:next w:val="1"/>
    <w:link w:val="132"/>
    <w:qFormat/>
    <w:uiPriority w:val="0"/>
    <w:pPr>
      <w:keepNext/>
      <w:spacing w:before="240" w:after="60"/>
      <w:outlineLvl w:val="3"/>
    </w:pPr>
    <w:rPr>
      <w:rFonts w:eastAsia="MS Mincho"/>
      <w:b/>
      <w:bCs/>
      <w:sz w:val="28"/>
      <w:szCs w:val="28"/>
    </w:rPr>
  </w:style>
  <w:style w:type="paragraph" w:styleId="7">
    <w:name w:val="heading 5"/>
    <w:basedOn w:val="1"/>
    <w:next w:val="1"/>
    <w:link w:val="94"/>
    <w:unhideWhenUsed/>
    <w:qFormat/>
    <w:uiPriority w:val="0"/>
    <w:pPr>
      <w:keepNext/>
      <w:keepLines/>
      <w:spacing w:before="280" w:after="290" w:line="376" w:lineRule="auto"/>
      <w:outlineLvl w:val="4"/>
    </w:pPr>
    <w:rPr>
      <w:b/>
      <w:bCs/>
      <w:sz w:val="28"/>
      <w:szCs w:val="28"/>
    </w:rPr>
  </w:style>
  <w:style w:type="paragraph" w:styleId="8">
    <w:name w:val="heading 6"/>
    <w:basedOn w:val="9"/>
    <w:next w:val="1"/>
    <w:link w:val="133"/>
    <w:qFormat/>
    <w:uiPriority w:val="0"/>
    <w:pPr>
      <w:outlineLvl w:val="5"/>
    </w:pPr>
    <w:rPr>
      <w:rFonts w:eastAsiaTheme="minorEastAsia"/>
    </w:rPr>
  </w:style>
  <w:style w:type="paragraph" w:styleId="10">
    <w:name w:val="heading 7"/>
    <w:basedOn w:val="9"/>
    <w:next w:val="1"/>
    <w:link w:val="134"/>
    <w:qFormat/>
    <w:uiPriority w:val="0"/>
    <w:pPr>
      <w:outlineLvl w:val="6"/>
    </w:pPr>
    <w:rPr>
      <w:rFonts w:eastAsiaTheme="minorEastAsia"/>
    </w:rPr>
  </w:style>
  <w:style w:type="paragraph" w:styleId="11">
    <w:name w:val="heading 8"/>
    <w:basedOn w:val="2"/>
    <w:next w:val="1"/>
    <w:link w:val="135"/>
    <w:qFormat/>
    <w:uiPriority w:val="0"/>
    <w:pPr>
      <w:keepLines/>
      <w:numPr>
        <w:numId w:val="0"/>
      </w:numPr>
      <w:pBdr>
        <w:top w:val="single" w:color="auto" w:sz="12" w:space="3"/>
      </w:pBdr>
      <w:spacing w:before="240" w:after="180"/>
      <w:outlineLvl w:val="7"/>
    </w:pPr>
    <w:rPr>
      <w:rFonts w:cs="Times New Roman" w:eastAsiaTheme="minorEastAsia"/>
      <w:b w:val="0"/>
      <w:bCs w:val="0"/>
      <w:kern w:val="0"/>
      <w:sz w:val="36"/>
      <w:szCs w:val="20"/>
      <w:lang w:val="en-GB" w:eastAsia="en-US"/>
    </w:rPr>
  </w:style>
  <w:style w:type="paragraph" w:styleId="12">
    <w:name w:val="heading 9"/>
    <w:basedOn w:val="11"/>
    <w:next w:val="1"/>
    <w:link w:val="136"/>
    <w:qFormat/>
    <w:uiPriority w:val="0"/>
    <w:pPr>
      <w:outlineLvl w:val="8"/>
    </w:pPr>
  </w:style>
  <w:style w:type="character" w:default="1" w:styleId="54">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styleId="3">
    <w:name w:val="Body Text"/>
    <w:basedOn w:val="1"/>
    <w:link w:val="67"/>
    <w:qFormat/>
    <w:uiPriority w:val="0"/>
    <w:pPr>
      <w:spacing w:after="120"/>
      <w:jc w:val="both"/>
    </w:pPr>
    <w:rPr>
      <w:rFonts w:eastAsia="MS Mincho"/>
    </w:rPr>
  </w:style>
  <w:style w:type="paragraph" w:customStyle="1" w:styleId="9">
    <w:name w:val="H6"/>
    <w:basedOn w:val="7"/>
    <w:next w:val="1"/>
    <w:qFormat/>
    <w:uiPriority w:val="0"/>
    <w:pPr>
      <w:spacing w:before="120" w:after="180" w:line="240" w:lineRule="auto"/>
      <w:ind w:left="1985" w:hanging="1985"/>
      <w:outlineLvl w:val="9"/>
    </w:pPr>
    <w:rPr>
      <w:rFonts w:ascii="Arial" w:hAnsi="Arial" w:eastAsia="Malgun Gothic"/>
      <w:b w:val="0"/>
      <w:bCs w:val="0"/>
      <w:sz w:val="20"/>
      <w:szCs w:val="20"/>
      <w:lang w:val="en-GB"/>
    </w:rPr>
  </w:style>
  <w:style w:type="paragraph" w:styleId="13">
    <w:name w:val="List 3"/>
    <w:basedOn w:val="1"/>
    <w:qFormat/>
    <w:uiPriority w:val="0"/>
    <w:pPr>
      <w:ind w:left="100" w:leftChars="400" w:hanging="200" w:hangingChars="200"/>
      <w:contextualSpacing/>
    </w:p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1">
    <w:name w:val="List Number 2"/>
    <w:basedOn w:val="22"/>
    <w:qFormat/>
    <w:uiPriority w:val="0"/>
    <w:pPr>
      <w:ind w:left="851"/>
    </w:pPr>
  </w:style>
  <w:style w:type="paragraph" w:styleId="22">
    <w:name w:val="List Number"/>
    <w:basedOn w:val="23"/>
    <w:qFormat/>
    <w:uiPriority w:val="0"/>
    <w:pPr>
      <w:spacing w:after="180"/>
      <w:ind w:left="568" w:hanging="284"/>
    </w:pPr>
    <w:rPr>
      <w:rFonts w:eastAsiaTheme="minorEastAsia"/>
      <w:szCs w:val="20"/>
      <w:lang w:val="en-GB"/>
    </w:rPr>
  </w:style>
  <w:style w:type="paragraph" w:styleId="23">
    <w:name w:val="List"/>
    <w:basedOn w:val="1"/>
    <w:qFormat/>
    <w:uiPriority w:val="0"/>
    <w:pPr>
      <w:ind w:left="283" w:hanging="283"/>
    </w:pPr>
  </w:style>
  <w:style w:type="paragraph" w:styleId="24">
    <w:name w:val="List Bullet 4"/>
    <w:basedOn w:val="25"/>
    <w:qFormat/>
    <w:uiPriority w:val="0"/>
    <w:pPr>
      <w:tabs>
        <w:tab w:val="left" w:pos="720"/>
      </w:tabs>
      <w:ind w:left="1418"/>
    </w:pPr>
  </w:style>
  <w:style w:type="paragraph" w:styleId="25">
    <w:name w:val="List Bullet 3"/>
    <w:basedOn w:val="26"/>
    <w:qFormat/>
    <w:uiPriority w:val="0"/>
    <w:pPr>
      <w:tabs>
        <w:tab w:val="left" w:pos="720"/>
      </w:tabs>
      <w:overflowPunct/>
      <w:autoSpaceDE/>
      <w:autoSpaceDN/>
      <w:adjustRightInd/>
      <w:ind w:left="1135"/>
      <w:textAlignment w:val="auto"/>
    </w:pPr>
    <w:rPr>
      <w:rFonts w:eastAsiaTheme="minorEastAsia"/>
      <w:lang w:eastAsia="en-US"/>
    </w:rPr>
  </w:style>
  <w:style w:type="paragraph" w:styleId="26">
    <w:name w:val="List Bullet 2"/>
    <w:basedOn w:val="27"/>
    <w:qFormat/>
    <w:uiPriority w:val="0"/>
    <w:pPr>
      <w:numPr>
        <w:ilvl w:val="0"/>
        <w:numId w:val="0"/>
      </w:numPr>
      <w:tabs>
        <w:tab w:val="left" w:pos="720"/>
      </w:tabs>
      <w:overflowPunct w:val="0"/>
      <w:autoSpaceDE w:val="0"/>
      <w:autoSpaceDN w:val="0"/>
      <w:adjustRightInd w:val="0"/>
      <w:spacing w:after="180"/>
      <w:ind w:left="851" w:hanging="284"/>
      <w:contextualSpacing w:val="0"/>
      <w:textAlignment w:val="baseline"/>
    </w:pPr>
    <w:rPr>
      <w:szCs w:val="20"/>
      <w:lang w:val="en-GB" w:eastAsia="ja-JP"/>
    </w:rPr>
  </w:style>
  <w:style w:type="paragraph" w:styleId="27">
    <w:name w:val="List Bullet"/>
    <w:basedOn w:val="1"/>
    <w:qFormat/>
    <w:uiPriority w:val="0"/>
    <w:pPr>
      <w:numPr>
        <w:ilvl w:val="0"/>
        <w:numId w:val="2"/>
      </w:numPr>
      <w:ind w:left="360" w:hanging="360" w:hangingChars="200"/>
      <w:contextualSpacing/>
    </w:pPr>
  </w:style>
  <w:style w:type="paragraph" w:styleId="28">
    <w:name w:val="caption"/>
    <w:basedOn w:val="1"/>
    <w:next w:val="1"/>
    <w:link w:val="62"/>
    <w:qFormat/>
    <w:uiPriority w:val="0"/>
    <w:pPr>
      <w:overflowPunct w:val="0"/>
      <w:autoSpaceDE w:val="0"/>
      <w:autoSpaceDN w:val="0"/>
      <w:adjustRightInd w:val="0"/>
      <w:spacing w:before="120" w:after="120"/>
      <w:textAlignment w:val="baseline"/>
    </w:pPr>
    <w:rPr>
      <w:rFonts w:eastAsia="宋体"/>
      <w:szCs w:val="20"/>
      <w:lang w:val="en-GB"/>
    </w:rPr>
  </w:style>
  <w:style w:type="paragraph" w:styleId="29">
    <w:name w:val="Document Map"/>
    <w:basedOn w:val="1"/>
    <w:link w:val="171"/>
    <w:qFormat/>
    <w:uiPriority w:val="0"/>
    <w:pPr>
      <w:shd w:val="clear" w:color="auto" w:fill="000080"/>
    </w:pPr>
  </w:style>
  <w:style w:type="paragraph" w:styleId="30">
    <w:name w:val="annotation text"/>
    <w:basedOn w:val="1"/>
    <w:link w:val="91"/>
    <w:qFormat/>
    <w:uiPriority w:val="99"/>
  </w:style>
  <w:style w:type="paragraph" w:styleId="31">
    <w:name w:val="List 2"/>
    <w:basedOn w:val="23"/>
    <w:qFormat/>
    <w:uiPriority w:val="0"/>
    <w:pPr>
      <w:numPr>
        <w:ilvl w:val="0"/>
        <w:numId w:val="3"/>
      </w:numPr>
      <w:spacing w:before="180"/>
    </w:pPr>
    <w:rPr>
      <w:rFonts w:ascii="Arial" w:hAnsi="Arial"/>
      <w:sz w:val="22"/>
      <w:szCs w:val="20"/>
    </w:rPr>
  </w:style>
  <w:style w:type="paragraph" w:styleId="32">
    <w:name w:val="Plain Text"/>
    <w:basedOn w:val="1"/>
    <w:link w:val="177"/>
    <w:unhideWhenUsed/>
    <w:uiPriority w:val="99"/>
    <w:pPr>
      <w:spacing w:before="40"/>
    </w:pPr>
    <w:rPr>
      <w:rFonts w:ascii="Consolas" w:hAnsi="Consolas" w:eastAsia="Calibri"/>
      <w:sz w:val="21"/>
      <w:szCs w:val="21"/>
      <w:lang w:val="en-GB"/>
    </w:rPr>
  </w:style>
  <w:style w:type="paragraph" w:styleId="33">
    <w:name w:val="List Bullet 5"/>
    <w:basedOn w:val="24"/>
    <w:qFormat/>
    <w:uiPriority w:val="0"/>
    <w:pPr>
      <w:ind w:left="1702"/>
    </w:pPr>
  </w:style>
  <w:style w:type="paragraph" w:styleId="34">
    <w:name w:val="toc 8"/>
    <w:basedOn w:val="20"/>
    <w:next w:val="1"/>
    <w:qFormat/>
    <w:uiPriority w:val="39"/>
    <w:pPr>
      <w:spacing w:before="180"/>
      <w:ind w:left="2693" w:hanging="2693"/>
    </w:pPr>
    <w:rPr>
      <w:b/>
    </w:rPr>
  </w:style>
  <w:style w:type="paragraph" w:styleId="35">
    <w:name w:val="endnote text"/>
    <w:basedOn w:val="1"/>
    <w:link w:val="73"/>
    <w:qFormat/>
    <w:uiPriority w:val="0"/>
    <w:rPr>
      <w:szCs w:val="20"/>
    </w:rPr>
  </w:style>
  <w:style w:type="paragraph" w:styleId="36">
    <w:name w:val="Balloon Text"/>
    <w:basedOn w:val="1"/>
    <w:link w:val="127"/>
    <w:semiHidden/>
    <w:qFormat/>
    <w:uiPriority w:val="0"/>
    <w:rPr>
      <w:sz w:val="18"/>
      <w:szCs w:val="18"/>
    </w:rPr>
  </w:style>
  <w:style w:type="paragraph" w:styleId="37">
    <w:name w:val="footer"/>
    <w:basedOn w:val="1"/>
    <w:link w:val="162"/>
    <w:qFormat/>
    <w:uiPriority w:val="99"/>
    <w:pPr>
      <w:tabs>
        <w:tab w:val="center" w:pos="4153"/>
        <w:tab w:val="right" w:pos="8306"/>
      </w:tabs>
      <w:snapToGrid w:val="0"/>
    </w:pPr>
    <w:rPr>
      <w:sz w:val="18"/>
      <w:szCs w:val="18"/>
    </w:rPr>
  </w:style>
  <w:style w:type="paragraph" w:styleId="38">
    <w:name w:val="header"/>
    <w:basedOn w:val="1"/>
    <w:link w:val="78"/>
    <w:qFormat/>
    <w:uiPriority w:val="0"/>
    <w:pPr>
      <w:tabs>
        <w:tab w:val="center" w:pos="4536"/>
        <w:tab w:val="right" w:pos="9072"/>
      </w:tabs>
    </w:pPr>
    <w:rPr>
      <w:rFonts w:ascii="Arial" w:hAnsi="Arial" w:eastAsia="MS Mincho"/>
      <w:b/>
    </w:rPr>
  </w:style>
  <w:style w:type="paragraph" w:styleId="39">
    <w:name w:val="footnote text"/>
    <w:basedOn w:val="1"/>
    <w:link w:val="72"/>
    <w:qFormat/>
    <w:uiPriority w:val="0"/>
    <w:rPr>
      <w:szCs w:val="20"/>
    </w:rPr>
  </w:style>
  <w:style w:type="paragraph" w:styleId="40">
    <w:name w:val="List 5"/>
    <w:basedOn w:val="1"/>
    <w:qFormat/>
    <w:uiPriority w:val="0"/>
    <w:pPr>
      <w:ind w:left="100" w:leftChars="800" w:hanging="200" w:hangingChars="200"/>
      <w:contextualSpacing/>
    </w:pPr>
  </w:style>
  <w:style w:type="paragraph" w:styleId="41">
    <w:name w:val="table of figures"/>
    <w:basedOn w:val="1"/>
    <w:next w:val="1"/>
    <w:uiPriority w:val="99"/>
  </w:style>
  <w:style w:type="paragraph" w:styleId="42">
    <w:name w:val="toc 9"/>
    <w:basedOn w:val="34"/>
    <w:next w:val="1"/>
    <w:qFormat/>
    <w:uiPriority w:val="39"/>
    <w:pPr>
      <w:ind w:left="1418" w:hanging="1418"/>
    </w:pPr>
  </w:style>
  <w:style w:type="paragraph" w:styleId="43">
    <w:name w:val="List 4"/>
    <w:basedOn w:val="1"/>
    <w:qFormat/>
    <w:uiPriority w:val="0"/>
    <w:pPr>
      <w:ind w:left="100" w:leftChars="600" w:hanging="200" w:hangingChars="200"/>
      <w:contextualSpacing/>
    </w:pPr>
  </w:style>
  <w:style w:type="paragraph" w:styleId="44">
    <w:name w:val="Normal (Web)"/>
    <w:basedOn w:val="1"/>
    <w:unhideWhenUsed/>
    <w:qFormat/>
    <w:uiPriority w:val="99"/>
    <w:pPr>
      <w:spacing w:before="100" w:beforeAutospacing="1" w:after="100" w:afterAutospacing="1"/>
    </w:pPr>
    <w:rPr>
      <w:sz w:val="24"/>
      <w:lang w:eastAsia="zh-CN"/>
    </w:rPr>
  </w:style>
  <w:style w:type="paragraph" w:styleId="45">
    <w:name w:val="index 1"/>
    <w:basedOn w:val="1"/>
    <w:next w:val="1"/>
    <w:qFormat/>
    <w:uiPriority w:val="0"/>
    <w:pPr>
      <w:keepLines/>
    </w:pPr>
    <w:rPr>
      <w:rFonts w:eastAsiaTheme="minorEastAsia"/>
      <w:szCs w:val="20"/>
      <w:lang w:val="en-GB"/>
    </w:rPr>
  </w:style>
  <w:style w:type="paragraph" w:styleId="46">
    <w:name w:val="index 2"/>
    <w:basedOn w:val="45"/>
    <w:next w:val="1"/>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Table Classic 3"/>
    <w:basedOn w:val="48"/>
    <w:qFormat/>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51">
    <w:name w:val="Table Grid 8"/>
    <w:basedOn w:val="48"/>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52">
    <w:name w:val="Light List Accent 6"/>
    <w:basedOn w:val="48"/>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53">
    <w:name w:val="Light Grid Accent 3"/>
    <w:basedOn w:val="48"/>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character" w:styleId="55">
    <w:name w:val="endnote reference"/>
    <w:basedOn w:val="54"/>
    <w:qFormat/>
    <w:uiPriority w:val="0"/>
    <w:rPr>
      <w:vertAlign w:val="superscript"/>
    </w:rPr>
  </w:style>
  <w:style w:type="character" w:styleId="56">
    <w:name w:val="page number"/>
    <w:basedOn w:val="54"/>
    <w:qFormat/>
    <w:uiPriority w:val="0"/>
  </w:style>
  <w:style w:type="character" w:styleId="57">
    <w:name w:val="FollowedHyperlink"/>
    <w:qFormat/>
    <w:uiPriority w:val="0"/>
    <w:rPr>
      <w:color w:val="800080"/>
      <w:u w:val="single"/>
    </w:rPr>
  </w:style>
  <w:style w:type="character" w:styleId="58">
    <w:name w:val="Emphasis"/>
    <w:qFormat/>
    <w:uiPriority w:val="20"/>
    <w:rPr>
      <w:i/>
      <w:iCs/>
    </w:rPr>
  </w:style>
  <w:style w:type="character" w:styleId="59">
    <w:name w:val="Hyperlink"/>
    <w:basedOn w:val="54"/>
    <w:unhideWhenUsed/>
    <w:qFormat/>
    <w:uiPriority w:val="99"/>
    <w:rPr>
      <w:color w:val="0000FF"/>
      <w:u w:val="single"/>
    </w:rPr>
  </w:style>
  <w:style w:type="character" w:styleId="60">
    <w:name w:val="annotation reference"/>
    <w:qFormat/>
    <w:uiPriority w:val="0"/>
    <w:rPr>
      <w:sz w:val="21"/>
      <w:szCs w:val="21"/>
    </w:rPr>
  </w:style>
  <w:style w:type="character" w:styleId="61">
    <w:name w:val="footnote reference"/>
    <w:basedOn w:val="54"/>
    <w:qFormat/>
    <w:uiPriority w:val="0"/>
    <w:rPr>
      <w:vertAlign w:val="superscript"/>
    </w:rPr>
  </w:style>
  <w:style w:type="character" w:customStyle="1" w:styleId="62">
    <w:name w:val="標號 字元"/>
    <w:link w:val="28"/>
    <w:uiPriority w:val="0"/>
    <w:rPr>
      <w:lang w:val="en-GB" w:eastAsia="en-US" w:bidi="ar-SA"/>
    </w:rPr>
  </w:style>
  <w:style w:type="paragraph" w:styleId="63">
    <w:name w:val="List Paragraph"/>
    <w:basedOn w:val="1"/>
    <w:link w:val="68"/>
    <w:qFormat/>
    <w:uiPriority w:val="34"/>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6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65">
    <w:name w:val="Comments Char"/>
    <w:link w:val="66"/>
    <w:qFormat/>
    <w:locked/>
    <w:uiPriority w:val="0"/>
    <w:rPr>
      <w:rFonts w:ascii="Arial" w:hAnsi="Arial" w:eastAsia="MS Mincho" w:cs="Arial"/>
      <w:i/>
      <w:sz w:val="18"/>
      <w:szCs w:val="24"/>
    </w:rPr>
  </w:style>
  <w:style w:type="paragraph" w:customStyle="1" w:styleId="66">
    <w:name w:val="Comments"/>
    <w:basedOn w:val="1"/>
    <w:link w:val="65"/>
    <w:qFormat/>
    <w:uiPriority w:val="0"/>
    <w:pPr>
      <w:spacing w:before="40"/>
    </w:pPr>
    <w:rPr>
      <w:rFonts w:ascii="Arial" w:hAnsi="Arial" w:eastAsia="MS Mincho"/>
      <w:i/>
      <w:sz w:val="18"/>
    </w:rPr>
  </w:style>
  <w:style w:type="character" w:customStyle="1" w:styleId="67">
    <w:name w:val="本文 字元"/>
    <w:link w:val="3"/>
    <w:qFormat/>
    <w:uiPriority w:val="0"/>
    <w:rPr>
      <w:rFonts w:eastAsia="MS Mincho"/>
      <w:szCs w:val="24"/>
      <w:lang w:eastAsia="en-US"/>
    </w:rPr>
  </w:style>
  <w:style w:type="character" w:customStyle="1" w:styleId="68">
    <w:name w:val="清單段落 字元"/>
    <w:link w:val="63"/>
    <w:qFormat/>
    <w:uiPriority w:val="34"/>
    <w:rPr>
      <w:rFonts w:eastAsia="MS Mincho"/>
      <w:lang w:val="en-GB" w:eastAsia="en-US"/>
    </w:rPr>
  </w:style>
  <w:style w:type="character" w:customStyle="1" w:styleId="69">
    <w:name w:val="Body Text Char1"/>
    <w:basedOn w:val="54"/>
    <w:qFormat/>
    <w:locked/>
    <w:uiPriority w:val="99"/>
    <w:rPr>
      <w:rFonts w:eastAsia="MS Mincho" w:cs="Times New Roman"/>
      <w:sz w:val="24"/>
      <w:szCs w:val="24"/>
      <w:lang w:eastAsia="en-US"/>
    </w:rPr>
  </w:style>
  <w:style w:type="paragraph" w:customStyle="1" w:styleId="70">
    <w:name w:val="Doc-text2"/>
    <w:basedOn w:val="1"/>
    <w:link w:val="71"/>
    <w:qFormat/>
    <w:uiPriority w:val="0"/>
    <w:pPr>
      <w:tabs>
        <w:tab w:val="left" w:pos="1622"/>
      </w:tabs>
      <w:ind w:left="1622" w:hanging="363"/>
    </w:pPr>
    <w:rPr>
      <w:rFonts w:ascii="Arial" w:hAnsi="Arial" w:eastAsia="MS Mincho"/>
      <w:lang w:val="en-GB" w:eastAsia="en-GB"/>
    </w:rPr>
  </w:style>
  <w:style w:type="character" w:customStyle="1" w:styleId="71">
    <w:name w:val="Doc-text2 Char"/>
    <w:link w:val="70"/>
    <w:qFormat/>
    <w:uiPriority w:val="0"/>
    <w:rPr>
      <w:rFonts w:ascii="Arial" w:hAnsi="Arial" w:eastAsia="MS Mincho"/>
      <w:szCs w:val="24"/>
      <w:lang w:val="en-GB" w:eastAsia="en-GB"/>
    </w:rPr>
  </w:style>
  <w:style w:type="character" w:customStyle="1" w:styleId="72">
    <w:name w:val="註腳文字 字元"/>
    <w:basedOn w:val="54"/>
    <w:link w:val="39"/>
    <w:qFormat/>
    <w:uiPriority w:val="0"/>
    <w:rPr>
      <w:rFonts w:eastAsia="Times New Roman"/>
      <w:lang w:eastAsia="en-US"/>
    </w:rPr>
  </w:style>
  <w:style w:type="character" w:customStyle="1" w:styleId="73">
    <w:name w:val="章節附註文字 字元"/>
    <w:basedOn w:val="54"/>
    <w:link w:val="35"/>
    <w:qFormat/>
    <w:uiPriority w:val="0"/>
    <w:rPr>
      <w:rFonts w:eastAsia="Times New Roman"/>
      <w:lang w:eastAsia="en-US"/>
    </w:rPr>
  </w:style>
  <w:style w:type="character" w:customStyle="1" w:styleId="74">
    <w:name w:val="apple-converted-space"/>
    <w:basedOn w:val="54"/>
    <w:qFormat/>
    <w:uiPriority w:val="0"/>
  </w:style>
  <w:style w:type="paragraph" w:customStyle="1" w:styleId="75">
    <w:name w:val="Revision"/>
    <w:hidden/>
    <w:semiHidden/>
    <w:qFormat/>
    <w:uiPriority w:val="99"/>
    <w:rPr>
      <w:rFonts w:ascii="Times New Roman" w:hAnsi="Times New Roman" w:eastAsia="Times New Roman" w:cs="Times New Roman"/>
      <w:szCs w:val="24"/>
      <w:lang w:val="en-US" w:eastAsia="en-US" w:bidi="ar-SA"/>
    </w:rPr>
  </w:style>
  <w:style w:type="paragraph" w:customStyle="1" w:styleId="76">
    <w:name w:val="TF"/>
    <w:basedOn w:val="1"/>
    <w:link w:val="77"/>
    <w:qFormat/>
    <w:uiPriority w:val="0"/>
    <w:pPr>
      <w:keepLines/>
      <w:spacing w:after="240"/>
      <w:jc w:val="center"/>
    </w:pPr>
    <w:rPr>
      <w:rFonts w:ascii="Arial" w:hAnsi="Arial" w:eastAsia="MS Mincho"/>
      <w:b/>
      <w:szCs w:val="20"/>
      <w:lang w:val="en-GB"/>
    </w:rPr>
  </w:style>
  <w:style w:type="character" w:customStyle="1" w:styleId="77">
    <w:name w:val="TF Char"/>
    <w:basedOn w:val="54"/>
    <w:link w:val="76"/>
    <w:qFormat/>
    <w:uiPriority w:val="0"/>
    <w:rPr>
      <w:rFonts w:ascii="Arial" w:hAnsi="Arial" w:eastAsia="MS Mincho"/>
      <w:b/>
      <w:lang w:val="en-GB" w:eastAsia="en-US"/>
    </w:rPr>
  </w:style>
  <w:style w:type="character" w:customStyle="1" w:styleId="78">
    <w:name w:val="頁首 字元"/>
    <w:basedOn w:val="54"/>
    <w:link w:val="38"/>
    <w:qFormat/>
    <w:uiPriority w:val="0"/>
    <w:rPr>
      <w:rFonts w:ascii="Arial" w:hAnsi="Arial" w:eastAsia="MS Mincho"/>
      <w:b/>
      <w:szCs w:val="24"/>
      <w:lang w:eastAsia="en-US"/>
    </w:rPr>
  </w:style>
  <w:style w:type="paragraph" w:customStyle="1" w:styleId="79">
    <w:name w:val="NO"/>
    <w:basedOn w:val="1"/>
    <w:link w:val="80"/>
    <w:qFormat/>
    <w:uiPriority w:val="0"/>
    <w:pPr>
      <w:keepLines/>
      <w:overflowPunct w:val="0"/>
      <w:autoSpaceDE w:val="0"/>
      <w:autoSpaceDN w:val="0"/>
      <w:adjustRightInd w:val="0"/>
      <w:spacing w:after="180"/>
      <w:ind w:left="1135" w:hanging="851"/>
      <w:textAlignment w:val="baseline"/>
    </w:pPr>
    <w:rPr>
      <w:szCs w:val="20"/>
      <w:lang w:val="en-GB"/>
    </w:rPr>
  </w:style>
  <w:style w:type="character" w:customStyle="1" w:styleId="80">
    <w:name w:val="NO Char1"/>
    <w:link w:val="79"/>
    <w:qFormat/>
    <w:uiPriority w:val="0"/>
    <w:rPr>
      <w:rFonts w:eastAsia="Times New Roman"/>
      <w:lang w:val="en-GB" w:eastAsia="en-US"/>
    </w:rPr>
  </w:style>
  <w:style w:type="paragraph" w:customStyle="1" w:styleId="81">
    <w:name w:val="B1"/>
    <w:basedOn w:val="23"/>
    <w:link w:val="84"/>
    <w:qFormat/>
    <w:uiPriority w:val="0"/>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82">
    <w:name w:val="B2"/>
    <w:basedOn w:val="31"/>
    <w:link w:val="85"/>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eastAsiaTheme="minorEastAsia"/>
      <w:sz w:val="20"/>
      <w:lang w:val="en-GB"/>
    </w:rPr>
  </w:style>
  <w:style w:type="paragraph" w:customStyle="1" w:styleId="83">
    <w:name w:val="B3"/>
    <w:basedOn w:val="13"/>
    <w:link w:val="86"/>
    <w:qFormat/>
    <w:uiPriority w:val="0"/>
    <w:pPr>
      <w:overflowPunct w:val="0"/>
      <w:autoSpaceDE w:val="0"/>
      <w:autoSpaceDN w:val="0"/>
      <w:adjustRightInd w:val="0"/>
      <w:spacing w:after="180"/>
      <w:ind w:left="1135" w:leftChars="0" w:hanging="284" w:firstLineChars="0"/>
      <w:contextualSpacing w:val="0"/>
      <w:textAlignment w:val="baseline"/>
    </w:pPr>
    <w:rPr>
      <w:rFonts w:eastAsiaTheme="minorEastAsia"/>
      <w:szCs w:val="20"/>
      <w:lang w:val="en-GB"/>
    </w:rPr>
  </w:style>
  <w:style w:type="character" w:customStyle="1" w:styleId="84">
    <w:name w:val="B1 Char"/>
    <w:link w:val="81"/>
    <w:qFormat/>
    <w:uiPriority w:val="0"/>
    <w:rPr>
      <w:rFonts w:eastAsiaTheme="minorEastAsia"/>
      <w:lang w:val="en-GB"/>
    </w:rPr>
  </w:style>
  <w:style w:type="character" w:customStyle="1" w:styleId="85">
    <w:name w:val="B2 Char"/>
    <w:link w:val="82"/>
    <w:qFormat/>
    <w:uiPriority w:val="0"/>
    <w:rPr>
      <w:rFonts w:eastAsiaTheme="minorEastAsia"/>
      <w:lang w:val="en-GB"/>
    </w:rPr>
  </w:style>
  <w:style w:type="character" w:customStyle="1" w:styleId="86">
    <w:name w:val="B3 Char"/>
    <w:link w:val="83"/>
    <w:uiPriority w:val="0"/>
    <w:rPr>
      <w:rFonts w:eastAsiaTheme="minorEastAsia"/>
      <w:lang w:val="en-GB"/>
    </w:rPr>
  </w:style>
  <w:style w:type="paragraph" w:customStyle="1" w:styleId="87">
    <w:name w:val="B4"/>
    <w:basedOn w:val="43"/>
    <w:link w:val="88"/>
    <w:qFormat/>
    <w:uiPriority w:val="0"/>
    <w:pPr>
      <w:overflowPunct w:val="0"/>
      <w:autoSpaceDE w:val="0"/>
      <w:autoSpaceDN w:val="0"/>
      <w:adjustRightInd w:val="0"/>
      <w:spacing w:after="180"/>
      <w:ind w:left="1418" w:leftChars="0" w:hanging="284" w:firstLineChars="0"/>
      <w:contextualSpacing w:val="0"/>
      <w:textAlignment w:val="baseline"/>
    </w:pPr>
    <w:rPr>
      <w:rFonts w:eastAsiaTheme="minorEastAsia"/>
      <w:szCs w:val="20"/>
      <w:lang w:val="en-GB"/>
    </w:rPr>
  </w:style>
  <w:style w:type="character" w:customStyle="1" w:styleId="88">
    <w:name w:val="B4 Char"/>
    <w:link w:val="87"/>
    <w:qFormat/>
    <w:uiPriority w:val="0"/>
    <w:rPr>
      <w:rFonts w:eastAsiaTheme="minorEastAsia"/>
      <w:lang w:val="en-GB"/>
    </w:rPr>
  </w:style>
  <w:style w:type="paragraph" w:customStyle="1" w:styleId="89">
    <w:name w:val="B5"/>
    <w:basedOn w:val="40"/>
    <w:link w:val="161"/>
    <w:qFormat/>
    <w:uiPriority w:val="0"/>
    <w:pPr>
      <w:overflowPunct w:val="0"/>
      <w:autoSpaceDE w:val="0"/>
      <w:autoSpaceDN w:val="0"/>
      <w:adjustRightInd w:val="0"/>
      <w:spacing w:after="180"/>
      <w:ind w:left="1702" w:leftChars="0" w:hanging="284" w:firstLineChars="0"/>
      <w:contextualSpacing w:val="0"/>
      <w:textAlignment w:val="baseline"/>
    </w:pPr>
    <w:rPr>
      <w:rFonts w:eastAsiaTheme="minorEastAsia"/>
      <w:szCs w:val="20"/>
      <w:lang w:val="en-GB" w:eastAsia="ko-KR"/>
    </w:rPr>
  </w:style>
  <w:style w:type="paragraph" w:customStyle="1" w:styleId="90">
    <w:name w:val="Guidance"/>
    <w:basedOn w:val="1"/>
    <w:qFormat/>
    <w:uiPriority w:val="0"/>
    <w:pPr>
      <w:spacing w:after="180"/>
    </w:pPr>
    <w:rPr>
      <w:rFonts w:eastAsia="Malgun Gothic"/>
      <w:i/>
      <w:color w:val="0000FF"/>
      <w:szCs w:val="20"/>
      <w:lang w:val="en-GB"/>
    </w:rPr>
  </w:style>
  <w:style w:type="character" w:customStyle="1" w:styleId="91">
    <w:name w:val="註解文字 字元"/>
    <w:link w:val="30"/>
    <w:qFormat/>
    <w:uiPriority w:val="99"/>
    <w:rPr>
      <w:rFonts w:eastAsia="Times New Roman"/>
      <w:szCs w:val="24"/>
      <w:lang w:eastAsia="en-US"/>
    </w:rPr>
  </w:style>
  <w:style w:type="paragraph" w:customStyle="1" w:styleId="92">
    <w:name w:val="text intend 1"/>
    <w:basedOn w:val="1"/>
    <w:qFormat/>
    <w:uiPriority w:val="0"/>
    <w:pPr>
      <w:numPr>
        <w:ilvl w:val="0"/>
        <w:numId w:val="4"/>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93">
    <w:name w:val="Proposal"/>
    <w:basedOn w:val="1"/>
    <w:qFormat/>
    <w:uiPriority w:val="0"/>
    <w:pPr>
      <w:numPr>
        <w:ilvl w:val="0"/>
        <w:numId w:val="5"/>
      </w:numPr>
      <w:tabs>
        <w:tab w:val="left" w:pos="1701"/>
        <w:tab w:val="clear" w:pos="1304"/>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94">
    <w:name w:val="標題 5 字元"/>
    <w:basedOn w:val="54"/>
    <w:link w:val="7"/>
    <w:qFormat/>
    <w:uiPriority w:val="0"/>
    <w:rPr>
      <w:rFonts w:eastAsia="Times New Roman"/>
      <w:b/>
      <w:bCs/>
      <w:sz w:val="28"/>
      <w:szCs w:val="28"/>
      <w:lang w:eastAsia="en-US"/>
    </w:rPr>
  </w:style>
  <w:style w:type="character" w:customStyle="1" w:styleId="95">
    <w:name w:val="NO Char"/>
    <w:qFormat/>
    <w:uiPriority w:val="0"/>
    <w:rPr>
      <w:lang w:val="en-GB" w:eastAsia="en-US"/>
    </w:rPr>
  </w:style>
  <w:style w:type="paragraph" w:customStyle="1" w:styleId="96">
    <w:name w:val="EQ"/>
    <w:basedOn w:val="1"/>
    <w:next w:val="1"/>
    <w:qFormat/>
    <w:uiPriority w:val="0"/>
    <w:pPr>
      <w:keepLines/>
      <w:tabs>
        <w:tab w:val="center" w:pos="4536"/>
        <w:tab w:val="right" w:pos="9072"/>
      </w:tabs>
      <w:spacing w:after="180"/>
    </w:pPr>
    <w:rPr>
      <w:rFonts w:eastAsiaTheme="minorEastAsia"/>
      <w:szCs w:val="20"/>
      <w:lang w:val="en-GB"/>
    </w:rPr>
  </w:style>
  <w:style w:type="character" w:customStyle="1" w:styleId="97">
    <w:name w:val="B1 Zchn"/>
    <w:qFormat/>
    <w:uiPriority w:val="0"/>
    <w:rPr>
      <w:lang w:eastAsia="en-US"/>
    </w:rPr>
  </w:style>
  <w:style w:type="paragraph" w:customStyle="1" w:styleId="98">
    <w:name w:val="text intend 2"/>
    <w:basedOn w:val="1"/>
    <w:uiPriority w:val="0"/>
    <w:pPr>
      <w:numPr>
        <w:ilvl w:val="0"/>
        <w:numId w:val="6"/>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99">
    <w:name w:val="TAH"/>
    <w:basedOn w:val="100"/>
    <w:link w:val="103"/>
    <w:qFormat/>
    <w:uiPriority w:val="0"/>
    <w:rPr>
      <w:b/>
    </w:rPr>
  </w:style>
  <w:style w:type="paragraph" w:customStyle="1" w:styleId="100">
    <w:name w:val="TAC"/>
    <w:basedOn w:val="1"/>
    <w:link w:val="102"/>
    <w:qFormat/>
    <w:uiPriority w:val="0"/>
    <w:pPr>
      <w:keepNext/>
      <w:keepLines/>
      <w:jc w:val="center"/>
    </w:pPr>
    <w:rPr>
      <w:rFonts w:ascii="Arial" w:hAnsi="Arial" w:eastAsia="Malgun Gothic"/>
      <w:sz w:val="18"/>
      <w:szCs w:val="20"/>
      <w:lang w:val="en-GB"/>
    </w:rPr>
  </w:style>
  <w:style w:type="paragraph" w:customStyle="1" w:styleId="101">
    <w:name w:val="TH"/>
    <w:basedOn w:val="1"/>
    <w:link w:val="104"/>
    <w:qFormat/>
    <w:uiPriority w:val="0"/>
    <w:pPr>
      <w:keepNext/>
      <w:keepLines/>
      <w:spacing w:before="60" w:after="180"/>
      <w:jc w:val="center"/>
    </w:pPr>
    <w:rPr>
      <w:rFonts w:ascii="Arial" w:hAnsi="Arial" w:eastAsia="Malgun Gothic"/>
      <w:b/>
      <w:szCs w:val="20"/>
      <w:lang w:val="en-GB"/>
    </w:rPr>
  </w:style>
  <w:style w:type="character" w:customStyle="1" w:styleId="102">
    <w:name w:val="TAC Char"/>
    <w:link w:val="100"/>
    <w:qFormat/>
    <w:uiPriority w:val="0"/>
    <w:rPr>
      <w:rFonts w:ascii="Arial" w:hAnsi="Arial" w:eastAsia="Malgun Gothic"/>
      <w:sz w:val="18"/>
      <w:lang w:val="en-GB" w:eastAsia="en-US"/>
    </w:rPr>
  </w:style>
  <w:style w:type="character" w:customStyle="1" w:styleId="103">
    <w:name w:val="TAH Car"/>
    <w:link w:val="99"/>
    <w:qFormat/>
    <w:uiPriority w:val="0"/>
    <w:rPr>
      <w:rFonts w:ascii="Arial" w:hAnsi="Arial" w:eastAsia="Malgun Gothic"/>
      <w:b/>
      <w:sz w:val="18"/>
      <w:lang w:val="en-GB" w:eastAsia="en-US"/>
    </w:rPr>
  </w:style>
  <w:style w:type="character" w:customStyle="1" w:styleId="104">
    <w:name w:val="TH Char"/>
    <w:link w:val="101"/>
    <w:qFormat/>
    <w:uiPriority w:val="0"/>
    <w:rPr>
      <w:rFonts w:ascii="Arial" w:hAnsi="Arial" w:eastAsia="Malgun Gothic"/>
      <w:b/>
      <w:lang w:val="en-GB" w:eastAsia="en-US"/>
    </w:rPr>
  </w:style>
  <w:style w:type="paragraph" w:customStyle="1" w:styleId="105">
    <w:name w:val="text"/>
    <w:basedOn w:val="1"/>
    <w:link w:val="107"/>
    <w:qFormat/>
    <w:uiPriority w:val="0"/>
    <w:pPr>
      <w:widowControl w:val="0"/>
      <w:spacing w:after="240"/>
      <w:jc w:val="both"/>
    </w:pPr>
    <w:rPr>
      <w:rFonts w:ascii="Calibri" w:hAnsi="Calibri" w:eastAsia="宋体"/>
      <w:kern w:val="2"/>
      <w:sz w:val="24"/>
      <w:szCs w:val="20"/>
      <w:lang w:eastAsia="zh-CN"/>
    </w:rPr>
  </w:style>
  <w:style w:type="paragraph" w:customStyle="1" w:styleId="106">
    <w:name w:val="bullet1"/>
    <w:basedOn w:val="105"/>
    <w:link w:val="109"/>
    <w:qFormat/>
    <w:uiPriority w:val="0"/>
    <w:pPr>
      <w:widowControl/>
      <w:numPr>
        <w:ilvl w:val="0"/>
        <w:numId w:val="7"/>
      </w:numPr>
      <w:spacing w:after="0"/>
      <w:jc w:val="left"/>
    </w:pPr>
    <w:rPr>
      <w:szCs w:val="24"/>
      <w:lang w:val="en-GB"/>
    </w:rPr>
  </w:style>
  <w:style w:type="character" w:customStyle="1" w:styleId="107">
    <w:name w:val="text Char"/>
    <w:link w:val="105"/>
    <w:uiPriority w:val="0"/>
    <w:rPr>
      <w:rFonts w:ascii="Calibri" w:hAnsi="Calibri" w:eastAsia="宋体"/>
      <w:kern w:val="2"/>
      <w:sz w:val="24"/>
    </w:rPr>
  </w:style>
  <w:style w:type="paragraph" w:customStyle="1" w:styleId="108">
    <w:name w:val="bullet2"/>
    <w:basedOn w:val="105"/>
    <w:qFormat/>
    <w:uiPriority w:val="0"/>
    <w:pPr>
      <w:widowControl/>
      <w:numPr>
        <w:ilvl w:val="1"/>
        <w:numId w:val="7"/>
      </w:numPr>
      <w:tabs>
        <w:tab w:val="left" w:pos="360"/>
      </w:tabs>
      <w:spacing w:after="0"/>
      <w:ind w:left="0" w:firstLine="0"/>
      <w:jc w:val="left"/>
    </w:pPr>
    <w:rPr>
      <w:rFonts w:ascii="Times" w:hAnsi="Times"/>
      <w:szCs w:val="24"/>
      <w:lang w:val="en-GB"/>
    </w:rPr>
  </w:style>
  <w:style w:type="character" w:customStyle="1" w:styleId="109">
    <w:name w:val="bullet1 Char"/>
    <w:link w:val="106"/>
    <w:qFormat/>
    <w:uiPriority w:val="0"/>
    <w:rPr>
      <w:rFonts w:ascii="Calibri" w:hAnsi="Calibri"/>
      <w:kern w:val="2"/>
      <w:sz w:val="24"/>
      <w:szCs w:val="24"/>
      <w:lang w:val="en-GB"/>
    </w:rPr>
  </w:style>
  <w:style w:type="paragraph" w:customStyle="1" w:styleId="110">
    <w:name w:val="bullet3"/>
    <w:basedOn w:val="105"/>
    <w:qFormat/>
    <w:uiPriority w:val="0"/>
    <w:pPr>
      <w:widowControl/>
      <w:numPr>
        <w:ilvl w:val="2"/>
        <w:numId w:val="7"/>
      </w:numPr>
      <w:tabs>
        <w:tab w:val="left" w:pos="360"/>
      </w:tabs>
      <w:spacing w:after="0"/>
      <w:ind w:left="0" w:firstLine="0"/>
      <w:jc w:val="left"/>
    </w:pPr>
    <w:rPr>
      <w:rFonts w:ascii="Times" w:hAnsi="Times" w:eastAsia="Batang"/>
      <w:kern w:val="0"/>
      <w:sz w:val="20"/>
      <w:szCs w:val="24"/>
      <w:lang w:val="en-GB" w:eastAsia="en-US"/>
    </w:rPr>
  </w:style>
  <w:style w:type="paragraph" w:customStyle="1" w:styleId="111">
    <w:name w:val="bullet4"/>
    <w:basedOn w:val="105"/>
    <w:qFormat/>
    <w:uiPriority w:val="0"/>
    <w:pPr>
      <w:widowControl/>
      <w:numPr>
        <w:ilvl w:val="3"/>
        <w:numId w:val="7"/>
      </w:numPr>
      <w:tabs>
        <w:tab w:val="left" w:pos="360"/>
      </w:tabs>
      <w:spacing w:after="0"/>
      <w:ind w:left="0" w:firstLine="0"/>
      <w:jc w:val="left"/>
    </w:pPr>
    <w:rPr>
      <w:rFonts w:ascii="Times" w:hAnsi="Times" w:eastAsia="Batang"/>
      <w:kern w:val="0"/>
      <w:sz w:val="20"/>
      <w:szCs w:val="24"/>
      <w:lang w:val="en-GB" w:eastAsia="en-US"/>
    </w:rPr>
  </w:style>
  <w:style w:type="paragraph" w:customStyle="1" w:styleId="112">
    <w:name w:val="TAL"/>
    <w:basedOn w:val="1"/>
    <w:link w:val="113"/>
    <w:qFormat/>
    <w:uiPriority w:val="0"/>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113">
    <w:name w:val="TAL Car"/>
    <w:link w:val="112"/>
    <w:qFormat/>
    <w:uiPriority w:val="0"/>
    <w:rPr>
      <w:rFonts w:ascii="Arial" w:hAnsi="Arial" w:eastAsia="Times New Roman"/>
      <w:sz w:val="18"/>
      <w:lang w:val="en-GB" w:eastAsia="ja-JP"/>
    </w:rPr>
  </w:style>
  <w:style w:type="paragraph" w:customStyle="1" w:styleId="114">
    <w:name w:val="PL"/>
    <w:link w:val="11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115">
    <w:name w:val="PL Char"/>
    <w:link w:val="114"/>
    <w:qFormat/>
    <w:uiPriority w:val="0"/>
    <w:rPr>
      <w:rFonts w:ascii="Courier New" w:hAnsi="Courier New" w:eastAsia="Times New Roman"/>
      <w:sz w:val="16"/>
    </w:rPr>
  </w:style>
  <w:style w:type="character" w:customStyle="1" w:styleId="116">
    <w:name w:val="標題 1 字元"/>
    <w:basedOn w:val="54"/>
    <w:link w:val="2"/>
    <w:qFormat/>
    <w:uiPriority w:val="0"/>
    <w:rPr>
      <w:rFonts w:ascii="Arial" w:hAnsi="Arial" w:cs="Arial"/>
      <w:b/>
      <w:bCs/>
      <w:kern w:val="32"/>
      <w:sz w:val="28"/>
      <w:szCs w:val="32"/>
    </w:rPr>
  </w:style>
  <w:style w:type="character" w:customStyle="1" w:styleId="117">
    <w:name w:val="標題 2 字元"/>
    <w:basedOn w:val="54"/>
    <w:link w:val="4"/>
    <w:qFormat/>
    <w:uiPriority w:val="0"/>
    <w:rPr>
      <w:rFonts w:ascii="Arial" w:hAnsi="Arial" w:eastAsia="MS Mincho" w:cs="Arial"/>
      <w:b/>
      <w:bCs/>
      <w:iCs/>
      <w:szCs w:val="28"/>
    </w:rPr>
  </w:style>
  <w:style w:type="character" w:customStyle="1" w:styleId="118">
    <w:name w:val="B1 Char1"/>
    <w:qFormat/>
    <w:uiPriority w:val="0"/>
    <w:rPr>
      <w:lang w:val="en-GB" w:eastAsia="en-US"/>
    </w:rPr>
  </w:style>
  <w:style w:type="paragraph" w:customStyle="1" w:styleId="119">
    <w:name w:val="B6"/>
    <w:basedOn w:val="89"/>
    <w:link w:val="163"/>
    <w:qFormat/>
    <w:uiPriority w:val="0"/>
    <w:pPr>
      <w:overflowPunct/>
      <w:autoSpaceDE/>
      <w:autoSpaceDN/>
      <w:adjustRightInd/>
      <w:ind w:left="1985"/>
      <w:textAlignment w:val="auto"/>
    </w:pPr>
    <w:rPr>
      <w:rFonts w:eastAsia="Malgun Gothic"/>
      <w:lang w:eastAsia="en-US"/>
    </w:rPr>
  </w:style>
  <w:style w:type="character" w:customStyle="1" w:styleId="120">
    <w:name w:val="標題 3 字元"/>
    <w:link w:val="5"/>
    <w:qFormat/>
    <w:uiPriority w:val="0"/>
    <w:rPr>
      <w:rFonts w:ascii="Arial" w:hAnsi="Arial" w:eastAsia="MS Mincho" w:cs="Arial"/>
      <w:b/>
      <w:bCs/>
      <w:sz w:val="26"/>
      <w:szCs w:val="26"/>
      <w:lang w:eastAsia="en-US"/>
    </w:rPr>
  </w:style>
  <w:style w:type="paragraph" w:customStyle="1" w:styleId="121">
    <w:name w:val="Doc-title"/>
    <w:basedOn w:val="1"/>
    <w:next w:val="1"/>
    <w:link w:val="122"/>
    <w:qFormat/>
    <w:uiPriority w:val="0"/>
    <w:pPr>
      <w:ind w:left="1260" w:hanging="1260"/>
    </w:pPr>
    <w:rPr>
      <w:rFonts w:ascii="Arial" w:hAnsi="Arial" w:eastAsia="MS Mincho"/>
      <w:lang w:val="en-GB" w:eastAsia="en-GB"/>
    </w:rPr>
  </w:style>
  <w:style w:type="character" w:customStyle="1" w:styleId="122">
    <w:name w:val="Doc-title Char"/>
    <w:basedOn w:val="54"/>
    <w:link w:val="121"/>
    <w:qFormat/>
    <w:uiPriority w:val="0"/>
    <w:rPr>
      <w:rFonts w:ascii="Arial" w:hAnsi="Arial" w:eastAsia="MS Mincho"/>
      <w:szCs w:val="24"/>
      <w:lang w:val="en-GB" w:eastAsia="en-GB"/>
    </w:rPr>
  </w:style>
  <w:style w:type="character" w:customStyle="1" w:styleId="123">
    <w:name w:val="keyword"/>
    <w:basedOn w:val="54"/>
    <w:qFormat/>
    <w:uiPriority w:val="0"/>
  </w:style>
  <w:style w:type="paragraph" w:customStyle="1" w:styleId="124">
    <w:name w:val="Editor's Note"/>
    <w:basedOn w:val="1"/>
    <w:link w:val="125"/>
    <w:qFormat/>
    <w:uiPriority w:val="0"/>
    <w:pPr>
      <w:keepLines/>
      <w:spacing w:after="180"/>
      <w:ind w:left="1135" w:hanging="851"/>
    </w:pPr>
    <w:rPr>
      <w:color w:val="FF0000"/>
      <w:szCs w:val="20"/>
      <w:lang w:val="en-GB"/>
    </w:rPr>
  </w:style>
  <w:style w:type="character" w:customStyle="1" w:styleId="125">
    <w:name w:val="Editor's Note Char"/>
    <w:link w:val="124"/>
    <w:qFormat/>
    <w:uiPriority w:val="0"/>
    <w:rPr>
      <w:rFonts w:eastAsia="Times New Roman"/>
      <w:color w:val="FF0000"/>
      <w:lang w:val="en-GB" w:eastAsia="en-US"/>
    </w:rPr>
  </w:style>
  <w:style w:type="paragraph" w:customStyle="1" w:styleId="126">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character" w:customStyle="1" w:styleId="127">
    <w:name w:val="註解方塊文字 字元"/>
    <w:basedOn w:val="54"/>
    <w:link w:val="36"/>
    <w:semiHidden/>
    <w:uiPriority w:val="0"/>
    <w:rPr>
      <w:rFonts w:eastAsia="Times New Roman"/>
      <w:sz w:val="18"/>
      <w:szCs w:val="18"/>
      <w:lang w:eastAsia="en-US"/>
    </w:rPr>
  </w:style>
  <w:style w:type="character" w:customStyle="1" w:styleId="128">
    <w:name w:val="B3 Char2"/>
    <w:qFormat/>
    <w:uiPriority w:val="0"/>
    <w:rPr>
      <w:rFonts w:ascii="Times New Roman" w:hAnsi="Times New Roman" w:eastAsia="Times New Roman" w:cs="Times New Roman"/>
      <w:kern w:val="0"/>
      <w:sz w:val="20"/>
      <w:szCs w:val="20"/>
      <w:lang w:val="zh-CN" w:eastAsia="zh-CN"/>
    </w:rPr>
  </w:style>
  <w:style w:type="paragraph" w:customStyle="1" w:styleId="129">
    <w:name w:val="Agreement"/>
    <w:basedOn w:val="1"/>
    <w:next w:val="70"/>
    <w:qFormat/>
    <w:uiPriority w:val="0"/>
    <w:pPr>
      <w:numPr>
        <w:ilvl w:val="0"/>
        <w:numId w:val="8"/>
      </w:numPr>
      <w:tabs>
        <w:tab w:val="left" w:pos="1980"/>
        <w:tab w:val="clear" w:pos="2250"/>
      </w:tabs>
      <w:spacing w:before="60"/>
      <w:ind w:left="1980"/>
    </w:pPr>
    <w:rPr>
      <w:rFonts w:ascii="Arial" w:hAnsi="Arial" w:eastAsia="MS Mincho"/>
      <w:b/>
      <w:lang w:val="en-GB" w:eastAsia="en-GB"/>
    </w:rPr>
  </w:style>
  <w:style w:type="character" w:customStyle="1" w:styleId="130">
    <w:name w:val="TAL Char"/>
    <w:uiPriority w:val="0"/>
    <w:rPr>
      <w:rFonts w:ascii="Arial" w:hAnsi="Arial"/>
      <w:sz w:val="18"/>
    </w:rPr>
  </w:style>
  <w:style w:type="character" w:customStyle="1" w:styleId="131">
    <w:name w:val="TAH Char"/>
    <w:qFormat/>
    <w:uiPriority w:val="0"/>
    <w:rPr>
      <w:rFonts w:ascii="Arial" w:hAnsi="Arial"/>
      <w:b/>
      <w:sz w:val="18"/>
    </w:rPr>
  </w:style>
  <w:style w:type="character" w:customStyle="1" w:styleId="132">
    <w:name w:val="標題 4 字元"/>
    <w:basedOn w:val="54"/>
    <w:link w:val="6"/>
    <w:qFormat/>
    <w:uiPriority w:val="0"/>
    <w:rPr>
      <w:rFonts w:eastAsia="MS Mincho"/>
      <w:b/>
      <w:bCs/>
      <w:sz w:val="28"/>
      <w:szCs w:val="28"/>
      <w:lang w:eastAsia="en-US"/>
    </w:rPr>
  </w:style>
  <w:style w:type="character" w:customStyle="1" w:styleId="133">
    <w:name w:val="標題 6 字元"/>
    <w:basedOn w:val="54"/>
    <w:link w:val="8"/>
    <w:qFormat/>
    <w:uiPriority w:val="0"/>
    <w:rPr>
      <w:rFonts w:ascii="Arial" w:hAnsi="Arial" w:eastAsiaTheme="minorEastAsia"/>
      <w:lang w:val="en-GB" w:eastAsia="en-US"/>
    </w:rPr>
  </w:style>
  <w:style w:type="character" w:customStyle="1" w:styleId="134">
    <w:name w:val="標題 7 字元"/>
    <w:basedOn w:val="54"/>
    <w:link w:val="10"/>
    <w:qFormat/>
    <w:uiPriority w:val="0"/>
    <w:rPr>
      <w:rFonts w:ascii="Arial" w:hAnsi="Arial" w:eastAsiaTheme="minorEastAsia"/>
      <w:lang w:val="en-GB" w:eastAsia="en-US"/>
    </w:rPr>
  </w:style>
  <w:style w:type="character" w:customStyle="1" w:styleId="135">
    <w:name w:val="標題 8 字元"/>
    <w:basedOn w:val="54"/>
    <w:link w:val="11"/>
    <w:qFormat/>
    <w:uiPriority w:val="0"/>
    <w:rPr>
      <w:rFonts w:ascii="Arial" w:hAnsi="Arial" w:eastAsiaTheme="minorEastAsia"/>
      <w:sz w:val="36"/>
      <w:lang w:val="en-GB" w:eastAsia="en-US"/>
    </w:rPr>
  </w:style>
  <w:style w:type="character" w:customStyle="1" w:styleId="136">
    <w:name w:val="標題 9 字元"/>
    <w:basedOn w:val="54"/>
    <w:link w:val="12"/>
    <w:uiPriority w:val="0"/>
    <w:rPr>
      <w:rFonts w:ascii="Arial" w:hAnsi="Arial" w:eastAsiaTheme="minorEastAsia"/>
      <w:sz w:val="36"/>
      <w:lang w:val="en-GB" w:eastAsia="en-US"/>
    </w:rPr>
  </w:style>
  <w:style w:type="paragraph" w:customStyle="1" w:styleId="137">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38">
    <w:name w:val="TT"/>
    <w:basedOn w:val="2"/>
    <w:next w:val="1"/>
    <w:qFormat/>
    <w:uiPriority w:val="0"/>
    <w:pPr>
      <w:keepLines/>
      <w:numPr>
        <w:numId w:val="0"/>
      </w:numPr>
      <w:pBdr>
        <w:top w:val="single" w:color="auto" w:sz="12" w:space="3"/>
      </w:pBdr>
      <w:spacing w:before="240" w:after="180"/>
      <w:ind w:left="1134" w:hanging="1134"/>
      <w:outlineLvl w:val="9"/>
    </w:pPr>
    <w:rPr>
      <w:rFonts w:cs="Times New Roman" w:eastAsiaTheme="minorEastAsia"/>
      <w:b w:val="0"/>
      <w:bCs w:val="0"/>
      <w:kern w:val="0"/>
      <w:sz w:val="36"/>
      <w:szCs w:val="20"/>
      <w:lang w:val="en-GB" w:eastAsia="en-US"/>
    </w:rPr>
  </w:style>
  <w:style w:type="paragraph" w:customStyle="1" w:styleId="139">
    <w:name w:val="EX"/>
    <w:basedOn w:val="1"/>
    <w:link w:val="170"/>
    <w:qFormat/>
    <w:uiPriority w:val="0"/>
    <w:pPr>
      <w:keepLines/>
      <w:spacing w:after="180"/>
      <w:ind w:left="1702" w:hanging="1418"/>
    </w:pPr>
    <w:rPr>
      <w:rFonts w:eastAsiaTheme="minorEastAsia"/>
      <w:szCs w:val="20"/>
      <w:lang w:val="en-GB"/>
    </w:rPr>
  </w:style>
  <w:style w:type="paragraph" w:customStyle="1" w:styleId="140">
    <w:name w:val="FP"/>
    <w:basedOn w:val="1"/>
    <w:qFormat/>
    <w:uiPriority w:val="0"/>
    <w:rPr>
      <w:rFonts w:eastAsiaTheme="minorEastAsia"/>
      <w:szCs w:val="20"/>
      <w:lang w:val="en-GB"/>
    </w:rPr>
  </w:style>
  <w:style w:type="paragraph" w:customStyle="1" w:styleId="141">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142">
    <w:name w:val="NW"/>
    <w:basedOn w:val="79"/>
    <w:qFormat/>
    <w:uiPriority w:val="0"/>
    <w:pPr>
      <w:overflowPunct/>
      <w:autoSpaceDE/>
      <w:autoSpaceDN/>
      <w:adjustRightInd/>
      <w:spacing w:after="0"/>
      <w:textAlignment w:val="auto"/>
    </w:pPr>
    <w:rPr>
      <w:rFonts w:eastAsiaTheme="minorEastAsia"/>
    </w:rPr>
  </w:style>
  <w:style w:type="paragraph" w:customStyle="1" w:styleId="143">
    <w:name w:val="EW"/>
    <w:basedOn w:val="139"/>
    <w:qFormat/>
    <w:uiPriority w:val="0"/>
    <w:pPr>
      <w:spacing w:after="0"/>
    </w:pPr>
  </w:style>
  <w:style w:type="paragraph" w:customStyle="1" w:styleId="144">
    <w:name w:val="NF"/>
    <w:basedOn w:val="79"/>
    <w:qFormat/>
    <w:uiPriority w:val="0"/>
    <w:pPr>
      <w:keepNext/>
      <w:overflowPunct/>
      <w:autoSpaceDE/>
      <w:autoSpaceDN/>
      <w:adjustRightInd/>
      <w:spacing w:after="0"/>
      <w:textAlignment w:val="auto"/>
    </w:pPr>
    <w:rPr>
      <w:rFonts w:ascii="Arial" w:hAnsi="Arial" w:eastAsiaTheme="minorEastAsia"/>
      <w:sz w:val="18"/>
    </w:rPr>
  </w:style>
  <w:style w:type="paragraph" w:customStyle="1" w:styleId="145">
    <w:name w:val="TAR"/>
    <w:basedOn w:val="112"/>
    <w:qFormat/>
    <w:uiPriority w:val="0"/>
    <w:pPr>
      <w:overflowPunct/>
      <w:autoSpaceDE/>
      <w:autoSpaceDN/>
      <w:adjustRightInd/>
      <w:jc w:val="right"/>
      <w:textAlignment w:val="auto"/>
    </w:pPr>
    <w:rPr>
      <w:rFonts w:eastAsiaTheme="minorEastAsia"/>
      <w:lang w:eastAsia="en-US"/>
    </w:rPr>
  </w:style>
  <w:style w:type="paragraph" w:customStyle="1" w:styleId="146">
    <w:name w:val="TAN"/>
    <w:basedOn w:val="112"/>
    <w:qFormat/>
    <w:uiPriority w:val="0"/>
    <w:pPr>
      <w:overflowPunct/>
      <w:autoSpaceDE/>
      <w:autoSpaceDN/>
      <w:adjustRightInd/>
      <w:ind w:left="851" w:hanging="851"/>
      <w:textAlignment w:val="auto"/>
    </w:pPr>
    <w:rPr>
      <w:rFonts w:eastAsiaTheme="minorEastAsia"/>
      <w:lang w:eastAsia="en-US"/>
    </w:rPr>
  </w:style>
  <w:style w:type="paragraph" w:customStyle="1" w:styleId="14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4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49">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50">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51">
    <w:name w:val="ZV"/>
    <w:basedOn w:val="150"/>
    <w:qFormat/>
    <w:uiPriority w:val="0"/>
    <w:pPr>
      <w:framePr w:y="16161"/>
    </w:pPr>
  </w:style>
  <w:style w:type="character" w:customStyle="1" w:styleId="152">
    <w:name w:val="ZGSM"/>
    <w:qFormat/>
    <w:uiPriority w:val="0"/>
  </w:style>
  <w:style w:type="paragraph" w:customStyle="1" w:styleId="153">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54">
    <w:name w:val="ZTD"/>
    <w:basedOn w:val="148"/>
    <w:qFormat/>
    <w:uiPriority w:val="0"/>
    <w:pPr>
      <w:framePr w:hRule="auto" w:y="852"/>
    </w:pPr>
    <w:rPr>
      <w:i w:val="0"/>
      <w:sz w:val="40"/>
    </w:rPr>
  </w:style>
  <w:style w:type="paragraph" w:customStyle="1" w:styleId="155">
    <w:name w:val="CR Cover Page"/>
    <w:link w:val="157"/>
    <w:qFormat/>
    <w:uiPriority w:val="0"/>
    <w:pPr>
      <w:spacing w:after="120"/>
    </w:pPr>
    <w:rPr>
      <w:rFonts w:ascii="Arial" w:hAnsi="Arial" w:cs="Times New Roman" w:eastAsiaTheme="minorEastAsia"/>
      <w:lang w:val="en-GB" w:eastAsia="en-US" w:bidi="ar-SA"/>
    </w:rPr>
  </w:style>
  <w:style w:type="paragraph" w:customStyle="1" w:styleId="156">
    <w:name w:val="tdoc-header"/>
    <w:qFormat/>
    <w:uiPriority w:val="0"/>
    <w:rPr>
      <w:rFonts w:ascii="Arial" w:hAnsi="Arial" w:cs="Times New Roman" w:eastAsiaTheme="minorEastAsia"/>
      <w:sz w:val="24"/>
      <w:lang w:val="en-GB" w:eastAsia="en-US" w:bidi="ar-SA"/>
    </w:rPr>
  </w:style>
  <w:style w:type="character" w:customStyle="1" w:styleId="157">
    <w:name w:val="CR Cover Page Zchn"/>
    <w:link w:val="155"/>
    <w:qFormat/>
    <w:uiPriority w:val="0"/>
    <w:rPr>
      <w:rFonts w:ascii="Arial" w:hAnsi="Arial" w:eastAsiaTheme="minorEastAsia"/>
      <w:lang w:val="en-GB" w:eastAsia="en-US"/>
    </w:rPr>
  </w:style>
  <w:style w:type="paragraph" w:customStyle="1" w:styleId="158">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pPr>
    <w:rPr>
      <w:rFonts w:ascii="Monotype Sorts" w:hAnsi="Monotype Sorts" w:eastAsia="Calibri" w:cs="Monotype Sorts"/>
      <w:bCs/>
      <w:i/>
      <w:sz w:val="22"/>
      <w:szCs w:val="22"/>
      <w:lang w:val="sv-SE" w:eastAsia="ko-KR"/>
    </w:rPr>
  </w:style>
  <w:style w:type="character" w:customStyle="1" w:styleId="159">
    <w:name w:val="NO Zchn"/>
    <w:qFormat/>
    <w:uiPriority w:val="0"/>
  </w:style>
  <w:style w:type="paragraph" w:customStyle="1" w:styleId="160">
    <w:name w:val="B7"/>
    <w:basedOn w:val="119"/>
    <w:link w:val="164"/>
    <w:qFormat/>
    <w:uiPriority w:val="0"/>
    <w:pPr>
      <w:ind w:left="2269"/>
    </w:pPr>
    <w:rPr>
      <w:rFonts w:eastAsiaTheme="minorEastAsia"/>
      <w:lang w:val="en-US"/>
    </w:rPr>
  </w:style>
  <w:style w:type="character" w:customStyle="1" w:styleId="161">
    <w:name w:val="B5 Char"/>
    <w:link w:val="89"/>
    <w:qFormat/>
    <w:uiPriority w:val="0"/>
    <w:rPr>
      <w:rFonts w:eastAsiaTheme="minorEastAsia"/>
      <w:lang w:val="en-GB" w:eastAsia="ko-KR"/>
    </w:rPr>
  </w:style>
  <w:style w:type="character" w:customStyle="1" w:styleId="162">
    <w:name w:val="頁尾 字元"/>
    <w:link w:val="37"/>
    <w:uiPriority w:val="99"/>
    <w:rPr>
      <w:rFonts w:eastAsia="Times New Roman"/>
      <w:sz w:val="18"/>
      <w:szCs w:val="18"/>
      <w:lang w:eastAsia="en-US"/>
    </w:rPr>
  </w:style>
  <w:style w:type="character" w:customStyle="1" w:styleId="163">
    <w:name w:val="B6 Char"/>
    <w:link w:val="119"/>
    <w:qFormat/>
    <w:uiPriority w:val="0"/>
    <w:rPr>
      <w:rFonts w:eastAsia="Malgun Gothic"/>
      <w:lang w:val="en-GB" w:eastAsia="en-US"/>
    </w:rPr>
  </w:style>
  <w:style w:type="character" w:customStyle="1" w:styleId="164">
    <w:name w:val="B7 Char"/>
    <w:link w:val="160"/>
    <w:qFormat/>
    <w:uiPriority w:val="0"/>
    <w:rPr>
      <w:rFonts w:eastAsiaTheme="minorEastAsia"/>
      <w:lang w:eastAsia="en-US"/>
    </w:rPr>
  </w:style>
  <w:style w:type="paragraph" w:customStyle="1" w:styleId="165">
    <w:name w:val="B8"/>
    <w:basedOn w:val="160"/>
    <w:qFormat/>
    <w:uiPriority w:val="0"/>
    <w:pPr>
      <w:overflowPunct w:val="0"/>
      <w:autoSpaceDE w:val="0"/>
      <w:autoSpaceDN w:val="0"/>
      <w:adjustRightInd w:val="0"/>
      <w:ind w:left="2552"/>
      <w:textAlignment w:val="baseline"/>
    </w:pPr>
    <w:rPr>
      <w:rFonts w:eastAsia="Times New Roman"/>
      <w:lang w:eastAsia="ja-JP"/>
    </w:rPr>
  </w:style>
  <w:style w:type="paragraph" w:customStyle="1" w:styleId="166">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67">
    <w:name w:val="B9"/>
    <w:basedOn w:val="165"/>
    <w:qFormat/>
    <w:uiPriority w:val="0"/>
    <w:pPr>
      <w:ind w:left="2836"/>
    </w:pPr>
  </w:style>
  <w:style w:type="paragraph" w:customStyle="1" w:styleId="168">
    <w:name w:val="B10"/>
    <w:basedOn w:val="89"/>
    <w:link w:val="169"/>
    <w:qFormat/>
    <w:uiPriority w:val="0"/>
    <w:pPr>
      <w:ind w:left="3119"/>
    </w:pPr>
    <w:rPr>
      <w:rFonts w:eastAsia="Times New Roman"/>
      <w:lang w:eastAsia="ja-JP"/>
    </w:rPr>
  </w:style>
  <w:style w:type="character" w:customStyle="1" w:styleId="169">
    <w:name w:val="B10 Char"/>
    <w:basedOn w:val="161"/>
    <w:link w:val="168"/>
    <w:uiPriority w:val="0"/>
    <w:rPr>
      <w:rFonts w:eastAsia="Times New Roman"/>
      <w:lang w:val="en-GB" w:eastAsia="ja-JP"/>
    </w:rPr>
  </w:style>
  <w:style w:type="character" w:customStyle="1" w:styleId="170">
    <w:name w:val="EX Char"/>
    <w:link w:val="139"/>
    <w:qFormat/>
    <w:locked/>
    <w:uiPriority w:val="0"/>
    <w:rPr>
      <w:rFonts w:eastAsiaTheme="minorEastAsia"/>
      <w:lang w:val="en-GB" w:eastAsia="en-US"/>
    </w:rPr>
  </w:style>
  <w:style w:type="character" w:customStyle="1" w:styleId="171">
    <w:name w:val="文件引導模式 字元"/>
    <w:basedOn w:val="54"/>
    <w:link w:val="29"/>
    <w:uiPriority w:val="0"/>
    <w:rPr>
      <w:rFonts w:eastAsia="Times New Roman"/>
      <w:szCs w:val="24"/>
      <w:shd w:val="clear" w:color="auto" w:fill="000080"/>
      <w:lang w:eastAsia="en-US"/>
    </w:rPr>
  </w:style>
  <w:style w:type="paragraph" w:customStyle="1" w:styleId="172">
    <w:name w:val="msonormal"/>
    <w:basedOn w:val="1"/>
    <w:uiPriority w:val="0"/>
    <w:pPr>
      <w:spacing w:before="100" w:beforeAutospacing="1" w:after="100" w:afterAutospacing="1"/>
    </w:pPr>
    <w:rPr>
      <w:sz w:val="24"/>
      <w:lang w:val="en-GB" w:eastAsia="ja-JP"/>
    </w:rPr>
  </w:style>
  <w:style w:type="paragraph" w:customStyle="1" w:styleId="173">
    <w:name w:val="EmailDiscussion"/>
    <w:basedOn w:val="1"/>
    <w:next w:val="174"/>
    <w:link w:val="175"/>
    <w:qFormat/>
    <w:uiPriority w:val="0"/>
    <w:pPr>
      <w:numPr>
        <w:ilvl w:val="0"/>
        <w:numId w:val="9"/>
      </w:numPr>
      <w:spacing w:before="40"/>
    </w:pPr>
    <w:rPr>
      <w:rFonts w:ascii="Arial" w:hAnsi="Arial" w:eastAsia="MS Mincho"/>
      <w:b/>
      <w:lang w:val="en-GB" w:eastAsia="en-GB"/>
    </w:rPr>
  </w:style>
  <w:style w:type="paragraph" w:customStyle="1" w:styleId="174">
    <w:name w:val="EmailDiscussion2"/>
    <w:basedOn w:val="70"/>
    <w:qFormat/>
    <w:uiPriority w:val="0"/>
  </w:style>
  <w:style w:type="character" w:customStyle="1" w:styleId="175">
    <w:name w:val="EmailDiscussion Char"/>
    <w:link w:val="173"/>
    <w:uiPriority w:val="0"/>
    <w:rPr>
      <w:rFonts w:ascii="Arial" w:hAnsi="Arial" w:eastAsia="MS Mincho"/>
      <w:b/>
      <w:szCs w:val="24"/>
      <w:lang w:val="en-GB" w:eastAsia="en-GB"/>
    </w:rPr>
  </w:style>
  <w:style w:type="character" w:customStyle="1" w:styleId="176">
    <w:name w:val="List Paragraph Char1"/>
    <w:qFormat/>
    <w:locked/>
    <w:uiPriority w:val="34"/>
    <w:rPr>
      <w:rFonts w:ascii="Times New Roman" w:hAnsi="Times New Roman"/>
      <w:kern w:val="2"/>
      <w:sz w:val="21"/>
      <w:lang w:eastAsia="ja-JP"/>
    </w:rPr>
  </w:style>
  <w:style w:type="character" w:customStyle="1" w:styleId="177">
    <w:name w:val="純文字 字元"/>
    <w:basedOn w:val="54"/>
    <w:link w:val="32"/>
    <w:uiPriority w:val="99"/>
    <w:rPr>
      <w:rFonts w:ascii="Consolas" w:hAnsi="Consolas" w:eastAsia="Calibri"/>
      <w:sz w:val="21"/>
      <w:szCs w:val="21"/>
      <w:lang w:val="en-GB" w:eastAsia="en-US"/>
    </w:rPr>
  </w:style>
  <w:style w:type="character" w:customStyle="1" w:styleId="178">
    <w:name w:val="Unresolved Mention1"/>
    <w:basedOn w:val="54"/>
    <w:semiHidden/>
    <w:unhideWhenUsed/>
    <w:uiPriority w:val="99"/>
    <w:rPr>
      <w:color w:val="605E5C"/>
      <w:shd w:val="clear" w:color="auto" w:fill="E1DFDD"/>
    </w:rPr>
  </w:style>
  <w:style w:type="character" w:customStyle="1" w:styleId="179">
    <w:name w:val="Unresolved Mention2"/>
    <w:basedOn w:val="54"/>
    <w:semiHidden/>
    <w:unhideWhenUsed/>
    <w:uiPriority w:val="99"/>
    <w:rPr>
      <w:color w:val="605E5C"/>
      <w:shd w:val="clear" w:color="auto" w:fill="E1DFDD"/>
    </w:rPr>
  </w:style>
  <w:style w:type="character" w:customStyle="1" w:styleId="180">
    <w:name w:val="Unresolved Mention3"/>
    <w:basedOn w:val="54"/>
    <w:semiHidden/>
    <w:unhideWhenUsed/>
    <w:uiPriority w:val="99"/>
    <w:rPr>
      <w:color w:val="605E5C"/>
      <w:shd w:val="clear" w:color="auto" w:fill="E1DFDD"/>
    </w:rPr>
  </w:style>
  <w:style w:type="character" w:customStyle="1" w:styleId="181">
    <w:name w:val="Unresolved Mention4"/>
    <w:basedOn w:val="5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39988E-D080-4B0C-A5B0-8C129D5962F4}">
  <ds:schemaRefs/>
</ds:datastoreItem>
</file>

<file path=customXml/itemProps3.xml><?xml version="1.0" encoding="utf-8"?>
<ds:datastoreItem xmlns:ds="http://schemas.openxmlformats.org/officeDocument/2006/customXml" ds:itemID="{5102A367-9722-4D25-A6BC-685B4C9BC729}">
  <ds:schemaRefs/>
</ds:datastoreItem>
</file>

<file path=customXml/itemProps4.xml><?xml version="1.0" encoding="utf-8"?>
<ds:datastoreItem xmlns:ds="http://schemas.openxmlformats.org/officeDocument/2006/customXml" ds:itemID="{4CE0B01A-2834-4831-8B9A-B1E2B7E1D72D}">
  <ds:schemaRefs/>
</ds:datastoreItem>
</file>

<file path=customXml/itemProps5.xml><?xml version="1.0" encoding="utf-8"?>
<ds:datastoreItem xmlns:ds="http://schemas.openxmlformats.org/officeDocument/2006/customXml" ds:itemID="{8BC4BA29-E18A-415B-B90A-96567EE309B1}">
  <ds:schemaRefs/>
</ds:datastoreItem>
</file>

<file path=docProps/app.xml><?xml version="1.0" encoding="utf-8"?>
<Properties xmlns="http://schemas.openxmlformats.org/officeDocument/2006/extended-properties" xmlns:vt="http://schemas.openxmlformats.org/officeDocument/2006/docPropsVTypes">
  <Template>Normal.dotm</Template>
  <Company>DaTang Mobile</Company>
  <Pages>4</Pages>
  <Words>1248</Words>
  <Characters>7116</Characters>
  <Lines>59</Lines>
  <Paragraphs>16</Paragraphs>
  <TotalTime>3</TotalTime>
  <ScaleCrop>false</ScaleCrop>
  <LinksUpToDate>false</LinksUpToDate>
  <CharactersWithSpaces>8348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2022-05-13T02:56:00Z</dcterms:created>
  <dc:creator>DaTang Mobile</dc:creator>
  <cp:lastModifiedBy>ZTE1</cp:lastModifiedBy>
  <cp:lastPrinted>2007-08-28T14:45:00Z</cp:lastPrinted>
  <dcterms:modified xsi:type="dcterms:W3CDTF">2022-05-13T07:49:19Z</dcterms:modified>
  <dc:title>3GPP contribution</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1611920170</vt:lpwstr>
  </property>
  <property fmtid="{D5CDD505-2E9C-101B-9397-08002B2CF9AE}" pid="8" name="KSOProductBuildVer">
    <vt:lpwstr>2052-11.8.2.9022</vt:lpwstr>
  </property>
</Properties>
</file>