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D0D" w14:textId="77777777" w:rsidR="00BC15B8" w:rsidRDefault="00F51A60">
      <w:pPr>
        <w:tabs>
          <w:tab w:val="right" w:pos="9639"/>
        </w:tabs>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outlineLvl w:val="0"/>
        <w:rPr>
          <w:rFonts w:ascii="Times New Roman" w:hAnsi="Times New Roman"/>
          <w:b/>
        </w:rPr>
      </w:pPr>
      <w:r>
        <w:rPr>
          <w:rFonts w:ascii="Times New Roman" w:hAnsi="Times New Roman"/>
          <w:b/>
        </w:rPr>
        <w:t>Online Meeting, 9th – 20th May,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14B21BEC" w14:textId="77777777" w:rsidR="00BC15B8" w:rsidRDefault="00F51A60">
      <w:pPr>
        <w:tabs>
          <w:tab w:val="left" w:pos="1815"/>
        </w:tabs>
        <w:spacing w:after="240"/>
        <w:ind w:left="1701" w:hanging="1701"/>
        <w:rPr>
          <w:rFonts w:ascii="Times New Roman" w:eastAsia="CG Times (WN)" w:hAnsi="Times New Roman"/>
          <w:bCs/>
          <w:lang w:eastAsia="ko-KR"/>
        </w:rPr>
      </w:pPr>
      <w:r>
        <w:rPr>
          <w:rFonts w:ascii="Times New Roman" w:hAnsi="Times New Roman"/>
          <w:b/>
          <w:bCs/>
        </w:rPr>
        <w:t>Title:</w:t>
      </w:r>
      <w:r>
        <w:rPr>
          <w:rFonts w:ascii="Times New Roman" w:hAnsi="Times New Roman"/>
          <w:bCs/>
        </w:rPr>
        <w:tab/>
        <w:t>Report of [AT118-e][066][eIAB]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lang w:eastAsia="ko-KR"/>
        </w:rPr>
      </w:pPr>
      <w:r>
        <w:rPr>
          <w:rFonts w:ascii="Times New Roman" w:hAnsi="Times New Roman"/>
          <w:lang w:eastAsia="ko-KR"/>
        </w:rPr>
        <w:t xml:space="preserve">This paper aims at capturing the summary of offline discussion. </w:t>
      </w:r>
    </w:p>
    <w:p w14:paraId="452526AA" w14:textId="77777777" w:rsidR="00BC15B8" w:rsidRDefault="00F51A60">
      <w:pPr>
        <w:pStyle w:val="EmailDiscussion"/>
        <w:rPr>
          <w:rFonts w:ascii="Times New Roman" w:hAnsi="Times New Roman"/>
        </w:rPr>
      </w:pPr>
      <w:bookmarkStart w:id="2" w:name="_Ref433086885"/>
      <w:r>
        <w:rPr>
          <w:rFonts w:ascii="Times New Roman" w:hAnsi="Times New Roman"/>
        </w:rPr>
        <w:t>[AT118-e][066][eIAB] BAP (Huawei)</w:t>
      </w:r>
    </w:p>
    <w:p w14:paraId="3D492678" w14:textId="77777777" w:rsidR="00BC15B8" w:rsidRDefault="00F51A60">
      <w:pPr>
        <w:pStyle w:val="EmailDiscussion2"/>
        <w:rPr>
          <w:rFonts w:ascii="Times New Roman" w:hAnsi="Times New Roman"/>
        </w:rPr>
      </w:pPr>
      <w:r>
        <w:rPr>
          <w:rFonts w:ascii="Times New Roman" w:hAnsi="Times New Roman"/>
        </w:rP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5FB17634"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ZTE, Sanechips</w:t>
      </w:r>
    </w:p>
    <w:p w14:paraId="361092B1"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SCG deactivation impact on NR eIAB</w:t>
      </w:r>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291B77F7"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Miscellaneous corrections to 38.340 for eIAB</w:t>
      </w:r>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093"/>
        <w:gridCol w:w="6303"/>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T</w:t>
            </w:r>
            <w:r>
              <w:rPr>
                <w:rFonts w:ascii="Times New Roman" w:eastAsia="SimSun" w:hAnsi="Times New Roman"/>
                <w:b/>
              </w:rPr>
              <w:t>doc</w:t>
            </w:r>
          </w:p>
        </w:tc>
        <w:tc>
          <w:tcPr>
            <w:tcW w:w="2127" w:type="dxa"/>
            <w:shd w:val="clear" w:color="auto" w:fill="auto"/>
          </w:tcPr>
          <w:p w14:paraId="1F4178D9"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R</w:t>
            </w:r>
            <w:r>
              <w:rPr>
                <w:rFonts w:ascii="Times New Roman" w:eastAsia="SimSun"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lastRenderedPageBreak/>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t>R2-2204793</w:t>
            </w:r>
          </w:p>
        </w:tc>
        <w:tc>
          <w:tcPr>
            <w:tcW w:w="2127" w:type="dxa"/>
            <w:shd w:val="clear" w:color="auto" w:fill="auto"/>
          </w:tcPr>
          <w:p w14:paraId="5691EB16"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p>
        </w:tc>
        <w:tc>
          <w:tcPr>
            <w:tcW w:w="6486" w:type="dxa"/>
            <w:shd w:val="clear" w:color="auto" w:fill="auto"/>
          </w:tcPr>
          <w:p w14:paraId="36F47DDD"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5C8D5D14"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general note in the beginning already clarifies the applied topology of each routing entry.</w:t>
            </w:r>
          </w:p>
          <w:p w14:paraId="3638A148" w14:textId="77777777" w:rsidR="00BC15B8" w:rsidRDefault="00F51A60">
            <w:pPr>
              <w:rPr>
                <w:rFonts w:ascii="Times New Roman" w:eastAsia="SimSun" w:hAnsi="Times New Roman"/>
              </w:rPr>
            </w:pPr>
            <w:r>
              <w:rPr>
                <w:rFonts w:ascii="Times New Roman" w:eastAsia="SimSun" w:hAnsi="Times New Roman"/>
              </w:rPr>
              <w:t>“</w:t>
            </w:r>
            <w:r>
              <w:rPr>
                <w:rFonts w:ascii="Times New Roman" w:eastAsia="SimSun" w:hAnsi="Times New Roman"/>
                <w:i/>
              </w:rPr>
              <w:t>In the BH Routing Configuration, the entry configured with Non-F1-terminating Topology Indicator IE applies to the BAP Data PDU considered as non-F1-terminating donor topology data, and the entry not configured with Non-F1-terminating Topology Indicator IE only applies to the BAP Data PDU not considered as non-F1-terminating donor topology data.</w:t>
            </w:r>
            <w:r>
              <w:rPr>
                <w:rFonts w:ascii="Times New Roman" w:eastAsia="SimSun"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5.2.1.4.1, 5.2.1.4.2</w:t>
            </w:r>
          </w:p>
        </w:tc>
        <w:tc>
          <w:tcPr>
            <w:tcW w:w="6486" w:type="dxa"/>
            <w:shd w:val="clear" w:color="auto" w:fill="auto"/>
          </w:tcPr>
          <w:p w14:paraId="3DC042C2"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3CDDBE7"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w:t>
            </w:r>
            <w:r>
              <w:rPr>
                <w:rFonts w:ascii="Times New Roman" w:eastAsia="SimSun" w:hAnsi="Times New Roman"/>
                <w:i/>
              </w:rPr>
              <w:t>, belonging to topology indicated by Ingress Non-F1-terminating Topology Indicator IE in F1AP,</w:t>
            </w:r>
            <w:r>
              <w:rPr>
                <w:rFonts w:ascii="Times New Roman" w:eastAsia="SimSun"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5.2.1.4.3</w:t>
            </w:r>
          </w:p>
        </w:tc>
        <w:tc>
          <w:tcPr>
            <w:tcW w:w="6486" w:type="dxa"/>
            <w:shd w:val="clear" w:color="auto" w:fill="auto"/>
          </w:tcPr>
          <w:p w14:paraId="1462FD9D" w14:textId="77777777" w:rsidR="00BC15B8" w:rsidRDefault="00F51A60">
            <w:pPr>
              <w:spacing w:before="60"/>
              <w:rPr>
                <w:rFonts w:ascii="Times New Roman" w:eastAsia="SimSun" w:hAnsi="Times New Roman"/>
              </w:rPr>
            </w:pPr>
            <w:r>
              <w:rPr>
                <w:rFonts w:ascii="Times New Roman" w:eastAsia="SimSun" w:hAnsi="Times New Roman"/>
                <w:b/>
              </w:rPr>
              <w:t>To be merged to Rapp CR and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SimSun"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t xml:space="preserve">[Rapp]: </w:t>
            </w:r>
            <w:r>
              <w:rPr>
                <w:rFonts w:ascii="Times New Roman" w:hAnsi="Times New Roman" w:hint="eastAsia"/>
              </w:rPr>
              <w:t>S</w:t>
            </w:r>
            <w:r>
              <w:rPr>
                <w:rFonts w:ascii="Times New Roman" w:hAnsi="Times New Roman"/>
              </w:rPr>
              <w:t>imilar to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SimSun" w:hAnsi="Times New Roman"/>
              </w:rPr>
            </w:pPr>
            <w:r>
              <w:rPr>
                <w:rFonts w:ascii="Times New Roman" w:eastAsia="SimSun" w:hAnsi="Times New Roman" w:hint="eastAsia"/>
                <w:b/>
              </w:rPr>
              <w:t>S</w:t>
            </w:r>
            <w:r>
              <w:rPr>
                <w:rFonts w:ascii="Times New Roman" w:eastAsia="SimSun"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SimSun"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 xml:space="preserve">consider this BAP </w:t>
            </w:r>
            <w:r>
              <w:rPr>
                <w:rFonts w:ascii="Times New Roman" w:hAnsi="Times New Roman"/>
                <w:i/>
              </w:rPr>
              <w:lastRenderedPageBreak/>
              <w:t>Data PDU to be routed in the non-F1-terminating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SimSun" w:hAnsi="Times New Roman"/>
                <w:b/>
              </w:rPr>
            </w:pPr>
            <w:r>
              <w:rPr>
                <w:rFonts w:ascii="Times New Roman" w:eastAsia="SimSun" w:hAnsi="Times New Roman" w:hint="eastAsia"/>
                <w:b/>
              </w:rPr>
              <w:lastRenderedPageBreak/>
              <w:t>N</w:t>
            </w:r>
            <w:r>
              <w:rPr>
                <w:rFonts w:ascii="Times New Roman" w:eastAsia="SimSun"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lastRenderedPageBreak/>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r>
              <w:rPr>
                <w:rFonts w:ascii="Times New Roman" w:hAnsi="Times New Roman"/>
                <w:i/>
              </w:rPr>
              <w:t>Non-F1-terminating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SimSun" w:hAnsi="Times New Roman"/>
              </w:rPr>
            </w:pPr>
            <w:r>
              <w:rPr>
                <w:rFonts w:ascii="Times New Roman" w:eastAsia="SimSun" w:hAnsi="Times New Roman" w:hint="eastAsia"/>
              </w:rPr>
              <w:t>O</w:t>
            </w:r>
            <w:r>
              <w:rPr>
                <w:rFonts w:ascii="Times New Roman" w:eastAsia="SimSun" w:hAnsi="Times New Roman"/>
              </w:rPr>
              <w:t>ther details</w:t>
            </w:r>
          </w:p>
        </w:tc>
        <w:tc>
          <w:tcPr>
            <w:tcW w:w="6486" w:type="dxa"/>
            <w:shd w:val="clear" w:color="auto" w:fill="auto"/>
          </w:tcPr>
          <w:p w14:paraId="0703DFA2"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3AA6F8FB" w14:textId="77777777" w:rsidR="00BC15B8" w:rsidRDefault="00F51A60">
            <w:pPr>
              <w:spacing w:before="60"/>
              <w:rPr>
                <w:rFonts w:ascii="Times New Roman" w:eastAsia="SimSun" w:hAnsi="Times New Roman"/>
                <w:b/>
              </w:rPr>
            </w:pPr>
            <w:r>
              <w:rPr>
                <w:rFonts w:ascii="Times New Roman" w:hAnsi="Times New Roman"/>
              </w:rPr>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suggestion,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235"/>
        <w:gridCol w:w="5610"/>
      </w:tblGrid>
      <w:tr w:rsidR="00BC15B8" w14:paraId="3C891DA6" w14:textId="77777777">
        <w:tc>
          <w:tcPr>
            <w:tcW w:w="1809" w:type="dxa"/>
            <w:shd w:val="clear" w:color="auto" w:fill="auto"/>
          </w:tcPr>
          <w:p w14:paraId="66A520D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2268" w:type="dxa"/>
            <w:shd w:val="clear" w:color="auto" w:fill="auto"/>
          </w:tcPr>
          <w:p w14:paraId="67EB034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Tdoc/changed section</w:t>
            </w:r>
          </w:p>
        </w:tc>
        <w:tc>
          <w:tcPr>
            <w:tcW w:w="5778" w:type="dxa"/>
            <w:shd w:val="clear" w:color="auto" w:fill="auto"/>
          </w:tcPr>
          <w:p w14:paraId="3DE95C5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7BE22030" w14:textId="77777777">
        <w:tc>
          <w:tcPr>
            <w:tcW w:w="1809" w:type="dxa"/>
            <w:shd w:val="clear" w:color="auto" w:fill="auto"/>
          </w:tcPr>
          <w:p w14:paraId="7343362E" w14:textId="77777777" w:rsidR="00BC15B8" w:rsidRDefault="00F51A60">
            <w:pPr>
              <w:spacing w:beforeLines="50" w:before="120" w:afterLines="50" w:after="120"/>
              <w:rPr>
                <w:rFonts w:ascii="Times New Roman" w:eastAsia="SimSun" w:hAnsi="Times New Roman"/>
              </w:rPr>
            </w:pPr>
            <w:ins w:id="3" w:author="Fujitsu" w:date="2022-05-13T11:54:00Z">
              <w:r>
                <w:rPr>
                  <w:rFonts w:ascii="Times New Roman" w:eastAsia="SimSun" w:hAnsi="Times New Roman"/>
                </w:rPr>
                <w:t>Fujitsu</w:t>
              </w:r>
            </w:ins>
          </w:p>
        </w:tc>
        <w:tc>
          <w:tcPr>
            <w:tcW w:w="2268"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778" w:type="dxa"/>
            <w:shd w:val="clear" w:color="auto" w:fill="auto"/>
          </w:tcPr>
          <w:p w14:paraId="4A3C06EA" w14:textId="77777777" w:rsidR="00BC15B8" w:rsidRPr="00BC15B8" w:rsidRDefault="00F51A60">
            <w:pPr>
              <w:spacing w:beforeLines="50" w:before="120" w:afterLines="50" w:after="120"/>
              <w:rPr>
                <w:rFonts w:ascii="Times New Roman" w:eastAsia="DengXian" w:hAnsi="Times New Roman"/>
                <w:rPrChange w:id="4" w:author="Fujitsu" w:date="2022-05-13T11:54:00Z">
                  <w:rPr>
                    <w:rFonts w:ascii="Times New Roman" w:hAnsi="Times New Roman"/>
                  </w:rPr>
                </w:rPrChange>
              </w:rPr>
            </w:pPr>
            <w:ins w:id="5" w:author="Fujitsu" w:date="2022-05-13T11:54:00Z">
              <w:r>
                <w:rPr>
                  <w:rFonts w:ascii="Times New Roman" w:eastAsia="DengXian" w:hAnsi="Times New Roman" w:hint="eastAsia"/>
                </w:rPr>
                <w:t>A</w:t>
              </w:r>
              <w:r>
                <w:rPr>
                  <w:rFonts w:ascii="Times New Roman" w:eastAsia="DengXian" w:hAnsi="Times New Roman"/>
                </w:rPr>
                <w:t>gree with rapporteur’s suggestion.</w:t>
              </w:r>
            </w:ins>
          </w:p>
        </w:tc>
      </w:tr>
      <w:tr w:rsidR="00BC15B8" w14:paraId="251C5906" w14:textId="77777777">
        <w:tc>
          <w:tcPr>
            <w:tcW w:w="1809" w:type="dxa"/>
            <w:shd w:val="clear" w:color="auto" w:fill="auto"/>
          </w:tcPr>
          <w:p w14:paraId="2CF9C1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2268" w:type="dxa"/>
            <w:shd w:val="clear" w:color="auto" w:fill="auto"/>
          </w:tcPr>
          <w:p w14:paraId="048DCD8B"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hint="eastAsia"/>
              </w:rPr>
              <w:t xml:space="preserve"> and </w:t>
            </w:r>
            <w:r>
              <w:rPr>
                <w:rFonts w:ascii="Times New Roman" w:eastAsia="SimSun" w:hAnsi="Times New Roman"/>
              </w:rPr>
              <w:t>5.2.1.4.1, 5.2.1.4.2</w:t>
            </w:r>
          </w:p>
        </w:tc>
        <w:tc>
          <w:tcPr>
            <w:tcW w:w="5778" w:type="dxa"/>
            <w:shd w:val="clear" w:color="auto" w:fill="auto"/>
          </w:tcPr>
          <w:p w14:paraId="4F12F3B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It is suggested to have separate field description of</w:t>
            </w:r>
            <w:r>
              <w:rPr>
                <w:rFonts w:ascii="Times New Roman" w:eastAsia="SimSun" w:hAnsi="Times New Roman"/>
              </w:rPr>
              <w:t xml:space="preserve"> </w:t>
            </w:r>
            <w:r>
              <w:rPr>
                <w:rFonts w:ascii="Times New Roman" w:hAnsi="Times New Roman"/>
                <w:i/>
              </w:rPr>
              <w:t xml:space="preserve">Non-F1-terminating Topology Indicator </w:t>
            </w:r>
            <w:r>
              <w:rPr>
                <w:rFonts w:ascii="Times New Roman" w:hAnsi="Times New Roma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SimSun" w:hAnsi="Times New Roman"/>
              </w:rPr>
              <w:t xml:space="preserve"> and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rPr>
              <w:t xml:space="preserve"> for </w:t>
            </w:r>
            <w:r>
              <w:rPr>
                <w:rFonts w:ascii="Times New Roman" w:hAnsi="Times New Roma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rPr>
              <w:t xml:space="preserve"> for </w:t>
            </w:r>
            <w:r>
              <w:rPr>
                <w:rFonts w:ascii="Times New Roman" w:hAnsi="Times New Roman"/>
              </w:rPr>
              <w:t>each entry of the Uplink Traffic to BH RLC Channel Mapping Configuration</w:t>
            </w:r>
            <w:r>
              <w:rPr>
                <w:rFonts w:ascii="Times New Roman" w:hAnsi="Times New Roman" w:hint="eastAsia"/>
              </w:rPr>
              <w:t xml:space="preserve">. In addition, the routing procedure and BH RLC channel mapping procedure should include the topology check, which follows legacy conventions and is helpful for the implementation.   </w:t>
            </w:r>
          </w:p>
        </w:tc>
      </w:tr>
      <w:tr w:rsidR="00993621" w14:paraId="40BF2C6D" w14:textId="77777777">
        <w:tc>
          <w:tcPr>
            <w:tcW w:w="1809" w:type="dxa"/>
            <w:shd w:val="clear" w:color="auto" w:fill="auto"/>
          </w:tcPr>
          <w:p w14:paraId="06F0D0CA" w14:textId="033A9E20" w:rsidR="00993621" w:rsidRDefault="00993621">
            <w:pPr>
              <w:spacing w:beforeLines="50" w:before="120" w:afterLines="50" w:after="120"/>
              <w:rPr>
                <w:rFonts w:ascii="Times New Roman" w:eastAsia="SimSun" w:hAnsi="Times New Roman"/>
              </w:rPr>
            </w:pPr>
            <w:r>
              <w:rPr>
                <w:rFonts w:ascii="Times New Roman" w:eastAsia="SimSun" w:hAnsi="Times New Roman"/>
              </w:rPr>
              <w:t>Apple</w:t>
            </w:r>
          </w:p>
        </w:tc>
        <w:tc>
          <w:tcPr>
            <w:tcW w:w="2268" w:type="dxa"/>
            <w:shd w:val="clear" w:color="auto" w:fill="auto"/>
          </w:tcPr>
          <w:p w14:paraId="5F868F27" w14:textId="194ED221" w:rsidR="00993621" w:rsidRDefault="00993621">
            <w:pPr>
              <w:spacing w:beforeLines="50" w:before="120" w:afterLines="50" w:after="120"/>
              <w:rPr>
                <w:rFonts w:ascii="Times New Roman" w:eastAsia="SimSun" w:hAnsi="Times New Roman"/>
              </w:rPr>
            </w:pPr>
            <w:r>
              <w:rPr>
                <w:rFonts w:ascii="Times New Roman" w:eastAsia="SimSun" w:hAnsi="Times New Roman"/>
              </w:rPr>
              <w:t>R2-2204881, Proposal 1</w:t>
            </w:r>
          </w:p>
        </w:tc>
        <w:tc>
          <w:tcPr>
            <w:tcW w:w="5778" w:type="dxa"/>
            <w:shd w:val="clear" w:color="auto" w:fill="auto"/>
          </w:tcPr>
          <w:p w14:paraId="482EA6BB" w14:textId="2502983C" w:rsidR="00340F0D" w:rsidRDefault="00340F0D" w:rsidP="00993621">
            <w:pPr>
              <w:spacing w:beforeLines="50" w:before="120" w:afterLines="50" w:after="120"/>
              <w:rPr>
                <w:rFonts w:ascii="Times New Roman" w:eastAsia="SimSun" w:hAnsi="Times New Roman"/>
              </w:rPr>
            </w:pPr>
            <w:r w:rsidRPr="00340F0D">
              <w:rPr>
                <w:rFonts w:ascii="Times New Roman" w:eastAsia="SimSun" w:hAnsi="Times New Roman"/>
              </w:rPr>
              <w:t xml:space="preserve">Not sure </w:t>
            </w:r>
            <w:r w:rsidR="00D90A69">
              <w:rPr>
                <w:rFonts w:ascii="Times New Roman" w:eastAsia="SimSun" w:hAnsi="Times New Roman"/>
              </w:rPr>
              <w:t xml:space="preserve">this </w:t>
            </w:r>
            <w:r w:rsidRPr="00340F0D">
              <w:rPr>
                <w:rFonts w:ascii="Times New Roman" w:eastAsia="SimSun" w:hAnsi="Times New Roman"/>
              </w:rPr>
              <w:t xml:space="preserve">is needed </w:t>
            </w:r>
            <w:r>
              <w:rPr>
                <w:rFonts w:ascii="Times New Roman" w:eastAsia="SimSun" w:hAnsi="Times New Roman"/>
              </w:rPr>
              <w:t xml:space="preserve">or </w:t>
            </w:r>
            <w:r w:rsidRPr="00340F0D">
              <w:rPr>
                <w:rFonts w:ascii="Times New Roman" w:eastAsia="SimSun" w:hAnsi="Times New Roman"/>
              </w:rPr>
              <w:t>makes a difference. It may be acceptable</w:t>
            </w:r>
            <w:r w:rsidR="001D08BD">
              <w:rPr>
                <w:rFonts w:ascii="Times New Roman" w:eastAsia="SimSun" w:hAnsi="Times New Roman"/>
              </w:rPr>
              <w:t xml:space="preserve"> to us</w:t>
            </w:r>
            <w:r w:rsidRPr="00340F0D">
              <w:rPr>
                <w:rFonts w:ascii="Times New Roman" w:eastAsia="SimSun" w:hAnsi="Times New Roman"/>
              </w:rPr>
              <w:t>. However, according to clause 5.3.1.2 and 6.3.9 the available buffer size is given “per BAP routing ID”</w:t>
            </w:r>
            <w:r>
              <w:rPr>
                <w:rFonts w:ascii="Times New Roman" w:eastAsia="SimSun" w:hAnsi="Times New Roman"/>
              </w:rPr>
              <w:t xml:space="preserve">, </w:t>
            </w:r>
            <w:r w:rsidRPr="00340F0D">
              <w:rPr>
                <w:rFonts w:ascii="Times New Roman" w:eastAsia="SimSun" w:hAnsi="Times New Roman"/>
              </w:rPr>
              <w:t>indicated by a BAP Control PDU for flow control feedback</w:t>
            </w:r>
            <w:r>
              <w:rPr>
                <w:rFonts w:ascii="Times New Roman" w:eastAsia="SimSun" w:hAnsi="Times New Roman"/>
              </w:rPr>
              <w:t>.</w:t>
            </w:r>
          </w:p>
        </w:tc>
      </w:tr>
      <w:tr w:rsidR="008501FB" w14:paraId="5A34753C" w14:textId="77777777">
        <w:tc>
          <w:tcPr>
            <w:tcW w:w="1809"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SimSun" w:hAnsi="Times New Roman"/>
              </w:rPr>
              <w:t>Apple</w:t>
            </w:r>
          </w:p>
        </w:tc>
        <w:tc>
          <w:tcPr>
            <w:tcW w:w="2268"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778"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tc>
          <w:tcPr>
            <w:tcW w:w="1809" w:type="dxa"/>
            <w:shd w:val="clear" w:color="auto" w:fill="auto"/>
          </w:tcPr>
          <w:p w14:paraId="4787742A" w14:textId="130CC9E7" w:rsidR="00993621" w:rsidRPr="00060652" w:rsidRDefault="00E66B70" w:rsidP="008501FB">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2268" w:type="dxa"/>
            <w:shd w:val="clear" w:color="auto" w:fill="auto"/>
          </w:tcPr>
          <w:p w14:paraId="328041E8" w14:textId="7AFEA4E5" w:rsidR="00993621" w:rsidRDefault="00E66B70" w:rsidP="008501FB">
            <w:pPr>
              <w:spacing w:beforeLines="50" w:before="120" w:afterLines="50" w:after="120"/>
              <w:rPr>
                <w:rFonts w:ascii="Times New Roman" w:hAnsi="Times New Roman"/>
              </w:rPr>
            </w:pPr>
            <w:r>
              <w:rPr>
                <w:rFonts w:ascii="Times New Roman" w:hAnsi="Times New Roman"/>
              </w:rPr>
              <w:t xml:space="preserve">R2-2204793, </w:t>
            </w:r>
            <w:r>
              <w:rPr>
                <w:rFonts w:ascii="Times New Roman" w:eastAsia="SimSun" w:hAnsi="Times New Roman" w:hint="eastAsia"/>
              </w:rPr>
              <w:t>C</w:t>
            </w:r>
            <w:r>
              <w:rPr>
                <w:rFonts w:ascii="Times New Roman" w:eastAsia="SimSun" w:hAnsi="Times New Roman"/>
              </w:rPr>
              <w:t xml:space="preserve">hanges in 5.2.1.3, </w:t>
            </w:r>
            <w:r>
              <w:rPr>
                <w:rFonts w:ascii="Times New Roman" w:eastAsia="SimSun" w:hAnsi="Times New Roman" w:hint="eastAsia"/>
              </w:rPr>
              <w:t>C</w:t>
            </w:r>
            <w:r>
              <w:rPr>
                <w:rFonts w:ascii="Times New Roman" w:eastAsia="SimSun" w:hAnsi="Times New Roman"/>
              </w:rPr>
              <w:t>hanges in 5.2.1.4.1, 5.2.1.4.2</w:t>
            </w:r>
          </w:p>
        </w:tc>
        <w:tc>
          <w:tcPr>
            <w:tcW w:w="5778" w:type="dxa"/>
            <w:shd w:val="clear" w:color="auto" w:fill="auto"/>
          </w:tcPr>
          <w:p w14:paraId="7D6D222A" w14:textId="2D09B557" w:rsidR="00993621" w:rsidRDefault="00E66B70" w:rsidP="008501FB">
            <w:pPr>
              <w:spacing w:beforeLines="50" w:before="120" w:afterLines="50" w:after="120"/>
              <w:rPr>
                <w:rFonts w:ascii="Times New Roman" w:hAnsi="Times New Roman"/>
              </w:rPr>
            </w:pPr>
            <w:r>
              <w:rPr>
                <w:rFonts w:ascii="Times New Roman" w:hAnsi="Times New Roman"/>
              </w:rPr>
              <w:t>No strong view, the text indicated by the rapporteur seems however enough exhaustive without further complicating the procedural text</w:t>
            </w:r>
            <w:r w:rsidR="001F3D84">
              <w:rPr>
                <w:rFonts w:ascii="Times New Roman" w:hAnsi="Times New Roman"/>
              </w:rPr>
              <w:t>.</w:t>
            </w:r>
          </w:p>
        </w:tc>
      </w:tr>
      <w:tr w:rsidR="00BC15B8" w14:paraId="0BB5F4DA" w14:textId="77777777">
        <w:tc>
          <w:tcPr>
            <w:tcW w:w="1809" w:type="dxa"/>
            <w:shd w:val="clear" w:color="auto" w:fill="auto"/>
          </w:tcPr>
          <w:p w14:paraId="298254F7" w14:textId="682902A6" w:rsidR="00BC15B8" w:rsidRDefault="0036560F">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08025D3A" w14:textId="1149DE49" w:rsidR="00BC15B8" w:rsidRDefault="0036560F">
            <w:pPr>
              <w:spacing w:beforeLines="50" w:before="120" w:afterLines="50" w:after="120"/>
              <w:rPr>
                <w:rFonts w:ascii="Times New Roman" w:hAnsi="Times New Roman"/>
              </w:rPr>
            </w:pPr>
            <w:r>
              <w:rPr>
                <w:rFonts w:ascii="Times New Roman" w:hAnsi="Times New Roman"/>
              </w:rPr>
              <w:t>R2-2204881 P1</w:t>
            </w:r>
          </w:p>
        </w:tc>
        <w:tc>
          <w:tcPr>
            <w:tcW w:w="5778" w:type="dxa"/>
            <w:shd w:val="clear" w:color="auto" w:fill="auto"/>
          </w:tcPr>
          <w:p w14:paraId="5DBF3736" w14:textId="68F2D58E" w:rsidR="00BC15B8" w:rsidRDefault="0036560F">
            <w:pPr>
              <w:spacing w:beforeLines="50" w:before="120" w:afterLines="50" w:after="120"/>
              <w:rPr>
                <w:rFonts w:ascii="Times New Roman" w:hAnsi="Times New Roman"/>
              </w:rPr>
            </w:pPr>
            <w:r>
              <w:rPr>
                <w:rFonts w:ascii="Times New Roman" w:hAnsi="Times New Roman"/>
              </w:rPr>
              <w:t>Not sure about the intention. The NOTE is already clear that the link congestion affects a certain BAP routing based on the flow control feedback.</w:t>
            </w:r>
          </w:p>
        </w:tc>
      </w:tr>
      <w:tr w:rsidR="00BC15B8" w14:paraId="097BA68C" w14:textId="77777777">
        <w:tc>
          <w:tcPr>
            <w:tcW w:w="1809" w:type="dxa"/>
            <w:shd w:val="clear" w:color="auto" w:fill="auto"/>
          </w:tcPr>
          <w:p w14:paraId="5E7F07B1" w14:textId="363DD881" w:rsidR="00BC15B8" w:rsidRDefault="00A23907">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4A56E97E" w14:textId="0B38FD08" w:rsidR="00BC15B8" w:rsidRDefault="00F62548">
            <w:pPr>
              <w:spacing w:beforeLines="50" w:before="120" w:afterLines="50" w:after="120"/>
              <w:rPr>
                <w:rFonts w:ascii="Times New Roman" w:hAnsi="Times New Roman"/>
              </w:rPr>
            </w:pPr>
            <w:r w:rsidRPr="00F62548">
              <w:rPr>
                <w:rFonts w:ascii="Times New Roman" w:hAnsi="Times New Roman"/>
              </w:rPr>
              <w:t>R2-2206040</w:t>
            </w:r>
          </w:p>
        </w:tc>
        <w:tc>
          <w:tcPr>
            <w:tcW w:w="5778" w:type="dxa"/>
            <w:shd w:val="clear" w:color="auto" w:fill="auto"/>
          </w:tcPr>
          <w:p w14:paraId="3D3945B4" w14:textId="77777777" w:rsidR="00A23907" w:rsidRDefault="00A23907" w:rsidP="00A23907">
            <w:pPr>
              <w:pStyle w:val="B10"/>
              <w:rPr>
                <w:rFonts w:ascii="Times New Roman" w:hAnsi="Times New Roman"/>
              </w:rPr>
            </w:pPr>
            <w:r>
              <w:rPr>
                <w:rFonts w:ascii="Times New Roman" w:hAnsi="Times New Roman"/>
              </w:rPr>
              <w:t>Not sure about the intention of this change:</w:t>
            </w:r>
          </w:p>
          <w:p w14:paraId="68B32D28" w14:textId="32DC01AE" w:rsidR="00A23907" w:rsidRDefault="00A23907" w:rsidP="00A23907">
            <w:pPr>
              <w:pStyle w:val="B10"/>
              <w:rPr>
                <w:rFonts w:ascii="Times New Roman" w:eastAsia="Times New Roman" w:hAnsi="Times New Roman" w:cs="Times New Roman"/>
                <w:sz w:val="20"/>
                <w:szCs w:val="20"/>
              </w:rPr>
            </w:pPr>
            <w:r>
              <w:rPr>
                <w:rFonts w:ascii="Times New Roman" w:hAnsi="Times New Roman"/>
              </w:rPr>
              <w:br/>
            </w:r>
            <w:r>
              <w:t>-</w:t>
            </w:r>
            <w:r>
              <w:tab/>
              <w:t>else if</w:t>
            </w:r>
            <w:ins w:id="6" w:author="QCOM2" w:date="2022-04-13T15:24:00Z">
              <w:r>
                <w:t xml:space="preserve"> the BAP entity belongs to the </w:t>
              </w:r>
            </w:ins>
            <w:del w:id="7" w:author="QCOM2" w:date="2022-04-13T15:24:00Z">
              <w:r>
                <w:delText xml:space="preserve">, </w:delText>
              </w:r>
              <w:r>
                <w:rPr>
                  <w:lang w:eastAsia="ko-KR"/>
                </w:rPr>
                <w:delText>for the</w:delText>
              </w:r>
              <w:r>
                <w:delText xml:space="preserve"> transmitting part of</w:delText>
              </w:r>
              <w:r>
                <w:rPr>
                  <w:lang w:eastAsia="ko-KR"/>
                </w:rPr>
                <w:delText xml:space="preserve"> </w:delText>
              </w:r>
            </w:del>
            <w:r>
              <w:rPr>
                <w:lang w:eastAsia="ko-KR"/>
              </w:rPr>
              <w:t>IAB-MT</w:t>
            </w:r>
            <w:del w:id="8" w:author="QCOM2" w:date="2022-04-13T15:24:00Z">
              <w:r>
                <w:rPr>
                  <w:lang w:eastAsia="ko-KR"/>
                </w:rPr>
                <w:delText>,</w:delText>
              </w:r>
            </w:del>
            <w:r>
              <w:rPr>
                <w:lang w:eastAsia="ko-KR"/>
              </w:rPr>
              <w:t xml:space="preserve"> </w:t>
            </w:r>
            <w:ins w:id="9" w:author="QCOM2" w:date="2022-04-13T15:24:00Z">
              <w:r>
                <w:rPr>
                  <w:lang w:eastAsia="ko-KR"/>
                </w:rPr>
                <w:t xml:space="preserve">and </w:t>
              </w:r>
            </w:ins>
            <w:r>
              <w:t xml:space="preserve">at least one egress link is available, and if </w:t>
            </w:r>
            <w:r>
              <w:rPr>
                <w:i/>
              </w:rPr>
              <w:t>Re-routing Disable Indicator</w:t>
            </w:r>
            <w:r>
              <w:t xml:space="preserve"> IE is not configured by F1AP:</w:t>
            </w:r>
          </w:p>
          <w:p w14:paraId="03485899" w14:textId="74DA6938" w:rsidR="00BC15B8" w:rsidRDefault="00A23907">
            <w:pPr>
              <w:spacing w:beforeLines="50" w:before="120" w:afterLines="50" w:after="120"/>
              <w:rPr>
                <w:rFonts w:ascii="Times New Roman" w:hAnsi="Times New Roman"/>
              </w:rPr>
            </w:pPr>
            <w:r>
              <w:rPr>
                <w:rFonts w:ascii="Times New Roman" w:hAnsi="Times New Roman"/>
              </w:rPr>
              <w:t>We prefer the original wording.</w:t>
            </w:r>
          </w:p>
        </w:tc>
      </w:tr>
      <w:tr w:rsidR="00DE5818" w14:paraId="2C1673B2" w14:textId="77777777">
        <w:tc>
          <w:tcPr>
            <w:tcW w:w="1809" w:type="dxa"/>
            <w:shd w:val="clear" w:color="auto" w:fill="auto"/>
          </w:tcPr>
          <w:p w14:paraId="27654C33" w14:textId="000F4273" w:rsidR="00DE5818" w:rsidRDefault="00DE5818">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2268" w:type="dxa"/>
            <w:shd w:val="clear" w:color="auto" w:fill="auto"/>
          </w:tcPr>
          <w:p w14:paraId="5C68BFCA" w14:textId="77777777" w:rsidR="00DE5818" w:rsidRDefault="00DE5818">
            <w:pPr>
              <w:spacing w:beforeLines="50" w:before="120" w:afterLines="50" w:after="120"/>
              <w:rPr>
                <w:rFonts w:ascii="Times New Roman" w:eastAsia="SimSun" w:hAnsi="Times New Roman"/>
              </w:rPr>
            </w:pPr>
            <w:r>
              <w:rPr>
                <w:rFonts w:ascii="Times New Roman" w:hAnsi="Times New Roman"/>
              </w:rPr>
              <w:t xml:space="preserve">R2-2204793: </w:t>
            </w: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hint="eastAsia"/>
              </w:rPr>
              <w:t xml:space="preserve"> and </w:t>
            </w:r>
            <w:r>
              <w:rPr>
                <w:rFonts w:ascii="Times New Roman" w:eastAsia="SimSun" w:hAnsi="Times New Roman"/>
              </w:rPr>
              <w:t>5.2.1.4.1, 5.2.1.4.2;</w:t>
            </w:r>
          </w:p>
          <w:p w14:paraId="74290695" w14:textId="210114E6" w:rsidR="00DE5818" w:rsidRPr="00F62548" w:rsidRDefault="00DE5818" w:rsidP="00DE5818">
            <w:pPr>
              <w:spacing w:beforeLines="50" w:before="120" w:afterLines="50" w:after="120"/>
              <w:rPr>
                <w:rFonts w:ascii="Times New Roman" w:hAnsi="Times New Roman"/>
              </w:rPr>
            </w:pPr>
            <w:r>
              <w:rPr>
                <w:rFonts w:ascii="Times New Roman" w:hAnsi="Times New Roman"/>
              </w:rPr>
              <w:t>R2-2204899</w:t>
            </w:r>
            <w:r>
              <w:rPr>
                <w:rFonts w:ascii="Times New Roman" w:eastAsia="SimSun" w:hAnsi="Times New Roman" w:hint="eastAsia"/>
              </w:rPr>
              <w:t xml:space="preserve"> C</w:t>
            </w:r>
            <w:r>
              <w:rPr>
                <w:rFonts w:ascii="Times New Roman" w:eastAsia="SimSun" w:hAnsi="Times New Roman"/>
              </w:rPr>
              <w:t>hanges in 5.2.1.4.1.</w:t>
            </w:r>
            <w:r>
              <w:rPr>
                <w:rFonts w:ascii="Times New Roman" w:hAnsi="Times New Roman"/>
              </w:rPr>
              <w:t xml:space="preserve"> </w:t>
            </w:r>
          </w:p>
        </w:tc>
        <w:tc>
          <w:tcPr>
            <w:tcW w:w="5778" w:type="dxa"/>
            <w:shd w:val="clear" w:color="auto" w:fill="auto"/>
          </w:tcPr>
          <w:p w14:paraId="64EE7BF6" w14:textId="4EABA1C2" w:rsidR="00DE5818" w:rsidRPr="00DE5818" w:rsidRDefault="00DE5818" w:rsidP="00282239">
            <w:pPr>
              <w:pStyle w:val="B10"/>
              <w:rPr>
                <w:rFonts w:ascii="Times New Roman" w:eastAsiaTheme="minorEastAsia" w:hAnsi="Times New Roman"/>
              </w:rPr>
            </w:pPr>
            <w:r>
              <w:rPr>
                <w:rFonts w:ascii="Times New Roman" w:eastAsiaTheme="minorEastAsia" w:hAnsi="Times New Roman"/>
              </w:rPr>
              <w:t xml:space="preserve">We share the view with ZTE. Though we have the general description for </w:t>
            </w:r>
            <w:r>
              <w:rPr>
                <w:rFonts w:ascii="Times New Roman" w:eastAsia="SimSun" w:hAnsi="Times New Roman"/>
                <w:i/>
              </w:rPr>
              <w:t xml:space="preserve">BH Routing Configuration </w:t>
            </w:r>
            <w:r w:rsidRPr="00DE5818">
              <w:rPr>
                <w:rFonts w:ascii="Times New Roman" w:eastAsia="SimSun" w:hAnsi="Times New Roman"/>
              </w:rPr>
              <w:t>with respect to</w:t>
            </w:r>
            <w:r>
              <w:rPr>
                <w:rFonts w:ascii="Times New Roman" w:eastAsiaTheme="minorEastAsia" w:hAnsi="Times New Roman"/>
              </w:rPr>
              <w:t xml:space="preserve"> </w:t>
            </w:r>
            <w:r w:rsidR="00282239">
              <w:rPr>
                <w:rFonts w:ascii="Times New Roman" w:hAnsi="Times New Roman"/>
                <w:i/>
              </w:rPr>
              <w:t xml:space="preserve">Ingress/Egress </w:t>
            </w:r>
            <w:r>
              <w:rPr>
                <w:rFonts w:ascii="Times New Roman" w:eastAsia="SimSun" w:hAnsi="Times New Roman"/>
                <w:i/>
              </w:rPr>
              <w:t xml:space="preserve">Non-F1-terminating Topology Indicator IE </w:t>
            </w:r>
            <w:r w:rsidRPr="00DE5818">
              <w:rPr>
                <w:rFonts w:ascii="Times New Roman" w:eastAsia="SimSun" w:hAnsi="Times New Roman"/>
              </w:rPr>
              <w:t>as pointed out by the Rapporteur</w:t>
            </w:r>
            <w:r>
              <w:rPr>
                <w:rFonts w:ascii="Times New Roman" w:eastAsiaTheme="minorEastAsia" w:hAnsi="Times New Roman"/>
              </w:rPr>
              <w:t>, this does not mean that related description is not necessary in the procedure description.</w:t>
            </w:r>
            <w:r w:rsidR="00282239">
              <w:rPr>
                <w:rFonts w:ascii="Times New Roman" w:eastAsiaTheme="minorEastAsia" w:hAnsi="Times New Roman"/>
              </w:rPr>
              <w:t xml:space="preserve"> The changes can</w:t>
            </w:r>
            <w:r>
              <w:rPr>
                <w:rFonts w:ascii="Times New Roman" w:eastAsiaTheme="minorEastAsia" w:hAnsi="Times New Roman"/>
              </w:rPr>
              <w:t xml:space="preserve"> </w:t>
            </w:r>
            <w:r w:rsidR="00282239">
              <w:rPr>
                <w:rFonts w:ascii="Times New Roman" w:eastAsiaTheme="minorEastAsia" w:hAnsi="Times New Roman"/>
              </w:rPr>
              <w:t xml:space="preserve">clearly improve the readability of the procedure related to </w:t>
            </w:r>
            <w:r w:rsidR="00282239">
              <w:rPr>
                <w:rFonts w:ascii="Times New Roman" w:hAnsi="Times New Roman"/>
                <w:i/>
              </w:rPr>
              <w:t xml:space="preserve">Ingress/Egress </w:t>
            </w:r>
            <w:r w:rsidR="00282239">
              <w:rPr>
                <w:rFonts w:ascii="Times New Roman" w:eastAsia="SimSun" w:hAnsi="Times New Roman"/>
                <w:i/>
              </w:rPr>
              <w:t>Non-F1-terminating Topology Indicator IE</w:t>
            </w:r>
            <w:r w:rsidR="00282239">
              <w:rPr>
                <w:rFonts w:ascii="Times New Roman" w:eastAsiaTheme="minorEastAsia" w:hAnsi="Times New Roman"/>
              </w:rPr>
              <w:t>.</w:t>
            </w:r>
            <w:r w:rsidRPr="00DE5818">
              <w:rPr>
                <w:rFonts w:ascii="Times New Roman" w:eastAsiaTheme="minorEastAsia" w:hAnsi="Times New Roman"/>
              </w:rPr>
              <w:t xml:space="preserve"> </w:t>
            </w: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2</w:t>
      </w:r>
      <w:r>
        <w:rPr>
          <w:rFonts w:ascii="Times New Roman" w:eastAsia="SimSun" w:hAnsi="Times New Roman"/>
          <w:lang w:val="en-GB"/>
        </w:rPr>
        <w:t>:</w:t>
      </w:r>
      <w:r>
        <w:rPr>
          <w:rFonts w:ascii="Times New Roman" w:eastAsia="SimSun"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3</w:t>
      </w:r>
      <w:r>
        <w:rPr>
          <w:rFonts w:ascii="Times New Roman" w:eastAsia="SimSun" w:hAnsi="Times New Roman"/>
          <w:lang w:val="en-GB"/>
        </w:rPr>
        <w:t xml:space="preserve">: </w:t>
      </w:r>
      <w:r>
        <w:rPr>
          <w:rFonts w:ascii="Times New Roman" w:eastAsia="SimSun" w:hAnsi="Times New Roman"/>
          <w:lang w:val="en-GB"/>
        </w:rPr>
        <w:tab/>
        <w:t>(To implement Proposal 2) amend the current BAP note to say “[…] if it is determined as congested based on the received flow control feedback, as defined in sub-clause 5.3.1</w:t>
      </w:r>
      <w:r>
        <w:rPr>
          <w:rFonts w:ascii="Times New Roman" w:eastAsia="SimSun" w:hAnsi="Times New Roman"/>
          <w:u w:val="single"/>
          <w:lang w:val="en-GB"/>
        </w:rPr>
        <w:t>, or locally by an IAB-DU or IAB-donor-DU</w:t>
      </w:r>
      <w:r>
        <w:rPr>
          <w:rFonts w:ascii="Times New Roman" w:eastAsia="SimSun" w:hAnsi="Times New Roman"/>
          <w:lang w:val="en-GB"/>
        </w:rPr>
        <w:t>.”</w:t>
      </w:r>
    </w:p>
    <w:p w14:paraId="01EE15F3"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SimSun" w:hAnsi="Times New Roman"/>
              </w:rPr>
            </w:pPr>
            <w:ins w:id="10" w:author="Fujitsu" w:date="2022-05-13T11:55: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DengXian" w:hAnsi="Times New Roman"/>
                <w:rPrChange w:id="11" w:author="Fujitsu" w:date="2022-05-13T11:55:00Z">
                  <w:rPr>
                    <w:rFonts w:ascii="Times New Roman" w:hAnsi="Times New Roman"/>
                  </w:rPr>
                </w:rPrChange>
              </w:rPr>
            </w:pPr>
            <w:ins w:id="12" w:author="Fujitsu" w:date="2022-05-13T11:55:00Z">
              <w:r>
                <w:rPr>
                  <w:rFonts w:ascii="Times New Roman" w:eastAsia="DengXian" w:hAnsi="Times New Roman" w:hint="eastAsia"/>
                </w:rPr>
                <w:t>Y</w:t>
              </w:r>
              <w:r>
                <w:rPr>
                  <w:rFonts w:ascii="Times New Roman" w:eastAsia="DengXian"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DengXian" w:hAnsi="Times New Roman"/>
                <w:rPrChange w:id="13" w:author="Fujitsu" w:date="2022-05-13T11:56:00Z">
                  <w:rPr>
                    <w:rFonts w:ascii="Times New Roman" w:hAnsi="Times New Roman"/>
                  </w:rPr>
                </w:rPrChange>
              </w:rPr>
            </w:pPr>
            <w:ins w:id="14" w:author="Fujitsu" w:date="2022-05-13T11:56:00Z">
              <w:r>
                <w:rPr>
                  <w:rFonts w:ascii="Times New Roman" w:eastAsia="DengXian" w:hAnsi="Times New Roman" w:hint="eastAsia"/>
                </w:rPr>
                <w:t>A</w:t>
              </w:r>
              <w:r>
                <w:rPr>
                  <w:rFonts w:ascii="Times New Roman" w:eastAsia="DengXian" w:hAnsi="Times New Roman"/>
                </w:rPr>
                <w:t>gree IAB node may decide a link</w:t>
              </w:r>
            </w:ins>
            <w:ins w:id="15" w:author="Fujitsu" w:date="2022-05-13T11:57:00Z">
              <w:r>
                <w:rPr>
                  <w:rFonts w:ascii="Times New Roman" w:eastAsia="DengXian" w:hAnsi="Times New Roman"/>
                </w:rPr>
                <w:t xml:space="preserve"> is congested locally and re-route the traffic to another available link. It can also achieve </w:t>
              </w:r>
            </w:ins>
            <w:ins w:id="16" w:author="Fujitsu" w:date="2022-05-13T11:58:00Z">
              <w:r>
                <w:rPr>
                  <w:rFonts w:ascii="Times New Roman" w:eastAsia="DengXian" w:hAnsi="Times New Roman"/>
                </w:rPr>
                <w:t xml:space="preserve">load </w:t>
              </w:r>
              <w:r>
                <w:rPr>
                  <w:rFonts w:ascii="Times New Roman" w:eastAsia="DengXian" w:hAnsi="Times New Roman"/>
                </w:rPr>
                <w:lastRenderedPageBreak/>
                <w:t xml:space="preserve">balance. It </w:t>
              </w:r>
            </w:ins>
            <w:ins w:id="17" w:author="Fujitsu" w:date="2022-05-13T11:59:00Z">
              <w:r>
                <w:rPr>
                  <w:rFonts w:ascii="Times New Roman" w:eastAsia="DengXian" w:hAnsi="Times New Roman"/>
                </w:rPr>
                <w:t>can decide</w:t>
              </w:r>
            </w:ins>
            <w:ins w:id="18" w:author="Fujitsu" w:date="2022-05-13T12:00:00Z">
              <w:r>
                <w:rPr>
                  <w:rFonts w:ascii="Times New Roman" w:eastAsia="DengXian" w:hAnsi="Times New Roman"/>
                </w:rPr>
                <w:t xml:space="preserve"> congestion</w:t>
              </w:r>
            </w:ins>
            <w:ins w:id="19" w:author="Fujitsu" w:date="2022-05-13T11:59:00Z">
              <w:r>
                <w:rPr>
                  <w:rFonts w:ascii="Times New Roman" w:eastAsia="DengXian" w:hAnsi="Times New Roman"/>
                </w:rPr>
                <w:t xml:space="preserve"> based on its own buffer</w:t>
              </w:r>
            </w:ins>
            <w:ins w:id="20" w:author="Fujitsu" w:date="2022-05-13T12:00:00Z">
              <w:r>
                <w:rPr>
                  <w:rFonts w:ascii="Times New Roman" w:eastAsia="DengXian" w:hAnsi="Times New Roman"/>
                </w:rPr>
                <w:t xml:space="preserve"> without</w:t>
              </w:r>
            </w:ins>
            <w:ins w:id="21" w:author="Fujitsu" w:date="2022-05-13T11:58:00Z">
              <w:r>
                <w:rPr>
                  <w:rFonts w:ascii="Times New Roman" w:eastAsia="DengXian" w:hAnsi="Times New Roman"/>
                </w:rPr>
                <w:t xml:space="preserve"> triggering a</w:t>
              </w:r>
            </w:ins>
            <w:ins w:id="22" w:author="Fujitsu" w:date="2022-05-13T11:59:00Z">
              <w:r>
                <w:rPr>
                  <w:rFonts w:ascii="Times New Roman" w:eastAsia="DengXian" w:hAnsi="Times New Roman"/>
                </w:rPr>
                <w:t xml:space="preserve"> polling of a flow control feed</w:t>
              </w:r>
            </w:ins>
            <w:ins w:id="23" w:author="Fujitsu" w:date="2022-05-13T12:00:00Z">
              <w:r>
                <w:rPr>
                  <w:rFonts w:ascii="Times New Roman" w:eastAsia="DengXian"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lastRenderedPageBreak/>
              <w:t>ZTE</w:t>
            </w:r>
          </w:p>
        </w:tc>
        <w:tc>
          <w:tcPr>
            <w:tcW w:w="1813" w:type="dxa"/>
            <w:shd w:val="clear" w:color="auto" w:fill="auto"/>
          </w:tcPr>
          <w:p w14:paraId="4D65024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We see the points of this proposal. If we allows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paths. </w:t>
            </w:r>
            <w:r w:rsidR="005B1BDD">
              <w:rPr>
                <w:rFonts w:ascii="Times New Roman" w:hAnsi="Times New Roman"/>
              </w:rPr>
              <w:t xml:space="preserve">So it seems the proposal is for the upstream </w:t>
            </w:r>
            <w:r w:rsidR="004D1635">
              <w:rPr>
                <w:rFonts w:ascii="Times New Roman" w:hAnsi="Times New Roman"/>
              </w:rPr>
              <w:t>path, but this is not 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r w:rsidR="00372502" w:rsidRPr="00372502">
              <w:rPr>
                <w:rFonts w:ascii="Times New Roman" w:hAnsi="Times New Roman"/>
                <w:i/>
                <w:iCs/>
                <w:lang w:val="en-GB"/>
              </w:rPr>
              <w:t>n</w:t>
            </w:r>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SimSun" w:hAnsi="Times New Roman" w:cs="Times New Roman"/>
              </w:rPr>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4091AC05" w:rsidR="00060652" w:rsidRDefault="0036560F"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658A33AB" w14:textId="361D8328" w:rsidR="00060652" w:rsidRDefault="0036560F" w:rsidP="00060652">
            <w:pPr>
              <w:spacing w:beforeLines="50" w:before="120" w:afterLines="50" w:after="120"/>
              <w:rPr>
                <w:rFonts w:ascii="Times New Roman" w:hAnsi="Times New Roman"/>
              </w:rPr>
            </w:pPr>
            <w:r>
              <w:rPr>
                <w:rFonts w:ascii="Times New Roman" w:hAnsi="Times New Roman"/>
              </w:rPr>
              <w:t>Yes</w:t>
            </w:r>
          </w:p>
        </w:tc>
        <w:tc>
          <w:tcPr>
            <w:tcW w:w="6027" w:type="dxa"/>
            <w:shd w:val="clear" w:color="auto" w:fill="auto"/>
          </w:tcPr>
          <w:p w14:paraId="16BC511F" w14:textId="77777777" w:rsidR="0033229A" w:rsidRDefault="0036560F" w:rsidP="00060652">
            <w:pPr>
              <w:spacing w:beforeLines="50" w:before="120" w:afterLines="50" w:after="120"/>
              <w:rPr>
                <w:rFonts w:ascii="Times New Roman" w:hAnsi="Times New Roman"/>
              </w:rPr>
            </w:pPr>
            <w:r>
              <w:rPr>
                <w:rFonts w:ascii="Times New Roman" w:hAnsi="Times New Roman"/>
              </w:rPr>
              <w:t>We agree with the proposal.</w:t>
            </w:r>
            <w:r w:rsidR="0033229A">
              <w:rPr>
                <w:rFonts w:ascii="Times New Roman" w:hAnsi="Times New Roman"/>
              </w:rPr>
              <w:t xml:space="preserve"> Not sure however, if the word ”locally” is technically correct. One alternative could be: </w:t>
            </w:r>
          </w:p>
          <w:p w14:paraId="01ED0E74" w14:textId="3C254538" w:rsidR="00060652" w:rsidRDefault="0033229A" w:rsidP="00060652">
            <w:pPr>
              <w:spacing w:beforeLines="50" w:before="120" w:afterLines="50" w:after="120"/>
              <w:rPr>
                <w:rFonts w:ascii="Times New Roman" w:hAnsi="Times New Roman"/>
              </w:rPr>
            </w:pPr>
            <w:r>
              <w:rPr>
                <w:rFonts w:ascii="Times New Roman" w:hAnsi="Times New Roman"/>
              </w:rPr>
              <w:t>”</w:t>
            </w:r>
            <w:r>
              <w:t xml:space="preserve"> An egress link may be not considered to be available for a BAP routing ID, if it is determined </w:t>
            </w:r>
            <w:r w:rsidRPr="00332211">
              <w:rPr>
                <w:highlight w:val="yellow"/>
              </w:rPr>
              <w:t>by the IAB node to be</w:t>
            </w:r>
            <w:r>
              <w:t xml:space="preserve"> </w:t>
            </w:r>
            <w:r w:rsidRPr="00332211">
              <w:rPr>
                <w:strike/>
                <w:color w:val="FF0000"/>
              </w:rPr>
              <w:t xml:space="preserve">as </w:t>
            </w:r>
            <w:r>
              <w:t>congested</w:t>
            </w:r>
            <w:r w:rsidRPr="0033229A">
              <w:rPr>
                <w:highlight w:val="yellow"/>
              </w:rPr>
              <w:t>,</w:t>
            </w:r>
            <w:r>
              <w:t xml:space="preserve"> </w:t>
            </w:r>
            <w:r w:rsidRPr="00332211">
              <w:rPr>
                <w:highlight w:val="yellow"/>
              </w:rPr>
              <w:t>for example</w:t>
            </w:r>
            <w:r>
              <w:t xml:space="preserve"> based on the received flow control feedback, as defined in clause 5.3.1, </w:t>
            </w:r>
            <w:ins w:id="24" w:author="Author">
              <w:r w:rsidRPr="005E634E">
                <w:rPr>
                  <w:iCs/>
                  <w:strike/>
                  <w:color w:val="FF0000"/>
                  <w:lang w:eastAsia="ja-JP"/>
                </w:rPr>
                <w:t>or locally by an IAB-DU or IAB-donor DU</w:t>
              </w:r>
            </w:ins>
            <w:r w:rsidRPr="005E634E">
              <w:rPr>
                <w:strike/>
                <w:color w:val="FF0000"/>
              </w:rPr>
              <w:t>.</w:t>
            </w:r>
            <w:r>
              <w:rPr>
                <w:rFonts w:ascii="Times New Roman" w:hAnsi="Times New Roman"/>
              </w:rPr>
              <w:t>”</w:t>
            </w:r>
          </w:p>
        </w:tc>
      </w:tr>
      <w:tr w:rsidR="00CF113F" w14:paraId="324D8FF6" w14:textId="77777777" w:rsidTr="00060652">
        <w:tc>
          <w:tcPr>
            <w:tcW w:w="1789" w:type="dxa"/>
            <w:shd w:val="clear" w:color="auto" w:fill="auto"/>
          </w:tcPr>
          <w:p w14:paraId="249B79D1" w14:textId="173DB0DE"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7B9D01E4" w14:textId="1A14475A" w:rsidR="00CF113F" w:rsidRDefault="00CF113F"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515E8628" w14:textId="70E3AEE5" w:rsidR="00CF113F" w:rsidRDefault="00CF113F" w:rsidP="00060652">
            <w:pPr>
              <w:spacing w:beforeLines="50" w:before="120" w:afterLines="50" w:after="120"/>
              <w:rPr>
                <w:rFonts w:ascii="Times New Roman" w:hAnsi="Times New Roman"/>
              </w:rPr>
            </w:pPr>
            <w:r>
              <w:rPr>
                <w:rFonts w:ascii="Times New Roman" w:hAnsi="Times New Roman"/>
              </w:rPr>
              <w:t>Agree with the rapporteur’s view.</w:t>
            </w:r>
          </w:p>
        </w:tc>
      </w:tr>
      <w:tr w:rsidR="00BE1A42" w14:paraId="64F0ADE6" w14:textId="77777777" w:rsidTr="00060652">
        <w:tc>
          <w:tcPr>
            <w:tcW w:w="1789" w:type="dxa"/>
            <w:shd w:val="clear" w:color="auto" w:fill="auto"/>
          </w:tcPr>
          <w:p w14:paraId="4A9FE19E" w14:textId="48D7EA36" w:rsidR="00BE1A42" w:rsidRDefault="00BE1A42" w:rsidP="00BE1A42">
            <w:pPr>
              <w:spacing w:beforeLines="50" w:before="120" w:afterLines="50" w:after="120"/>
              <w:rPr>
                <w:rFonts w:ascii="Times New Roman" w:hAnsi="Times New Roman" w:hint="eastAsia"/>
              </w:rPr>
            </w:pPr>
            <w:r>
              <w:rPr>
                <w:rFonts w:ascii="Times New Roman" w:eastAsia="SimSun" w:hAnsi="Times New Roman" w:cs="Times New Roman"/>
              </w:rPr>
              <w:t>Intel</w:t>
            </w:r>
          </w:p>
        </w:tc>
        <w:tc>
          <w:tcPr>
            <w:tcW w:w="1813" w:type="dxa"/>
            <w:shd w:val="clear" w:color="auto" w:fill="auto"/>
          </w:tcPr>
          <w:p w14:paraId="729F4715" w14:textId="33EE2659" w:rsidR="00BE1A42" w:rsidRDefault="000E07A5" w:rsidP="00BE1A42">
            <w:pPr>
              <w:spacing w:beforeLines="50" w:before="120" w:afterLines="50" w:after="120"/>
              <w:rPr>
                <w:rFonts w:ascii="Times New Roman" w:hAnsi="Times New Roman" w:hint="eastAsia"/>
              </w:rPr>
            </w:pPr>
            <w:r>
              <w:rPr>
                <w:rFonts w:ascii="Times New Roman" w:hAnsi="Times New Roman"/>
              </w:rPr>
              <w:t>Change is not needed</w:t>
            </w:r>
          </w:p>
        </w:tc>
        <w:tc>
          <w:tcPr>
            <w:tcW w:w="6027" w:type="dxa"/>
            <w:shd w:val="clear" w:color="auto" w:fill="auto"/>
          </w:tcPr>
          <w:p w14:paraId="6376F061" w14:textId="3DCE3568" w:rsidR="00BE1A42" w:rsidRDefault="00BE1A42" w:rsidP="00BE1A42">
            <w:pPr>
              <w:spacing w:beforeLines="50" w:before="120" w:afterLines="50" w:after="120"/>
              <w:rPr>
                <w:rFonts w:ascii="Times New Roman" w:hAnsi="Times New Roman"/>
              </w:rPr>
            </w:pPr>
            <w:r>
              <w:rPr>
                <w:rFonts w:ascii="Times New Roman" w:hAnsi="Times New Roman" w:cs="Times New Roman"/>
              </w:rPr>
              <w:t xml:space="preserve">Agree with rapporteur’s view that it is an implementation issue. So far, there’s no threshold for the IAB-node to decide whether a BH link is congested based on the traffic static of its own. </w:t>
            </w:r>
          </w:p>
        </w:tc>
      </w:tr>
    </w:tbl>
    <w:p w14:paraId="61AC6058" w14:textId="77777777" w:rsidR="00BC15B8" w:rsidRDefault="00BC15B8">
      <w:pPr>
        <w:spacing w:beforeLines="50" w:before="120" w:afterLines="50" w:after="120"/>
        <w:rPr>
          <w:rFonts w:ascii="Times New Roman" w:eastAsia="SimSun" w:hAnsi="Times New Roman"/>
        </w:rPr>
      </w:pPr>
    </w:p>
    <w:p w14:paraId="2CF8EBE8" w14:textId="77777777" w:rsidR="00BC15B8" w:rsidRDefault="00BC15B8">
      <w:pPr>
        <w:spacing w:beforeLines="50" w:before="120" w:afterLines="50" w:after="120"/>
        <w:rPr>
          <w:rFonts w:ascii="Times New Roman" w:eastAsia="SimSun"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DengXian" w:hAnsi="Times New Roman"/>
          <w:bCs/>
        </w:rPr>
      </w:pPr>
      <w:r>
        <w:rPr>
          <w:rFonts w:ascii="Times New Roman" w:eastAsia="DengXian" w:hAnsi="Times New Roman" w:hint="eastAsia"/>
          <w:bCs/>
          <w:lang w:val="en-GB"/>
        </w:rPr>
        <w:t>P</w:t>
      </w:r>
      <w:r>
        <w:rPr>
          <w:rFonts w:ascii="Times New Roman" w:eastAsia="DengXian"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lastRenderedPageBreak/>
        <w:t>P</w:t>
      </w:r>
      <w:r>
        <w:rPr>
          <w:rFonts w:ascii="Times New Roman" w:eastAsia="SimSun"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SimSun" w:hAnsi="Times New Roman"/>
          <w:bCs/>
          <w:lang w:val="en-GB"/>
        </w:rPr>
      </w:pPr>
      <w:r>
        <w:rPr>
          <w:rFonts w:ascii="Times New Roman" w:eastAsia="SimSun" w:hAnsi="Times New Roman" w:hint="eastAsia"/>
          <w:bCs/>
          <w:lang w:val="en-GB"/>
        </w:rPr>
        <w:t>P</w:t>
      </w:r>
      <w:r>
        <w:rPr>
          <w:rFonts w:ascii="Times New Roman" w:eastAsia="SimSun"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is good if companies can first confirm on whether</w:t>
      </w:r>
      <w:r>
        <w:rPr>
          <w:rFonts w:ascii="Times New Roman" w:eastAsia="DengXian" w:hAnsi="Times New Roman"/>
          <w:bCs/>
          <w:lang w:val="en-GB"/>
        </w:rPr>
        <w:t xml:space="preserve"> SCG deactivation is supported by IAB-MT</w:t>
      </w:r>
      <w:r>
        <w:rPr>
          <w:rFonts w:ascii="Times New Roman" w:eastAsia="SimSun" w:hAnsi="Times New Roman"/>
        </w:rPr>
        <w:t xml:space="preserve">. Rapp understands that the </w:t>
      </w:r>
      <w:r>
        <w:rPr>
          <w:rFonts w:ascii="Times New Roman" w:eastAsia="DengXian"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SimSun" w:hAnsi="Times New Roman"/>
              </w:rPr>
            </w:pPr>
            <w:ins w:id="25" w:author="Fujitsu" w:date="2022-05-13T12:00:00Z">
              <w:r>
                <w:rPr>
                  <w:rFonts w:ascii="Times New Roman" w:eastAsia="SimSun" w:hAnsi="Times New Roman" w:hint="eastAsia"/>
                </w:rPr>
                <w:t>F</w:t>
              </w:r>
              <w:r>
                <w:rPr>
                  <w:rFonts w:ascii="Times New Roman" w:eastAsia="SimSun"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DengXian" w:hAnsi="Times New Roman"/>
                <w:rPrChange w:id="26" w:author="Fujitsu" w:date="2022-05-13T12:00:00Z">
                  <w:rPr>
                    <w:rFonts w:ascii="Times New Roman" w:hAnsi="Times New Roman"/>
                  </w:rPr>
                </w:rPrChange>
              </w:rPr>
            </w:pPr>
            <w:ins w:id="27" w:author="Fujitsu" w:date="2022-05-13T12:00:00Z">
              <w:r>
                <w:rPr>
                  <w:rFonts w:ascii="Times New Roman" w:eastAsia="DengXian" w:hAnsi="Times New Roman" w:hint="eastAsia"/>
                </w:rPr>
                <w:t>Y</w:t>
              </w:r>
              <w:r>
                <w:rPr>
                  <w:rFonts w:ascii="Times New Roman" w:eastAsia="DengXian"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DengXian" w:hAnsi="Times New Roman"/>
                <w:rPrChange w:id="28" w:author="Fujitsu" w:date="2022-05-13T12:01:00Z">
                  <w:rPr>
                    <w:rFonts w:ascii="Times New Roman" w:hAnsi="Times New Roman"/>
                  </w:rPr>
                </w:rPrChange>
              </w:rPr>
            </w:pPr>
            <w:ins w:id="29" w:author="Fujitsu" w:date="2022-05-13T12:02:00Z">
              <w:r>
                <w:rPr>
                  <w:rFonts w:ascii="Times New Roman" w:eastAsia="DengXian" w:hAnsi="Times New Roman"/>
                </w:rPr>
                <w:t xml:space="preserve">Normally, the NR DC framework (e.g., MCG/SCG-related procedures) is applicable to IAB-MT. It is reasonable </w:t>
              </w:r>
            </w:ins>
            <w:ins w:id="30" w:author="Fujitsu" w:date="2022-05-14T11:15:00Z">
              <w:r>
                <w:rPr>
                  <w:rFonts w:ascii="Times New Roman" w:eastAsia="DengXian" w:hAnsi="Times New Roman"/>
                </w:rPr>
                <w:t xml:space="preserve">and feasible </w:t>
              </w:r>
            </w:ins>
            <w:ins w:id="31" w:author="Fujitsu" w:date="2022-05-13T12:02:00Z">
              <w:r>
                <w:rPr>
                  <w:rFonts w:ascii="Times New Roman" w:eastAsia="DengXian" w:hAnsi="Times New Roman"/>
                </w:rPr>
                <w:t xml:space="preserve">that IAB-MT also supports SCG deactivation. Otherwise, we will </w:t>
              </w:r>
            </w:ins>
            <w:ins w:id="32" w:author="Fujitsu" w:date="2022-05-13T12:03:00Z">
              <w:r>
                <w:rPr>
                  <w:rFonts w:ascii="Times New Roman" w:eastAsia="DengXian" w:hAnsi="Times New Roman"/>
                </w:rPr>
                <w:t xml:space="preserve">have to state in spec that it is not applicable to IAB-MT. </w:t>
              </w:r>
            </w:ins>
            <w:ins w:id="33" w:author="Fujitsu" w:date="2022-05-13T12:04:00Z">
              <w:r>
                <w:rPr>
                  <w:rFonts w:ascii="Times New Roman" w:eastAsia="DengXian" w:hAnsi="Times New Roman"/>
                </w:rPr>
                <w:t xml:space="preserve">We don't see a strong reason that this DC/CA enhancement is excluded </w:t>
              </w:r>
            </w:ins>
            <w:ins w:id="34" w:author="Fujitsu" w:date="2022-05-14T10:28:00Z">
              <w:r>
                <w:rPr>
                  <w:rFonts w:ascii="Times New Roman" w:eastAsia="DengXian" w:hAnsi="Times New Roman"/>
                </w:rPr>
                <w:t>for</w:t>
              </w:r>
            </w:ins>
            <w:ins w:id="35" w:author="Fujitsu" w:date="2022-05-13T12:04:00Z">
              <w:r>
                <w:rPr>
                  <w:rFonts w:ascii="Times New Roman" w:eastAsia="DengXian"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It make sense that if the SCG of IAB MT could be be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r w:rsidR="00FA1D59">
              <w:rPr>
                <w:rFonts w:ascii="Times New Roman" w:hAnsi="Times New Roman"/>
                <w:lang w:val="en-GB"/>
              </w:rPr>
              <w:t xml:space="preserve">and </w:t>
            </w:r>
            <w:r w:rsidR="00E073BA">
              <w:rPr>
                <w:rFonts w:ascii="Times New Roman" w:hAnsi="Times New Roman"/>
                <w:lang w:val="en-GB"/>
              </w:rPr>
              <w:t xml:space="preserve">also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deactivation is intended for UEs to reduce their power consumption. So, we assume the IAB-MT’s SCG is always activated since there is no such a battery concern. </w:t>
            </w:r>
          </w:p>
        </w:tc>
      </w:tr>
      <w:tr w:rsidR="00060652" w14:paraId="4DA88667" w14:textId="77777777" w:rsidTr="00060652">
        <w:tc>
          <w:tcPr>
            <w:tcW w:w="1787" w:type="dxa"/>
            <w:shd w:val="clear" w:color="auto" w:fill="auto"/>
          </w:tcPr>
          <w:p w14:paraId="0913AF35" w14:textId="1D860103" w:rsidR="00060652" w:rsidRDefault="005D21B6" w:rsidP="00060652">
            <w:pPr>
              <w:spacing w:beforeLines="50" w:before="120" w:afterLines="50" w:after="120"/>
              <w:rPr>
                <w:rFonts w:ascii="Times New Roman" w:hAnsi="Times New Roman"/>
              </w:rPr>
            </w:pPr>
            <w:r>
              <w:rPr>
                <w:rFonts w:ascii="Times New Roman" w:hAnsi="Times New Roman"/>
              </w:rPr>
              <w:t>Ericsson</w:t>
            </w:r>
          </w:p>
        </w:tc>
        <w:tc>
          <w:tcPr>
            <w:tcW w:w="1811" w:type="dxa"/>
            <w:shd w:val="clear" w:color="auto" w:fill="auto"/>
          </w:tcPr>
          <w:p w14:paraId="53353E19" w14:textId="3EDD1F36" w:rsidR="00060652" w:rsidRDefault="005D21B6"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3C9C279D" w14:textId="190E6424" w:rsidR="00060652" w:rsidRDefault="005D21B6" w:rsidP="00060652">
            <w:pPr>
              <w:spacing w:beforeLines="50" w:before="120" w:afterLines="50" w:after="120"/>
              <w:rPr>
                <w:rFonts w:ascii="Times New Roman" w:hAnsi="Times New Roman"/>
              </w:rPr>
            </w:pPr>
            <w:r>
              <w:rPr>
                <w:rFonts w:ascii="Times New Roman" w:hAnsi="Times New Roman"/>
              </w:rPr>
              <w:t>Agree with Rapporteur</w:t>
            </w:r>
            <w:r w:rsidR="004C6950">
              <w:rPr>
                <w:rFonts w:ascii="Times New Roman" w:hAnsi="Times New Roman"/>
              </w:rPr>
              <w:t>, we never discussed this feature in the context of IAB.</w:t>
            </w:r>
            <w:r>
              <w:rPr>
                <w:rFonts w:ascii="Times New Roman" w:hAnsi="Times New Roman"/>
              </w:rPr>
              <w:t xml:space="preserve"> </w:t>
            </w:r>
            <w:r w:rsidR="00AF34EE">
              <w:rPr>
                <w:rFonts w:ascii="Times New Roman" w:hAnsi="Times New Roman"/>
              </w:rPr>
              <w:t xml:space="preserve">Further, </w:t>
            </w:r>
            <w:r w:rsidR="00AF34EE">
              <w:rPr>
                <w:rFonts w:ascii="Times New Roman" w:hAnsi="Times New Roman" w:cs="Times New Roman"/>
              </w:rPr>
              <w:t>we are also not sure that this specific issue should be captured in the BAP spec (especially the note 4).</w:t>
            </w:r>
          </w:p>
        </w:tc>
      </w:tr>
      <w:tr w:rsidR="00CF113F" w14:paraId="4B29BF82" w14:textId="77777777" w:rsidTr="00060652">
        <w:tc>
          <w:tcPr>
            <w:tcW w:w="1787" w:type="dxa"/>
            <w:shd w:val="clear" w:color="auto" w:fill="auto"/>
          </w:tcPr>
          <w:p w14:paraId="65EA6DCC" w14:textId="7A36360A"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1" w:type="dxa"/>
            <w:shd w:val="clear" w:color="auto" w:fill="auto"/>
          </w:tcPr>
          <w:p w14:paraId="6D830F70" w14:textId="3782AEE7" w:rsidR="00CF113F" w:rsidRDefault="00CF113F"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57F41DD8" w14:textId="7BCDF1C3" w:rsidR="00CF113F" w:rsidRDefault="00CF113F" w:rsidP="00B00E07">
            <w:pPr>
              <w:spacing w:beforeLines="50" w:before="120" w:afterLines="50" w:after="120"/>
              <w:rPr>
                <w:rFonts w:ascii="Times New Roman" w:hAnsi="Times New Roman"/>
              </w:rPr>
            </w:pPr>
            <w:r>
              <w:rPr>
                <w:rFonts w:ascii="Times New Roman" w:hAnsi="Times New Roman"/>
              </w:rPr>
              <w:t xml:space="preserve">Agree with the rapporteur. </w:t>
            </w:r>
            <w:r w:rsidR="00B00E07">
              <w:rPr>
                <w:rFonts w:ascii="Times New Roman" w:hAnsi="Times New Roman"/>
              </w:rPr>
              <w:t>It is reasonable to assume that SCG for IAB-MT is always active.</w:t>
            </w:r>
          </w:p>
        </w:tc>
      </w:tr>
      <w:tr w:rsidR="004E0F8A" w14:paraId="7BD6728B" w14:textId="77777777" w:rsidTr="00060652">
        <w:tc>
          <w:tcPr>
            <w:tcW w:w="1787" w:type="dxa"/>
            <w:shd w:val="clear" w:color="auto" w:fill="auto"/>
          </w:tcPr>
          <w:p w14:paraId="1448E86C" w14:textId="06AC37E3" w:rsidR="004E0F8A" w:rsidRDefault="00936202" w:rsidP="00060652">
            <w:pPr>
              <w:spacing w:beforeLines="50" w:before="120" w:afterLines="50" w:after="120"/>
              <w:rPr>
                <w:rFonts w:ascii="Times New Roman" w:hAnsi="Times New Roman" w:hint="eastAsia"/>
              </w:rPr>
            </w:pPr>
            <w:r>
              <w:rPr>
                <w:rFonts w:ascii="Times New Roman" w:hAnsi="Times New Roman"/>
              </w:rPr>
              <w:t>Intel</w:t>
            </w:r>
          </w:p>
        </w:tc>
        <w:tc>
          <w:tcPr>
            <w:tcW w:w="1811" w:type="dxa"/>
            <w:shd w:val="clear" w:color="auto" w:fill="auto"/>
          </w:tcPr>
          <w:p w14:paraId="4C093D5E" w14:textId="4C2C490E" w:rsidR="004E0F8A" w:rsidRDefault="00936202" w:rsidP="00060652">
            <w:pPr>
              <w:spacing w:beforeLines="50" w:before="120" w:afterLines="50" w:after="120"/>
              <w:rPr>
                <w:rFonts w:ascii="Times New Roman" w:hAnsi="Times New Roman"/>
              </w:rPr>
            </w:pPr>
            <w:r>
              <w:rPr>
                <w:rFonts w:ascii="Times New Roman" w:hAnsi="Times New Roman"/>
              </w:rPr>
              <w:t>See comment</w:t>
            </w:r>
          </w:p>
        </w:tc>
        <w:tc>
          <w:tcPr>
            <w:tcW w:w="6031" w:type="dxa"/>
            <w:shd w:val="clear" w:color="auto" w:fill="auto"/>
          </w:tcPr>
          <w:p w14:paraId="19841997" w14:textId="66ECEA1C" w:rsidR="004E0F8A" w:rsidRDefault="00B85C54" w:rsidP="00B00E07">
            <w:pPr>
              <w:spacing w:beforeLines="50" w:before="120" w:afterLines="50" w:after="120"/>
              <w:rPr>
                <w:rFonts w:ascii="Times New Roman" w:hAnsi="Times New Roman"/>
              </w:rPr>
            </w:pPr>
            <w:r>
              <w:rPr>
                <w:rFonts w:ascii="Times New Roman" w:hAnsi="Times New Roman"/>
              </w:rPr>
              <w:t xml:space="preserve">Theoretically, </w:t>
            </w:r>
            <w:r w:rsidR="00F155D7">
              <w:rPr>
                <w:rFonts w:ascii="Times New Roman" w:hAnsi="Times New Roman"/>
              </w:rPr>
              <w:t xml:space="preserve">IAB-MT’s </w:t>
            </w:r>
            <w:r w:rsidR="00CC743E">
              <w:rPr>
                <w:rFonts w:ascii="Times New Roman" w:hAnsi="Times New Roman"/>
              </w:rPr>
              <w:t xml:space="preserve">SCG could be deactivated. However, </w:t>
            </w:r>
            <w:r w:rsidR="004D3198">
              <w:rPr>
                <w:rFonts w:ascii="Times New Roman" w:hAnsi="Times New Roman"/>
              </w:rPr>
              <w:t xml:space="preserve">considering the co-existence between SCG deactivation and IAB has not been discussed before, we think </w:t>
            </w:r>
            <w:r w:rsidR="00442B9F">
              <w:rPr>
                <w:rFonts w:ascii="Times New Roman" w:hAnsi="Times New Roman"/>
              </w:rPr>
              <w:t xml:space="preserve">it would be better not to support </w:t>
            </w:r>
            <w:r w:rsidR="00EE0FCB">
              <w:rPr>
                <w:rFonts w:ascii="Times New Roman" w:hAnsi="Times New Roman"/>
              </w:rPr>
              <w:t xml:space="preserve">SCG deactivation </w:t>
            </w:r>
            <w:r w:rsidR="00442B9F">
              <w:rPr>
                <w:rFonts w:ascii="Times New Roman" w:hAnsi="Times New Roman"/>
              </w:rPr>
              <w:t>in Rel-17.</w:t>
            </w:r>
            <w:r w:rsidR="00CC743E">
              <w:rPr>
                <w:rFonts w:ascii="Times New Roman" w:hAnsi="Times New Roman"/>
              </w:rPr>
              <w:t xml:space="preserve"> </w:t>
            </w:r>
          </w:p>
        </w:tc>
      </w:tr>
    </w:tbl>
    <w:p w14:paraId="55390B7D" w14:textId="77777777" w:rsidR="00BC15B8" w:rsidRDefault="00BC15B8">
      <w:pPr>
        <w:spacing w:beforeLines="50" w:before="120" w:afterLines="50" w:after="120"/>
        <w:rPr>
          <w:rFonts w:ascii="Times New Roman" w:eastAsia="SimSun" w:hAnsi="Times New Roman"/>
        </w:rPr>
      </w:pPr>
    </w:p>
    <w:p w14:paraId="087A8DB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A</w:t>
      </w:r>
      <w:r>
        <w:rPr>
          <w:rFonts w:ascii="Times New Roman" w:eastAsia="SimSun" w:hAnsi="Times New Roman"/>
        </w:rPr>
        <w:t xml:space="preserve">s to the proposed changes, </w:t>
      </w:r>
      <w:r>
        <w:rPr>
          <w:rFonts w:ascii="Times New Roman" w:eastAsia="SimSun" w:hAnsi="Times New Roman"/>
          <w:b/>
        </w:rPr>
        <w:t>rapporteur understanding</w:t>
      </w:r>
      <w:r>
        <w:rPr>
          <w:rFonts w:ascii="Times New Roman" w:eastAsia="SimSun" w:hAnsi="Times New Roman"/>
        </w:rPr>
        <w:t>, even if the SCG deactivation is supported by IAB-MT:</w:t>
      </w:r>
    </w:p>
    <w:p w14:paraId="609C182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 xml:space="preserve">Donor implementation should update the routing configuration together or even before deactivate SCG. If donor considers the SCG is not useful anymore, the all the routing entry via SCG should be released. So, </w:t>
      </w:r>
      <w:r>
        <w:rPr>
          <w:rFonts w:ascii="Times New Roman" w:eastAsia="SimSun" w:hAnsi="Times New Roman"/>
        </w:rPr>
        <w:lastRenderedPageBreak/>
        <w:t>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SimSun" w:hAnsi="Times New Roman"/>
              </w:rPr>
            </w:pPr>
            <w:ins w:id="36" w:author="Fujitsu" w:date="2022-05-13T12:09:00Z">
              <w:r>
                <w:rPr>
                  <w:rFonts w:ascii="Times New Roman" w:eastAsia="SimSun" w:hAnsi="Times New Roman" w:hint="eastAsia"/>
                </w:rPr>
                <w:t>F</w:t>
              </w:r>
              <w:r>
                <w:rPr>
                  <w:rFonts w:ascii="Times New Roman" w:eastAsia="SimSun"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DengXian" w:hAnsi="Times New Roman"/>
                <w:rPrChange w:id="37" w:author="Fujitsu" w:date="2022-05-13T12:09:00Z">
                  <w:rPr>
                    <w:rFonts w:ascii="Times New Roman" w:hAnsi="Times New Roman"/>
                  </w:rPr>
                </w:rPrChange>
              </w:rPr>
            </w:pPr>
            <w:ins w:id="38" w:author="Fujitsu" w:date="2022-05-13T12:09:00Z">
              <w:r>
                <w:rPr>
                  <w:rFonts w:ascii="Times New Roman" w:eastAsia="DengXian" w:hAnsi="Times New Roman" w:hint="eastAsia"/>
                </w:rPr>
                <w:t>Y</w:t>
              </w:r>
              <w:r>
                <w:rPr>
                  <w:rFonts w:ascii="Times New Roman" w:eastAsia="DengXian"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39" w:author="Fujitsu" w:date="2022-05-13T12:12:00Z">
              <w:r>
                <w:rPr>
                  <w:rFonts w:ascii="Times New Roman" w:hAnsi="Times New Roman"/>
                </w:rPr>
                <w:t xml:space="preserve">The activation/deactivation mechanism of SCG is supported to </w:t>
              </w:r>
            </w:ins>
            <w:ins w:id="40" w:author="Fujitsu" w:date="2022-05-13T12:10:00Z">
              <w:r>
                <w:rPr>
                  <w:rFonts w:ascii="Times New Roman" w:hAnsi="Times New Roman"/>
                </w:rPr>
                <w:t>hav</w:t>
              </w:r>
            </w:ins>
            <w:ins w:id="41" w:author="Fujitsu" w:date="2022-05-13T12:12:00Z">
              <w:r>
                <w:rPr>
                  <w:rFonts w:ascii="Times New Roman" w:hAnsi="Times New Roman"/>
                </w:rPr>
                <w:t>e</w:t>
              </w:r>
            </w:ins>
            <w:ins w:id="42" w:author="Fujitsu" w:date="2022-05-13T12:10:00Z">
              <w:r>
                <w:rPr>
                  <w:rFonts w:ascii="Times New Roman" w:hAnsi="Times New Roman"/>
                </w:rPr>
                <w:t xml:space="preserve"> fast usage of SCG when MR-DC is configured</w:t>
              </w:r>
            </w:ins>
            <w:ins w:id="43" w:author="Fujitsu" w:date="2022-05-13T12:12:00Z">
              <w:r>
                <w:rPr>
                  <w:rFonts w:ascii="Times New Roman" w:hAnsi="Times New Roman"/>
                </w:rPr>
                <w:t xml:space="preserve">. There is no need to </w:t>
              </w:r>
            </w:ins>
            <w:ins w:id="44" w:author="Fujitsu" w:date="2022-05-13T12:14:00Z">
              <w:r>
                <w:rPr>
                  <w:rFonts w:ascii="Times New Roman" w:hAnsi="Times New Roman"/>
                </w:rPr>
                <w:t>create/</w:t>
              </w:r>
            </w:ins>
            <w:ins w:id="45" w:author="Fujitsu" w:date="2022-05-13T12:12:00Z">
              <w:r>
                <w:rPr>
                  <w:rFonts w:ascii="Times New Roman" w:hAnsi="Times New Roman"/>
                </w:rPr>
                <w:t xml:space="preserve">release the </w:t>
              </w:r>
            </w:ins>
            <w:ins w:id="46" w:author="Fujitsu" w:date="2022-05-13T12:13:00Z">
              <w:r>
                <w:rPr>
                  <w:rFonts w:ascii="Times New Roman" w:hAnsi="Times New Roman"/>
                </w:rPr>
                <w:t xml:space="preserve">routing entries in a fast way. With the changes in R2-2204913, the SCG deactivation </w:t>
              </w:r>
            </w:ins>
            <w:ins w:id="47" w:author="Fujitsu" w:date="2022-05-13T12:14:00Z">
              <w:r>
                <w:rPr>
                  <w:rFonts w:ascii="Times New Roman" w:hAnsi="Times New Roman"/>
                </w:rPr>
                <w:t xml:space="preserve">and routing can work </w:t>
              </w:r>
            </w:ins>
            <w:ins w:id="48" w:author="Fujitsu" w:date="2022-05-13T12:15:00Z">
              <w:r>
                <w:rPr>
                  <w:rFonts w:ascii="Times New Roman" w:hAnsi="Times New Roman"/>
                </w:rPr>
                <w:t xml:space="preserve">together </w:t>
              </w:r>
            </w:ins>
            <w:ins w:id="49"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03" w:type="dxa"/>
            <w:shd w:val="clear" w:color="auto" w:fill="auto"/>
          </w:tcPr>
          <w:p w14:paraId="01142F6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Agree with rapporteur</w:t>
            </w:r>
            <w:r>
              <w:rPr>
                <w:rFonts w:ascii="Times New Roman" w:eastAsia="SimSun" w:hAnsi="Times New Roman"/>
              </w:rPr>
              <w:t>’</w:t>
            </w:r>
            <w:r>
              <w:rPr>
                <w:rFonts w:ascii="Times New Roman" w:eastAsia="SimSun" w:hAnsi="Times New Roman" w:hint="eastAsia"/>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2C71816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e share the rapporteur’s view.</w:t>
            </w:r>
            <w:r w:rsidR="005D21B6">
              <w:rPr>
                <w:rFonts w:ascii="Times New Roman" w:hAnsi="Times New Roman" w:cs="Times New Roman"/>
              </w:rPr>
              <w:t xml:space="preserve"> </w:t>
            </w:r>
          </w:p>
        </w:tc>
      </w:tr>
      <w:tr w:rsidR="00060652" w14:paraId="3CFF5FA6" w14:textId="77777777" w:rsidTr="00060652">
        <w:tc>
          <w:tcPr>
            <w:tcW w:w="1785" w:type="dxa"/>
            <w:shd w:val="clear" w:color="auto" w:fill="auto"/>
          </w:tcPr>
          <w:p w14:paraId="27FC7ECF" w14:textId="1C3C54C6" w:rsidR="00060652" w:rsidRDefault="004C6950" w:rsidP="00060652">
            <w:pPr>
              <w:spacing w:beforeLines="50" w:before="120" w:afterLines="50" w:after="120"/>
              <w:rPr>
                <w:rFonts w:ascii="Times New Roman" w:hAnsi="Times New Roman"/>
              </w:rPr>
            </w:pPr>
            <w:r>
              <w:rPr>
                <w:rFonts w:ascii="Times New Roman" w:hAnsi="Times New Roman"/>
              </w:rPr>
              <w:t>Ericsson</w:t>
            </w:r>
          </w:p>
        </w:tc>
        <w:tc>
          <w:tcPr>
            <w:tcW w:w="1803" w:type="dxa"/>
            <w:shd w:val="clear" w:color="auto" w:fill="auto"/>
          </w:tcPr>
          <w:p w14:paraId="1C99A677" w14:textId="275B632B" w:rsidR="00060652" w:rsidRDefault="004C6950"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4D93DFD9" w14:textId="06B7C45B" w:rsidR="00060652" w:rsidRDefault="004C6950" w:rsidP="00060652">
            <w:pPr>
              <w:spacing w:beforeLines="50" w:before="120" w:afterLines="50" w:after="120"/>
              <w:rPr>
                <w:rFonts w:ascii="Times New Roman" w:hAnsi="Times New Roman"/>
              </w:rPr>
            </w:pPr>
            <w:r>
              <w:rPr>
                <w:rFonts w:ascii="Times New Roman" w:hAnsi="Times New Roman"/>
              </w:rPr>
              <w:t>Agree with rapporteur, the impact of the SCG deactivation does not need to be handled at BAP lavel.</w:t>
            </w:r>
          </w:p>
        </w:tc>
      </w:tr>
      <w:tr w:rsidR="00B00E07" w14:paraId="79DF8777" w14:textId="77777777" w:rsidTr="00060652">
        <w:tc>
          <w:tcPr>
            <w:tcW w:w="1785" w:type="dxa"/>
            <w:shd w:val="clear" w:color="auto" w:fill="auto"/>
          </w:tcPr>
          <w:p w14:paraId="1CB11242" w14:textId="773AEDA8"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03" w:type="dxa"/>
            <w:shd w:val="clear" w:color="auto" w:fill="auto"/>
          </w:tcPr>
          <w:p w14:paraId="5016409F" w14:textId="2CAAE8F7" w:rsidR="00B00E07" w:rsidRDefault="00B00E07"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00B9FB04" w14:textId="12DF716F" w:rsidR="00B00E07" w:rsidRDefault="00B00E07" w:rsidP="00060652">
            <w:pPr>
              <w:spacing w:beforeLines="50" w:before="120" w:afterLines="50" w:after="120"/>
              <w:rPr>
                <w:rFonts w:ascii="Times New Roman" w:hAnsi="Times New Roman"/>
              </w:rPr>
            </w:pPr>
            <w:r>
              <w:rPr>
                <w:rFonts w:ascii="Times New Roman" w:hAnsi="Times New Roman" w:hint="eastAsia"/>
              </w:rPr>
              <w:t>S</w:t>
            </w:r>
            <w:r>
              <w:rPr>
                <w:rFonts w:ascii="Times New Roman" w:hAnsi="Times New Roman"/>
              </w:rPr>
              <w:t>ee answer to Q3.</w:t>
            </w:r>
          </w:p>
        </w:tc>
      </w:tr>
      <w:tr w:rsidR="00442B9F" w14:paraId="5A68272C" w14:textId="77777777" w:rsidTr="00060652">
        <w:tc>
          <w:tcPr>
            <w:tcW w:w="1785" w:type="dxa"/>
            <w:shd w:val="clear" w:color="auto" w:fill="auto"/>
          </w:tcPr>
          <w:p w14:paraId="505199A6" w14:textId="3272AA22" w:rsidR="00442B9F" w:rsidRDefault="00442B9F" w:rsidP="00060652">
            <w:pPr>
              <w:spacing w:beforeLines="50" w:before="120" w:afterLines="50" w:after="120"/>
              <w:rPr>
                <w:rFonts w:ascii="Times New Roman" w:hAnsi="Times New Roman" w:hint="eastAsia"/>
              </w:rPr>
            </w:pPr>
            <w:r>
              <w:rPr>
                <w:rFonts w:ascii="Times New Roman" w:hAnsi="Times New Roman"/>
              </w:rPr>
              <w:t>Intel</w:t>
            </w:r>
          </w:p>
        </w:tc>
        <w:tc>
          <w:tcPr>
            <w:tcW w:w="1803" w:type="dxa"/>
            <w:shd w:val="clear" w:color="auto" w:fill="auto"/>
          </w:tcPr>
          <w:p w14:paraId="65804B8C" w14:textId="32E39AEC" w:rsidR="00442B9F" w:rsidRDefault="00442B9F" w:rsidP="00060652">
            <w:pPr>
              <w:spacing w:beforeLines="50" w:before="120" w:afterLines="50" w:after="120"/>
              <w:rPr>
                <w:rFonts w:ascii="Times New Roman" w:hAnsi="Times New Roman" w:hint="eastAsia"/>
              </w:rPr>
            </w:pPr>
            <w:r>
              <w:rPr>
                <w:rFonts w:ascii="Times New Roman" w:hAnsi="Times New Roman"/>
              </w:rPr>
              <w:t>No</w:t>
            </w:r>
          </w:p>
        </w:tc>
        <w:tc>
          <w:tcPr>
            <w:tcW w:w="6041" w:type="dxa"/>
            <w:shd w:val="clear" w:color="auto" w:fill="auto"/>
          </w:tcPr>
          <w:p w14:paraId="05DF1653" w14:textId="77777777" w:rsidR="00442B9F" w:rsidRDefault="00442B9F" w:rsidP="00060652">
            <w:pPr>
              <w:spacing w:beforeLines="50" w:before="120" w:afterLines="50" w:after="120"/>
              <w:rPr>
                <w:rFonts w:ascii="Times New Roman" w:hAnsi="Times New Roman" w:hint="eastAsia"/>
              </w:rPr>
            </w:pPr>
          </w:p>
        </w:tc>
      </w:tr>
    </w:tbl>
    <w:p w14:paraId="2C0538A6" w14:textId="77777777" w:rsidR="00BC15B8" w:rsidRDefault="00BC15B8">
      <w:pPr>
        <w:spacing w:beforeLines="50" w:before="120" w:afterLines="50" w:after="120"/>
        <w:rPr>
          <w:rFonts w:ascii="Times New Roman" w:eastAsia="SimSun" w:hAnsi="Times New Roman"/>
        </w:rPr>
      </w:pPr>
    </w:p>
    <w:p w14:paraId="5F5B0DDF" w14:textId="77777777" w:rsidR="00BC15B8" w:rsidRDefault="00BC15B8">
      <w:pPr>
        <w:spacing w:beforeLines="50" w:before="120" w:afterLines="50" w:after="120"/>
        <w:rPr>
          <w:rFonts w:ascii="Times New Roman" w:eastAsia="SimSun"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utoSpaceDE w:val="0"/>
              <w:autoSpaceDN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50" w:author="Huawei-Yulong" w:date="2022-04-21T15:04:00Z">
              <w:r>
                <w:rPr>
                  <w:rFonts w:ascii="Times New Roman" w:eastAsia="Times New Roman" w:hAnsi="Times New Roman"/>
                  <w:lang w:val="en-GB"/>
                </w:rPr>
                <w:t xml:space="preserve">(after the BAP header rewriting operation </w:t>
              </w:r>
            </w:ins>
            <w:ins w:id="51" w:author="Huawei-Yulong" w:date="2022-04-21T15:05:00Z">
              <w:r>
                <w:rPr>
                  <w:rFonts w:ascii="Times New Roman" w:eastAsia="Times New Roman" w:hAnsi="Times New Roman"/>
                  <w:lang w:val="en-GB"/>
                </w:rPr>
                <w:t>in accordance with clause</w:t>
              </w:r>
            </w:ins>
            <w:ins w:id="52" w:author="Huawei-Yulong" w:date="2022-04-21T15:04:00Z">
              <w:r>
                <w:rPr>
                  <w:rFonts w:ascii="Times New Roman" w:eastAsia="Times New Roman" w:hAnsi="Times New Roman"/>
                  <w:lang w:val="en-GB"/>
                </w:rPr>
                <w:t xml:space="preserve"> 5.2.1.</w:t>
              </w:r>
            </w:ins>
            <w:ins w:id="53" w:author="Huawei-Yulong" w:date="2022-04-21T15:09:00Z">
              <w:r>
                <w:rPr>
                  <w:rFonts w:ascii="Times New Roman" w:eastAsia="Times New Roman" w:hAnsi="Times New Roman"/>
                  <w:lang w:val="en-GB"/>
                </w:rPr>
                <w:t>5</w:t>
              </w:r>
            </w:ins>
            <w:ins w:id="54" w:author="Huawei-Yulong" w:date="2022-04-21T15:04:00Z">
              <w:r>
                <w:rPr>
                  <w:rFonts w:ascii="Times New Roman" w:eastAsia="Times New Roman" w:hAnsi="Times New Roman"/>
                  <w:lang w:val="en-GB"/>
                </w:rPr>
                <w:t xml:space="preserve"> or </w:t>
              </w:r>
            </w:ins>
            <w:ins w:id="55" w:author="Huawei-Yulong" w:date="2022-04-21T15:08:00Z">
              <w:r>
                <w:rPr>
                  <w:rFonts w:ascii="Times New Roman" w:eastAsia="SimSun" w:hAnsi="Times New Roman" w:cs="Arial"/>
                  <w:lang w:val="en-GB"/>
                </w:rPr>
                <w:t>5.2.</w:t>
              </w:r>
              <w:r>
                <w:rPr>
                  <w:rFonts w:ascii="Times New Roman" w:eastAsia="SimSun" w:hAnsi="Times New Roman" w:cs="Arial"/>
                  <w:lang w:val="en-GB" w:eastAsia="ko-KR"/>
                </w:rPr>
                <w:t>1</w:t>
              </w:r>
              <w:r>
                <w:rPr>
                  <w:rFonts w:ascii="Times New Roman" w:eastAsia="SimSun" w:hAnsi="Times New Roman" w:cs="Arial"/>
                  <w:lang w:val="en-GB"/>
                </w:rPr>
                <w:t>.3</w:t>
              </w:r>
            </w:ins>
            <w:ins w:id="56"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the BAP entity shall:</w:t>
            </w:r>
          </w:p>
          <w:p w14:paraId="734B0DDF" w14:textId="77777777" w:rsidR="00BC15B8" w:rsidRDefault="00F51A60">
            <w:pPr>
              <w:overflowPunct w:val="0"/>
              <w:autoSpaceDE w:val="0"/>
              <w:autoSpaceDN w:val="0"/>
              <w:adjustRightInd w:val="0"/>
              <w:spacing w:after="180"/>
              <w:ind w:left="568" w:hanging="284"/>
              <w:textAlignment w:val="baseline"/>
              <w:rPr>
                <w:rFonts w:ascii="Times New Roman" w:eastAsia="SimSun"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DengXian" w:hAnsi="Times New Roman"/>
          <w:b/>
          <w:bCs/>
          <w:lang w:val="en-GB"/>
        </w:rPr>
      </w:pPr>
      <w:r>
        <w:rPr>
          <w:rFonts w:ascii="Times New Roman" w:eastAsia="DengXian" w:hAnsi="Times New Roman" w:hint="eastAsia"/>
          <w:b/>
          <w:bCs/>
          <w:lang w:val="en-GB"/>
        </w:rPr>
        <w:t>T</w:t>
      </w:r>
      <w:r>
        <w:rPr>
          <w:rFonts w:ascii="Times New Roman" w:eastAsia="DengXian" w:hAnsi="Times New Roman"/>
          <w:b/>
          <w:bCs/>
          <w:lang w:val="en-GB"/>
        </w:rPr>
        <w:t>he reason for change is copied:</w:t>
      </w:r>
    </w:p>
    <w:p w14:paraId="100774B3"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hint="eastAsia"/>
          <w:bCs/>
          <w:lang w:val="en-GB"/>
        </w:rPr>
        <w:t>I</w:t>
      </w:r>
      <w:r>
        <w:rPr>
          <w:rFonts w:ascii="Times New Roman" w:eastAsia="DengXian"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bCs/>
          <w:lang w:val="en-GB"/>
        </w:rPr>
        <w:t>Case 1: At the boundary node, the non-F1-terminating topology data just received may contains BAP address not included in the routing configuration, but will contains the BAP address included in the routing configuration after header rewriting. So, we need to clarify that as long as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bCs/>
          <w:lang w:val="en-GB"/>
        </w:rPr>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w:t>
      </w:r>
      <w:r>
        <w:rPr>
          <w:rFonts w:ascii="Times New Roman" w:eastAsia="DengXian" w:hAnsi="Times New Roman"/>
          <w:bCs/>
          <w:lang w:val="en-GB"/>
        </w:rPr>
        <w:lastRenderedPageBreak/>
        <w:t>routed with header rewriting, which should not be discarded. So, we need to clarify that as long as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SimSun" w:hAnsi="Times New Roman"/>
              </w:rPr>
            </w:pPr>
            <w:ins w:id="57" w:author="Fujitsu" w:date="2022-05-13T12:21: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DengXian" w:hAnsi="Times New Roman"/>
                <w:rPrChange w:id="58" w:author="Fujitsu" w:date="2022-05-13T12:21:00Z">
                  <w:rPr>
                    <w:rFonts w:ascii="Times New Roman" w:hAnsi="Times New Roman"/>
                  </w:rPr>
                </w:rPrChange>
              </w:rPr>
            </w:pPr>
            <w:ins w:id="59" w:author="Fujitsu" w:date="2022-05-13T12:21:00Z">
              <w:r>
                <w:rPr>
                  <w:rFonts w:ascii="Times New Roman" w:eastAsia="DengXian" w:hAnsi="Times New Roman" w:hint="eastAsia"/>
                </w:rPr>
                <w:t>S</w:t>
              </w:r>
              <w:r>
                <w:rPr>
                  <w:rFonts w:ascii="Times New Roman" w:eastAsia="DengXian"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60" w:author="Fujitsu" w:date="2022-05-13T12:21:00Z"/>
                <w:rFonts w:ascii="Times New Roman" w:eastAsia="DengXian" w:hAnsi="Times New Roman"/>
              </w:rPr>
            </w:pPr>
            <w:ins w:id="61" w:author="Fujitsu" w:date="2022-05-13T12:21:00Z">
              <w:r>
                <w:rPr>
                  <w:rFonts w:ascii="Times New Roman" w:eastAsia="DengXian" w:hAnsi="Times New Roman" w:hint="eastAsia"/>
                </w:rPr>
                <w:t>A</w:t>
              </w:r>
              <w:r>
                <w:rPr>
                  <w:rFonts w:ascii="Times New Roman" w:eastAsia="DengXian" w:hAnsi="Times New Roman"/>
                </w:rPr>
                <w:t xml:space="preserve">gree with the intention. </w:t>
              </w:r>
            </w:ins>
            <w:ins w:id="62" w:author="Fujitsu" w:date="2022-05-13T12:28:00Z">
              <w:r>
                <w:rPr>
                  <w:rFonts w:ascii="Times New Roman" w:eastAsia="DengXian" w:hAnsi="Times New Roman"/>
                </w:rPr>
                <w:t>Need to</w:t>
              </w:r>
            </w:ins>
            <w:ins w:id="63" w:author="Fujitsu" w:date="2022-05-13T12:22:00Z">
              <w:r>
                <w:rPr>
                  <w:rFonts w:ascii="Times New Roman" w:eastAsia="DengXian"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DengXian" w:hAnsi="Times New Roman"/>
                <w:rPrChange w:id="64" w:author="Fujitsu" w:date="2022-05-13T12:21:00Z">
                  <w:rPr>
                    <w:rFonts w:ascii="Times New Roman" w:hAnsi="Times New Roman"/>
                  </w:rPr>
                </w:rPrChange>
              </w:rPr>
            </w:pPr>
            <w:r>
              <w:rPr>
                <w:rFonts w:ascii="Times New Roman" w:eastAsia="Times New Roman" w:hAnsi="Times New Roman"/>
                <w:lang w:val="en-GB"/>
              </w:rPr>
              <w:t xml:space="preserve">When a BAP Data PDU </w:t>
            </w:r>
            <w:ins w:id="65" w:author="Huawei-Yulong" w:date="2022-04-21T15:04:00Z">
              <w:r>
                <w:rPr>
                  <w:rFonts w:ascii="Times New Roman" w:eastAsia="Times New Roman" w:hAnsi="Times New Roman"/>
                  <w:lang w:val="en-GB"/>
                </w:rPr>
                <w:t xml:space="preserve">(after the BAP header rewriting operation </w:t>
              </w:r>
            </w:ins>
            <w:ins w:id="66" w:author="Huawei-Yulong" w:date="2022-04-21T15:05:00Z">
              <w:r>
                <w:rPr>
                  <w:rFonts w:ascii="Times New Roman" w:eastAsia="Times New Roman" w:hAnsi="Times New Roman"/>
                  <w:lang w:val="en-GB"/>
                </w:rPr>
                <w:t>in accordance with clause</w:t>
              </w:r>
            </w:ins>
            <w:ins w:id="67" w:author="Huawei-Yulong" w:date="2022-04-21T15:04:00Z">
              <w:r>
                <w:rPr>
                  <w:rFonts w:ascii="Times New Roman" w:eastAsia="Times New Roman" w:hAnsi="Times New Roman"/>
                  <w:lang w:val="en-GB"/>
                </w:rPr>
                <w:t xml:space="preserve"> 5.2.1.</w:t>
              </w:r>
            </w:ins>
            <w:ins w:id="68" w:author="Huawei-Yulong" w:date="2022-04-21T15:09:00Z">
              <w:r>
                <w:rPr>
                  <w:rFonts w:ascii="Times New Roman" w:eastAsia="Times New Roman" w:hAnsi="Times New Roman"/>
                  <w:lang w:val="en-GB"/>
                </w:rPr>
                <w:t>5</w:t>
              </w:r>
            </w:ins>
            <w:ins w:id="69" w:author="Huawei-Yulong" w:date="2022-04-21T15:04:00Z">
              <w:r>
                <w:rPr>
                  <w:rFonts w:ascii="Times New Roman" w:eastAsia="Times New Roman" w:hAnsi="Times New Roman"/>
                  <w:lang w:val="en-GB"/>
                </w:rPr>
                <w:t xml:space="preserve"> or </w:t>
              </w:r>
            </w:ins>
            <w:ins w:id="70" w:author="Huawei-Yulong" w:date="2022-04-21T15:08:00Z">
              <w:r>
                <w:rPr>
                  <w:rFonts w:ascii="Times New Roman" w:eastAsia="SimSun" w:hAnsi="Times New Roman" w:cs="Arial"/>
                  <w:lang w:val="en-GB"/>
                </w:rPr>
                <w:t>5.2.</w:t>
              </w:r>
              <w:r>
                <w:rPr>
                  <w:rFonts w:ascii="Times New Roman" w:eastAsia="SimSun" w:hAnsi="Times New Roman" w:cs="Arial"/>
                  <w:lang w:val="en-GB" w:eastAsia="ko-KR"/>
                </w:rPr>
                <w:t>1</w:t>
              </w:r>
              <w:r>
                <w:rPr>
                  <w:rFonts w:ascii="Times New Roman" w:eastAsia="SimSun" w:hAnsi="Times New Roman" w:cs="Arial"/>
                  <w:lang w:val="en-GB"/>
                </w:rPr>
                <w:t>.3</w:t>
              </w:r>
            </w:ins>
            <w:ins w:id="71"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72"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We also think the topology should be considered when check the BH Routing configuration for the BAP address .</w:t>
            </w:r>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046ADBD4" w:rsidR="00060652" w:rsidRDefault="00FE074E"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02E09F17" w14:textId="7D18FE02" w:rsidR="00060652" w:rsidRDefault="00FE074E" w:rsidP="00060652">
            <w:pPr>
              <w:spacing w:beforeLines="50" w:before="120" w:afterLines="50" w:after="120"/>
              <w:rPr>
                <w:rFonts w:ascii="Times New Roman" w:hAnsi="Times New Roman"/>
              </w:rPr>
            </w:pPr>
            <w:r>
              <w:rPr>
                <w:rFonts w:ascii="Times New Roman" w:hAnsi="Times New Roman"/>
              </w:rPr>
              <w:t>OK, but</w:t>
            </w:r>
          </w:p>
        </w:tc>
        <w:tc>
          <w:tcPr>
            <w:tcW w:w="6029" w:type="dxa"/>
            <w:shd w:val="clear" w:color="auto" w:fill="auto"/>
          </w:tcPr>
          <w:p w14:paraId="699BE783" w14:textId="00BDD2E0" w:rsidR="00060652" w:rsidRDefault="00FE074E" w:rsidP="00060652">
            <w:pPr>
              <w:spacing w:beforeLines="50" w:before="120" w:afterLines="50" w:after="120"/>
              <w:rPr>
                <w:rFonts w:ascii="Times New Roman" w:hAnsi="Times New Roman"/>
              </w:rPr>
            </w:pPr>
            <w:r>
              <w:rPr>
                <w:rFonts w:ascii="Times New Roman" w:hAnsi="Times New Roman"/>
              </w:rPr>
              <w:t xml:space="preserve">The intention of the change is correct, but this is a legacy procedure that should not be affected. If we keep the proposed wording it seems that this procedure </w:t>
            </w:r>
            <w:r w:rsidR="00FC1791">
              <w:rPr>
                <w:rFonts w:ascii="Times New Roman" w:hAnsi="Times New Roman"/>
              </w:rPr>
              <w:t>is applicable</w:t>
            </w:r>
            <w:r>
              <w:rPr>
                <w:rFonts w:ascii="Times New Roman" w:hAnsi="Times New Roman"/>
              </w:rPr>
              <w:t xml:space="preserve"> only to packets which were subject to the BAP header rewriting.</w:t>
            </w:r>
          </w:p>
          <w:p w14:paraId="7E43F0FF" w14:textId="1A3303DA" w:rsidR="00FE074E" w:rsidRDefault="00744B97" w:rsidP="00060652">
            <w:pPr>
              <w:spacing w:beforeLines="50" w:before="120" w:afterLines="50" w:after="120"/>
              <w:rPr>
                <w:rFonts w:ascii="Times New Roman" w:hAnsi="Times New Roman"/>
              </w:rPr>
            </w:pPr>
            <w:r>
              <w:rPr>
                <w:rFonts w:ascii="Times New Roman" w:hAnsi="Times New Roman"/>
              </w:rPr>
              <w:t>Rather than using the text in brackets, we prefer</w:t>
            </w:r>
            <w:r w:rsidR="00FC1791" w:rsidRPr="00744B97">
              <w:rPr>
                <w:rFonts w:ascii="Times New Roman" w:hAnsi="Times New Roman"/>
              </w:rPr>
              <w:t xml:space="preserve"> hav</w:t>
            </w:r>
            <w:r>
              <w:rPr>
                <w:rFonts w:ascii="Times New Roman" w:hAnsi="Times New Roman"/>
              </w:rPr>
              <w:t>ing</w:t>
            </w:r>
            <w:r w:rsidR="00FC1791" w:rsidRPr="00744B97">
              <w:rPr>
                <w:rFonts w:ascii="Times New Roman" w:hAnsi="Times New Roman"/>
              </w:rPr>
              <w:t xml:space="preserve"> a separate sentence </w:t>
            </w:r>
            <w:r>
              <w:rPr>
                <w:rFonts w:ascii="Times New Roman" w:hAnsi="Times New Roman"/>
              </w:rPr>
              <w:t>just handling</w:t>
            </w:r>
            <w:r w:rsidR="00FC1791" w:rsidRPr="00744B97">
              <w:rPr>
                <w:rFonts w:ascii="Times New Roman" w:hAnsi="Times New Roman"/>
              </w:rPr>
              <w:t xml:space="preserve"> the case in which the IAB-MT does the BAP header rewriting</w:t>
            </w:r>
            <w:r>
              <w:rPr>
                <w:rFonts w:ascii="Times New Roman" w:hAnsi="Times New Roman"/>
              </w:rPr>
              <w:t>.</w:t>
            </w:r>
          </w:p>
        </w:tc>
      </w:tr>
      <w:tr w:rsidR="00B00E07" w14:paraId="55DDCB6E" w14:textId="77777777" w:rsidTr="00060652">
        <w:tc>
          <w:tcPr>
            <w:tcW w:w="1788" w:type="dxa"/>
            <w:shd w:val="clear" w:color="auto" w:fill="auto"/>
          </w:tcPr>
          <w:p w14:paraId="1E35A308" w14:textId="79EB1443"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2" w:type="dxa"/>
            <w:shd w:val="clear" w:color="auto" w:fill="auto"/>
          </w:tcPr>
          <w:p w14:paraId="0ABC1FB5" w14:textId="56736A2C" w:rsidR="00B00E07" w:rsidRDefault="00B00E07" w:rsidP="00060652">
            <w:pPr>
              <w:spacing w:beforeLines="50" w:before="120" w:afterLines="50" w:after="120"/>
              <w:rPr>
                <w:rFonts w:ascii="Times New Roman" w:hAnsi="Times New Roman"/>
              </w:rPr>
            </w:pPr>
            <w:r>
              <w:rPr>
                <w:rFonts w:ascii="Times New Roman" w:hAnsi="Times New Roman"/>
              </w:rPr>
              <w:t xml:space="preserve">See comments </w:t>
            </w:r>
          </w:p>
        </w:tc>
        <w:tc>
          <w:tcPr>
            <w:tcW w:w="6029" w:type="dxa"/>
            <w:shd w:val="clear" w:color="auto" w:fill="auto"/>
          </w:tcPr>
          <w:p w14:paraId="038DDB94" w14:textId="77777777" w:rsidR="00240FF6" w:rsidRDefault="00B00E07" w:rsidP="00CF2776">
            <w:pPr>
              <w:spacing w:beforeLines="50" w:before="120" w:afterLines="50" w:after="120"/>
              <w:rPr>
                <w:rFonts w:ascii="Times New Roman" w:hAnsi="Times New Roman"/>
              </w:rPr>
            </w:pPr>
            <w:r>
              <w:rPr>
                <w:rFonts w:ascii="Times New Roman" w:hAnsi="Times New Roman" w:hint="eastAsia"/>
              </w:rPr>
              <w:t>T</w:t>
            </w:r>
            <w:r>
              <w:rPr>
                <w:rFonts w:ascii="Times New Roman" w:hAnsi="Times New Roman"/>
              </w:rPr>
              <w:t>he intention is correct. But the change could be refined. For each BAP header rewriting entry, the new BAP routing ID should be assumed to be a correct BAP routing ID. So the BAP address carried in a BAP PDU after BAP header rewriting should be a valid one.</w:t>
            </w:r>
            <w:r w:rsidR="00CF2776">
              <w:rPr>
                <w:rFonts w:ascii="Times New Roman" w:hAnsi="Times New Roman"/>
              </w:rPr>
              <w:t xml:space="preserve"> </w:t>
            </w:r>
          </w:p>
          <w:p w14:paraId="6E192643" w14:textId="2FF72453" w:rsidR="00B00E07" w:rsidRDefault="00CF2776" w:rsidP="00021502">
            <w:pPr>
              <w:spacing w:beforeLines="50" w:before="120" w:afterLines="50" w:after="120"/>
              <w:rPr>
                <w:rFonts w:ascii="Times New Roman" w:hAnsi="Times New Roman"/>
              </w:rPr>
            </w:pPr>
            <w:r>
              <w:rPr>
                <w:rFonts w:ascii="Times New Roman" w:hAnsi="Times New Roman"/>
              </w:rPr>
              <w:t xml:space="preserve">However, it could happen that the BAP entity fails to </w:t>
            </w:r>
            <w:r w:rsidR="00021502">
              <w:rPr>
                <w:rFonts w:ascii="Times New Roman" w:hAnsi="Times New Roman"/>
              </w:rPr>
              <w:t xml:space="preserve">rewrite the </w:t>
            </w:r>
            <w:r>
              <w:rPr>
                <w:rFonts w:ascii="Times New Roman" w:hAnsi="Times New Roman"/>
              </w:rPr>
              <w:t>BAP header according</w:t>
            </w:r>
            <w:r>
              <w:rPr>
                <w:rFonts w:ascii="Times New Roman" w:eastAsia="Times New Roman" w:hAnsi="Times New Roman"/>
                <w:lang w:val="en-GB"/>
              </w:rPr>
              <w:t xml:space="preserve"> clause 5.2.1.5 or </w:t>
            </w:r>
            <w:r>
              <w:rPr>
                <w:rFonts w:ascii="Times New Roman" w:eastAsia="SimSun" w:hAnsi="Times New Roman" w:cs="Arial"/>
                <w:lang w:val="en-GB"/>
              </w:rPr>
              <w:t>5.2.</w:t>
            </w:r>
            <w:r>
              <w:rPr>
                <w:rFonts w:ascii="Times New Roman" w:eastAsia="SimSun" w:hAnsi="Times New Roman" w:cs="Arial"/>
                <w:lang w:val="en-GB" w:eastAsia="ko-KR"/>
              </w:rPr>
              <w:t>1</w:t>
            </w:r>
            <w:r>
              <w:rPr>
                <w:rFonts w:ascii="Times New Roman" w:eastAsia="SimSun" w:hAnsi="Times New Roman" w:cs="Arial"/>
                <w:lang w:val="en-GB"/>
              </w:rPr>
              <w:t>.3</w:t>
            </w:r>
            <w:r>
              <w:rPr>
                <w:rFonts w:ascii="Times New Roman" w:hAnsi="Times New Roman"/>
              </w:rPr>
              <w:t xml:space="preserve"> for a BAP PDU and its BAP address in the BAP header is invalid</w:t>
            </w:r>
            <w:r w:rsidR="00240FF6">
              <w:rPr>
                <w:rFonts w:ascii="Times New Roman" w:hAnsi="Times New Roman"/>
              </w:rPr>
              <w:t>, the BAP PDU is determined to be invalid. This could be considered in the refinement.</w:t>
            </w:r>
          </w:p>
        </w:tc>
      </w:tr>
      <w:tr w:rsidR="00BF446E" w14:paraId="0D5369E4" w14:textId="77777777" w:rsidTr="00060652">
        <w:tc>
          <w:tcPr>
            <w:tcW w:w="1788" w:type="dxa"/>
            <w:shd w:val="clear" w:color="auto" w:fill="auto"/>
          </w:tcPr>
          <w:p w14:paraId="57F45351" w14:textId="0B533AFF" w:rsidR="00BF446E" w:rsidRDefault="00BF446E" w:rsidP="00BF446E">
            <w:pPr>
              <w:spacing w:beforeLines="50" w:before="120" w:afterLines="50" w:after="120"/>
              <w:rPr>
                <w:rFonts w:ascii="Times New Roman" w:hAnsi="Times New Roman" w:hint="eastAsia"/>
              </w:rPr>
            </w:pPr>
            <w:r>
              <w:rPr>
                <w:rFonts w:ascii="Times New Roman" w:eastAsia="SimSun" w:hAnsi="Times New Roman" w:cs="Times New Roman"/>
              </w:rPr>
              <w:t>Intel</w:t>
            </w:r>
          </w:p>
        </w:tc>
        <w:tc>
          <w:tcPr>
            <w:tcW w:w="1812" w:type="dxa"/>
            <w:shd w:val="clear" w:color="auto" w:fill="auto"/>
          </w:tcPr>
          <w:p w14:paraId="532D3E90" w14:textId="130B063B" w:rsidR="00BF446E" w:rsidRDefault="00BF446E" w:rsidP="00BF446E">
            <w:pPr>
              <w:spacing w:beforeLines="50" w:before="120" w:afterLines="50" w:after="120"/>
              <w:rPr>
                <w:rFonts w:ascii="Times New Roman" w:hAnsi="Times New Roman"/>
              </w:rPr>
            </w:pPr>
            <w:r>
              <w:rPr>
                <w:rFonts w:ascii="Times New Roman" w:hAnsi="Times New Roman" w:cs="Times New Roman" w:hint="eastAsia"/>
              </w:rPr>
              <w:t>Yes</w:t>
            </w:r>
            <w:r>
              <w:rPr>
                <w:rFonts w:ascii="Times New Roman" w:hAnsi="Times New Roman" w:cs="Times New Roman"/>
              </w:rPr>
              <w:t xml:space="preserve"> </w:t>
            </w:r>
          </w:p>
        </w:tc>
        <w:tc>
          <w:tcPr>
            <w:tcW w:w="6029" w:type="dxa"/>
            <w:shd w:val="clear" w:color="auto" w:fill="auto"/>
          </w:tcPr>
          <w:p w14:paraId="09C608FC" w14:textId="32A38E99" w:rsidR="00BF446E" w:rsidRDefault="00BF446E" w:rsidP="00BF446E">
            <w:pPr>
              <w:spacing w:beforeLines="50" w:before="120" w:afterLines="50" w:after="120"/>
              <w:rPr>
                <w:rFonts w:ascii="Times New Roman" w:hAnsi="Times New Roman" w:hint="eastAsia"/>
              </w:rPr>
            </w:pPr>
            <w:r>
              <w:rPr>
                <w:rFonts w:ascii="Times New Roman" w:hAnsi="Times New Roman" w:cs="Times New Roman"/>
              </w:rPr>
              <w:t xml:space="preserve">In general, we agree that discarding BAP Data PDU should be done after BAP header rewriting operation so that the BAP routing ID or BAP header are updated with the latest routing information. </w:t>
            </w:r>
            <w:r w:rsidR="00382C86">
              <w:rPr>
                <w:rFonts w:ascii="Times New Roman" w:hAnsi="Times New Roman" w:cs="Times New Roman"/>
              </w:rPr>
              <w:t xml:space="preserve">Considering topology information and using separate paragraph to capture packet discarding case for BAP </w:t>
            </w:r>
            <w:r w:rsidR="00382C86">
              <w:rPr>
                <w:rFonts w:ascii="Times New Roman" w:hAnsi="Times New Roman" w:cs="Times New Roman"/>
              </w:rPr>
              <w:lastRenderedPageBreak/>
              <w:t>header rewriting case only as commented by Ericsson are ok for us.</w:t>
            </w:r>
          </w:p>
        </w:tc>
      </w:tr>
    </w:tbl>
    <w:p w14:paraId="6FF1CA32" w14:textId="77777777" w:rsidR="00BC15B8" w:rsidRDefault="00BC15B8">
      <w:pPr>
        <w:spacing w:beforeLines="50" w:before="120" w:afterLines="50" w:after="120"/>
        <w:rPr>
          <w:rFonts w:ascii="Times New Roman" w:eastAsia="DengXian" w:hAnsi="Times New Roman"/>
          <w:bCs/>
          <w:lang w:val="en-GB"/>
        </w:rPr>
      </w:pPr>
    </w:p>
    <w:p w14:paraId="29E6CE29" w14:textId="77777777" w:rsidR="00BC15B8" w:rsidRDefault="00BC15B8">
      <w:pPr>
        <w:spacing w:beforeLines="50" w:before="120" w:afterLines="50" w:after="120"/>
        <w:rPr>
          <w:rFonts w:ascii="Times New Roman" w:eastAsia="DengXian"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utoSpaceDE w:val="0"/>
        <w:autoSpaceDN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t>a</w:t>
      </w:r>
      <w:ins w:id="73" w:author="vivo" w:date="2022-04-25T15:17:00Z">
        <w:r>
          <w:rPr>
            <w:rFonts w:ascii="Times New Roman" w:eastAsia="Times New Roman" w:hAnsi="Times New Roman"/>
            <w:lang w:val="en-GB"/>
          </w:rPr>
          <w:t>n</w:t>
        </w:r>
      </w:ins>
      <w:r>
        <w:rPr>
          <w:rFonts w:ascii="Times New Roman" w:eastAsia="Times New Roman" w:hAnsi="Times New Roman"/>
          <w:lang w:val="en-GB"/>
        </w:rPr>
        <w:t xml:space="preserve"> </w:t>
      </w:r>
      <w:del w:id="74" w:author="vivo" w:date="2022-04-25T15:17:00Z">
        <w:r>
          <w:rPr>
            <w:rFonts w:ascii="Times New Roman" w:eastAsia="Times New Roman" w:hAnsi="Times New Roman"/>
            <w:lang w:val="en-GB"/>
          </w:rPr>
          <w:delText xml:space="preserve">Type </w:delText>
        </w:r>
      </w:del>
      <w:ins w:id="75"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r>
        <w:rPr>
          <w:rFonts w:ascii="Times New Roman" w:eastAsia="Times New Roman" w:hAnsi="Times New Roman"/>
          <w:i/>
          <w:lang w:val="en-GB"/>
        </w:rPr>
        <w:t xml:space="preserve">Non-F1-terminating Topology Indicator </w:t>
      </w:r>
      <w:r>
        <w:rPr>
          <w:rFonts w:ascii="Times New Roman" w:eastAsia="Times New Roman" w:hAnsi="Times New Roman"/>
          <w:lang w:val="en-GB"/>
        </w:rPr>
        <w:t>IE.</w:t>
      </w:r>
    </w:p>
    <w:p w14:paraId="7A2ADEC5" w14:textId="77777777" w:rsidR="00BC15B8" w:rsidRDefault="00F51A60">
      <w:pPr>
        <w:overflowPunct w:val="0"/>
        <w:autoSpaceDE w:val="0"/>
        <w:autoSpaceDN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Times New Roman" w:hAnsi="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SimSun" w:hAnsi="Times New Roman"/>
              </w:rPr>
            </w:pPr>
            <w:ins w:id="76" w:author="Fujitsu" w:date="2022-05-13T12:29: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DengXian" w:hAnsi="Times New Roman"/>
                <w:rPrChange w:id="77" w:author="Fujitsu" w:date="2022-05-13T12:29:00Z">
                  <w:rPr>
                    <w:rFonts w:ascii="Times New Roman" w:hAnsi="Times New Roman"/>
                  </w:rPr>
                </w:rPrChange>
              </w:rPr>
            </w:pPr>
            <w:ins w:id="78" w:author="Fujitsu" w:date="2022-05-13T14:51:00Z">
              <w:r>
                <w:rPr>
                  <w:rFonts w:ascii="Times New Roman" w:eastAsia="DengXian" w:hAnsi="Times New Roman"/>
                </w:rPr>
                <w:t>Yes</w:t>
              </w:r>
            </w:ins>
          </w:p>
        </w:tc>
        <w:tc>
          <w:tcPr>
            <w:tcW w:w="6027" w:type="dxa"/>
            <w:shd w:val="clear" w:color="auto" w:fill="auto"/>
          </w:tcPr>
          <w:p w14:paraId="4EB7084E" w14:textId="77777777" w:rsidR="00BC15B8" w:rsidRDefault="00F51A60">
            <w:pPr>
              <w:spacing w:beforeLines="50" w:before="120" w:afterLines="50" w:after="120"/>
              <w:rPr>
                <w:ins w:id="79" w:author="Fujitsu" w:date="2022-05-13T14:51:00Z"/>
                <w:rFonts w:ascii="Times New Roman" w:eastAsia="DengXian" w:hAnsi="Times New Roman"/>
              </w:rPr>
            </w:pPr>
            <w:ins w:id="80" w:author="Fujitsu" w:date="2022-05-13T14:51:00Z">
              <w:r>
                <w:rPr>
                  <w:rFonts w:ascii="Times New Roman" w:eastAsia="DengXian"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81" w:author="Fujitsu" w:date="2022-05-13T14:51:00Z">
              <w:r>
                <w:rPr>
                  <w:rFonts w:ascii="Times New Roman" w:eastAsia="DengXian" w:hAnsi="Times New Roman"/>
                </w:rPr>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3" w:type="dxa"/>
            <w:shd w:val="clear" w:color="auto" w:fill="auto"/>
          </w:tcPr>
          <w:p w14:paraId="53BE03C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w:t>
            </w:r>
          </w:p>
        </w:tc>
        <w:tc>
          <w:tcPr>
            <w:tcW w:w="6027" w:type="dxa"/>
            <w:shd w:val="clear" w:color="auto" w:fill="auto"/>
          </w:tcPr>
          <w:p w14:paraId="3BA4EDF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IAB topology is widely used in the R17 spec. It is more clear comapred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60DF08C8"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501CEF17" w14:textId="0E409E75" w:rsidR="00060652" w:rsidRDefault="00805371"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r w:rsidR="00B00E07" w14:paraId="6AB95970" w14:textId="77777777" w:rsidTr="00060652">
        <w:tc>
          <w:tcPr>
            <w:tcW w:w="1789" w:type="dxa"/>
            <w:shd w:val="clear" w:color="auto" w:fill="auto"/>
          </w:tcPr>
          <w:p w14:paraId="5C7ECEFE" w14:textId="62DD2E90"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07D7C0F1" w14:textId="246D9A57" w:rsidR="00B00E07" w:rsidRDefault="00B00E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B1188C8" w14:textId="77777777" w:rsidR="00B00E07" w:rsidRDefault="00B00E07" w:rsidP="00060652">
            <w:pPr>
              <w:spacing w:beforeLines="50" w:before="120" w:afterLines="50" w:after="120"/>
              <w:rPr>
                <w:rFonts w:ascii="Times New Roman" w:hAnsi="Times New Roman"/>
              </w:rPr>
            </w:pPr>
          </w:p>
        </w:tc>
      </w:tr>
      <w:tr w:rsidR="000F7EF3" w14:paraId="14D5C589" w14:textId="77777777" w:rsidTr="00060652">
        <w:tc>
          <w:tcPr>
            <w:tcW w:w="1789" w:type="dxa"/>
            <w:shd w:val="clear" w:color="auto" w:fill="auto"/>
          </w:tcPr>
          <w:p w14:paraId="140F96C3" w14:textId="1688C021" w:rsidR="000F7EF3" w:rsidRDefault="000F7EF3" w:rsidP="00060652">
            <w:pPr>
              <w:spacing w:beforeLines="50" w:before="120" w:afterLines="50" w:after="120"/>
              <w:rPr>
                <w:rFonts w:ascii="Times New Roman" w:hAnsi="Times New Roman" w:hint="eastAsia"/>
              </w:rPr>
            </w:pPr>
            <w:r>
              <w:rPr>
                <w:rFonts w:ascii="Times New Roman" w:hAnsi="Times New Roman"/>
              </w:rPr>
              <w:t>Intel</w:t>
            </w:r>
          </w:p>
        </w:tc>
        <w:tc>
          <w:tcPr>
            <w:tcW w:w="1813" w:type="dxa"/>
            <w:shd w:val="clear" w:color="auto" w:fill="auto"/>
          </w:tcPr>
          <w:p w14:paraId="3517636C" w14:textId="4CDC56AD" w:rsidR="000F7EF3" w:rsidRDefault="000F7EF3" w:rsidP="00060652">
            <w:pPr>
              <w:spacing w:beforeLines="50" w:before="120" w:afterLines="50" w:after="120"/>
              <w:rPr>
                <w:rFonts w:ascii="Times New Roman" w:hAnsi="Times New Roman" w:hint="eastAsia"/>
              </w:rPr>
            </w:pPr>
            <w:r>
              <w:rPr>
                <w:rFonts w:ascii="Times New Roman" w:hAnsi="Times New Roman"/>
              </w:rPr>
              <w:t>No strong view</w:t>
            </w:r>
          </w:p>
        </w:tc>
        <w:tc>
          <w:tcPr>
            <w:tcW w:w="6027" w:type="dxa"/>
            <w:shd w:val="clear" w:color="auto" w:fill="auto"/>
          </w:tcPr>
          <w:p w14:paraId="5D4E02FE" w14:textId="77777777" w:rsidR="000F7EF3" w:rsidRDefault="000F7EF3" w:rsidP="00060652">
            <w:pPr>
              <w:spacing w:beforeLines="50" w:before="120" w:afterLines="50" w:after="120"/>
              <w:rPr>
                <w:rFonts w:ascii="Times New Roman" w:hAnsi="Times New Roman"/>
              </w:rPr>
            </w:pPr>
          </w:p>
        </w:tc>
      </w:tr>
    </w:tbl>
    <w:p w14:paraId="1AE264C6" w14:textId="77777777" w:rsidR="00BC15B8" w:rsidRDefault="00BC15B8">
      <w:pPr>
        <w:spacing w:beforeLines="50" w:before="120" w:afterLines="50" w:after="120"/>
        <w:rPr>
          <w:rFonts w:ascii="Times New Roman" w:eastAsia="DengXian" w:hAnsi="Times New Roman"/>
          <w:bCs/>
          <w:lang w:val="en-GB"/>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R2-2206040:</w:t>
      </w:r>
    </w:p>
    <w:p w14:paraId="1E8E75B3"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BH RLC channel: </w:t>
      </w:r>
      <w:r>
        <w:rPr>
          <w:rFonts w:ascii="Times New Roman" w:eastAsia="SimSun" w:hAnsi="Times New Roman"/>
          <w:lang w:val="en-GB"/>
        </w:rPr>
        <w:t>an RLC channel between two nodes, which is used to transport backhaul packets, as defined in TS 38.300 [2]</w:t>
      </w:r>
      <w:r>
        <w:rPr>
          <w:rFonts w:ascii="Times New Roman" w:eastAsia="SimSun" w:hAnsi="Times New Roman"/>
          <w:b/>
          <w:lang w:val="en-GB"/>
        </w:rPr>
        <w:t>.</w:t>
      </w:r>
    </w:p>
    <w:p w14:paraId="5A4607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xml:space="preserve">: </w:t>
      </w:r>
      <w:del w:id="82" w:author="QCOM2" w:date="2022-04-13T15:09:00Z">
        <w:r>
          <w:rPr>
            <w:rFonts w:ascii="Times New Roman" w:eastAsia="SimSun" w:hAnsi="Times New Roman"/>
            <w:lang w:val="en-GB"/>
          </w:rPr>
          <w:delText xml:space="preserve">an IAB-node with one RRC interface terminating at a different IAB-donor than the F1 interface, </w:delText>
        </w:r>
      </w:del>
      <w:r>
        <w:rPr>
          <w:rFonts w:ascii="Times New Roman" w:eastAsia="SimSun" w:hAnsi="Times New Roman"/>
          <w:lang w:val="en-GB"/>
        </w:rPr>
        <w:t>as defined in TS 38.401 [6].</w:t>
      </w:r>
    </w:p>
    <w:p w14:paraId="4BA63104" w14:textId="77777777" w:rsidR="00BC15B8" w:rsidRDefault="00F51A60">
      <w:pPr>
        <w:spacing w:after="180"/>
        <w:rPr>
          <w:rFonts w:ascii="Times New Roman" w:eastAsia="SimSun" w:hAnsi="Times New Roman"/>
          <w:lang w:val="en-GB"/>
        </w:rPr>
      </w:pPr>
      <w:r>
        <w:rPr>
          <w:rFonts w:ascii="Times New Roman" w:eastAsia="SimSun" w:hAnsi="Times New Roman"/>
          <w:b/>
          <w:lang w:val="en-GB"/>
        </w:rPr>
        <w:t xml:space="preserve">Egress BH RLC channel: </w:t>
      </w:r>
      <w:r>
        <w:rPr>
          <w:rFonts w:ascii="Times New Roman" w:eastAsia="SimSun" w:hAnsi="Times New Roman"/>
          <w:lang w:val="en-GB"/>
        </w:rPr>
        <w:t>a BH RLC channel on which a packet is transmitted by a node.</w:t>
      </w:r>
    </w:p>
    <w:p w14:paraId="41B355B9" w14:textId="77777777" w:rsidR="00BC15B8" w:rsidRDefault="00F51A60">
      <w:pPr>
        <w:spacing w:after="180"/>
        <w:rPr>
          <w:rFonts w:ascii="Times New Roman" w:eastAsia="SimSun" w:hAnsi="Times New Roman"/>
          <w:lang w:val="en-GB"/>
        </w:rPr>
      </w:pPr>
      <w:r>
        <w:rPr>
          <w:rFonts w:ascii="Times New Roman" w:eastAsia="SimSun" w:hAnsi="Times New Roman"/>
          <w:b/>
          <w:lang w:val="en-GB"/>
        </w:rPr>
        <w:t>Egress link</w:t>
      </w:r>
      <w:r>
        <w:rPr>
          <w:rFonts w:ascii="Times New Roman" w:eastAsia="SimSun" w:hAnsi="Times New Roman"/>
          <w:lang w:val="en-GB"/>
        </w:rPr>
        <w:t>: a radio link on which a packet is transmitted by a node.</w:t>
      </w:r>
    </w:p>
    <w:p w14:paraId="17EC69EF" w14:textId="77777777" w:rsidR="00BC15B8" w:rsidRDefault="00F51A60">
      <w:pPr>
        <w:spacing w:after="180"/>
        <w:rPr>
          <w:ins w:id="83" w:author="QCOM2" w:date="2022-04-13T15:09:00Z"/>
          <w:rFonts w:ascii="Times New Roman" w:eastAsia="SimSun" w:hAnsi="Times New Roman"/>
          <w:lang w:val="en-GB"/>
        </w:rPr>
      </w:pPr>
      <w:r>
        <w:rPr>
          <w:rFonts w:ascii="Times New Roman" w:eastAsia="SimSun" w:hAnsi="Times New Roman"/>
          <w:b/>
          <w:lang w:val="en-GB"/>
        </w:rPr>
        <w:lastRenderedPageBreak/>
        <w:t xml:space="preserve">F1-terminating </w:t>
      </w:r>
      <w:ins w:id="84"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85" w:author="QCOM2" w:date="2022-04-13T15:10:00Z">
        <w:r>
          <w:rPr>
            <w:rFonts w:ascii="Times New Roman" w:eastAsia="SimSun" w:hAnsi="Times New Roman"/>
            <w:lang w:val="en-GB"/>
          </w:rPr>
          <w:t>as defined in TS 38.401 [2].</w:t>
        </w:r>
      </w:ins>
      <w:del w:id="86" w:author="QCOM2" w:date="2022-04-13T15:09:00Z">
        <w:r>
          <w:rPr>
            <w:rFonts w:ascii="Times New Roman" w:eastAsia="SimSun" w:hAnsi="Times New Roman"/>
            <w:lang w:val="en-GB"/>
          </w:rPr>
          <w:delText>The IAB-donor of an IAB-node, which manages the F1 interface with this IAB-node.</w:delText>
        </w:r>
      </w:del>
      <w:r>
        <w:rPr>
          <w:rFonts w:ascii="Times New Roman" w:eastAsia="SimSun" w:hAnsi="Times New Roman"/>
          <w:lang w:val="en-GB"/>
        </w:rPr>
        <w:t xml:space="preserve"> </w:t>
      </w:r>
    </w:p>
    <w:p w14:paraId="63A8B37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w:t>
      </w:r>
      <w:r>
        <w:rPr>
          <w:rFonts w:ascii="Times New Roman" w:eastAsia="SimSun" w:hAnsi="Times New Roman"/>
          <w:lang w:val="en-GB"/>
        </w:rPr>
        <w:t>: as defined in TS 38.300 [2].</w:t>
      </w:r>
    </w:p>
    <w:p w14:paraId="59FAAF0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IAB-donor-DU</w:t>
      </w:r>
      <w:r>
        <w:rPr>
          <w:rFonts w:ascii="Times New Roman" w:eastAsia="SimSun" w:hAnsi="Times New Roman"/>
          <w:lang w:val="en-GB"/>
        </w:rPr>
        <w:t>: as defined in TS 38.401 [6].</w:t>
      </w:r>
    </w:p>
    <w:p w14:paraId="011A9477"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IAB-node</w:t>
      </w:r>
      <w:r>
        <w:rPr>
          <w:rFonts w:ascii="Times New Roman" w:eastAsia="SimSun" w:hAnsi="Times New Roman"/>
          <w:lang w:val="en-GB"/>
        </w:rPr>
        <w:t>: as defined in TS 38.300 [2].</w:t>
      </w:r>
    </w:p>
    <w:p w14:paraId="73BE4DAD"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Ingress BH RLC channel: </w:t>
      </w:r>
      <w:r>
        <w:rPr>
          <w:rFonts w:ascii="Times New Roman" w:eastAsia="SimSun" w:hAnsi="Times New Roman"/>
          <w:lang w:val="en-GB"/>
        </w:rPr>
        <w:t>a BH RLC channel on which a packet is received by a node.</w:t>
      </w:r>
    </w:p>
    <w:p w14:paraId="66B6EBB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Ingress link</w:t>
      </w:r>
      <w:r>
        <w:rPr>
          <w:rFonts w:ascii="Times New Roman" w:eastAsia="SimSun" w:hAnsi="Times New Roman"/>
          <w:lang w:val="en-GB"/>
        </w:rPr>
        <w:t>: a radio link on which a packet is received by a node.</w:t>
      </w:r>
    </w:p>
    <w:p w14:paraId="127ED42F" w14:textId="77777777" w:rsidR="00BC15B8" w:rsidRDefault="00F51A60">
      <w:pPr>
        <w:spacing w:after="180"/>
        <w:rPr>
          <w:del w:id="87" w:author="QCOM2" w:date="2022-04-13T15:10:00Z"/>
          <w:rFonts w:ascii="Times New Roman" w:eastAsia="SimSun" w:hAnsi="Times New Roman"/>
          <w:lang w:val="en-GB"/>
        </w:rPr>
      </w:pPr>
      <w:r>
        <w:rPr>
          <w:rFonts w:ascii="Times New Roman" w:eastAsia="SimSun" w:hAnsi="Times New Roman"/>
          <w:b/>
          <w:lang w:val="en-GB"/>
        </w:rPr>
        <w:t xml:space="preserve">Non-F1-terminating </w:t>
      </w:r>
      <w:ins w:id="88"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89" w:author="QCOM2" w:date="2022-04-13T15:10:00Z">
        <w:r>
          <w:rPr>
            <w:rFonts w:ascii="Times New Roman" w:eastAsia="SimSun" w:hAnsi="Times New Roman"/>
            <w:lang w:val="en-GB"/>
          </w:rPr>
          <w:t xml:space="preserve">as defined in TS 38.401 [2]. </w:t>
        </w:r>
      </w:ins>
      <w:del w:id="90" w:author="QCOM2" w:date="2022-04-13T15:10:00Z">
        <w:r>
          <w:rPr>
            <w:rFonts w:ascii="Times New Roman" w:eastAsia="SimSun" w:hAnsi="Times New Roman"/>
            <w:lang w:val="en-GB"/>
          </w:rPr>
          <w:delText xml:space="preserve">The IAB-donor for an IAB-node, which does not have F1 interface with this IAB-node. </w:delText>
        </w:r>
      </w:del>
    </w:p>
    <w:p w14:paraId="269EC1BA" w14:textId="77777777" w:rsidR="00BC15B8" w:rsidRDefault="00BC15B8">
      <w:pPr>
        <w:overflowPunct w:val="0"/>
        <w:autoSpaceDE w:val="0"/>
        <w:autoSpaceDN w:val="0"/>
        <w:adjustRightInd w:val="0"/>
        <w:spacing w:after="180"/>
        <w:rPr>
          <w:rFonts w:ascii="Times New Roman" w:eastAsia="SimSun" w:hAnsi="Times New Roman"/>
          <w:b/>
          <w:lang w:val="en-GB"/>
        </w:rPr>
      </w:pPr>
    </w:p>
    <w:p w14:paraId="337ACE51" w14:textId="77777777" w:rsidR="00BC15B8" w:rsidRDefault="00F51A60">
      <w:pPr>
        <w:overflowPunct w:val="0"/>
        <w:autoSpaceDE w:val="0"/>
        <w:autoSpaceDN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lang w:val="en-GB"/>
        </w:rPr>
        <w:t>: It is fine to align the wording with RAN3 spec. But,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(i.e.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F1-terminating donor</w:t>
            </w:r>
            <w:r>
              <w:rPr>
                <w:rFonts w:ascii="Times New Roman" w:eastAsia="SimSun" w:hAnsi="Times New Roman"/>
                <w:lang w:val="en-GB"/>
              </w:rPr>
              <w:t>: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SimSun" w:hAnsi="Times New Roman"/>
                <w:lang w:val="en-GB"/>
              </w:rPr>
            </w:pPr>
            <w:r>
              <w:rPr>
                <w:rFonts w:ascii="Times New Roman" w:eastAsia="SimSun" w:hAnsi="Times New Roman"/>
                <w:b/>
                <w:lang w:val="en-GB"/>
              </w:rPr>
              <w:t>Non-F1-terminating donor</w:t>
            </w:r>
            <w:r>
              <w:rPr>
                <w:rFonts w:ascii="Times New Roman" w:eastAsia="SimSun" w:hAnsi="Times New Roman"/>
                <w:lang w:val="en-GB"/>
              </w:rPr>
              <w:t>: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SimSu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SimSun" w:hAnsi="Times New Roman"/>
              </w:rPr>
            </w:pPr>
            <w:ins w:id="91" w:author="Fujitsu" w:date="2022-05-13T13:32: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DengXian" w:hAnsi="Times New Roman"/>
                <w:rPrChange w:id="92" w:author="Fujitsu" w:date="2022-05-13T13:32:00Z">
                  <w:rPr>
                    <w:rFonts w:ascii="Times New Roman" w:hAnsi="Times New Roman"/>
                  </w:rPr>
                </w:rPrChange>
              </w:rPr>
            </w:pPr>
            <w:ins w:id="93" w:author="Fujitsu" w:date="2022-05-13T13:32:00Z">
              <w:r>
                <w:rPr>
                  <w:rFonts w:ascii="Times New Roman" w:eastAsia="DengXian" w:hAnsi="Times New Roman" w:hint="eastAsia"/>
                </w:rPr>
                <w:t>E</w:t>
              </w:r>
              <w:r>
                <w:rPr>
                  <w:rFonts w:ascii="Times New Roman" w:eastAsia="DengXian" w:hAnsi="Times New Roman"/>
                </w:rPr>
                <w:t xml:space="preserve">ither way is fine, as long as they are </w:t>
              </w:r>
            </w:ins>
            <w:ins w:id="94" w:author="Fujitsu" w:date="2022-05-13T13:33:00Z">
              <w:r>
                <w:rPr>
                  <w:rFonts w:ascii="Times New Roman" w:eastAsia="DengXian" w:hAnsi="Times New Roman"/>
                </w:rPr>
                <w:t>aligned</w:t>
              </w:r>
            </w:ins>
            <w:ins w:id="95" w:author="Fujitsu" w:date="2022-05-13T13:32:00Z">
              <w:r>
                <w:rPr>
                  <w:rFonts w:ascii="Times New Roman" w:eastAsia="DengXian"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r w:rsidR="00867D0D">
              <w:rPr>
                <w:rFonts w:ascii="Times New Roman" w:hAnsi="Times New Roman"/>
              </w:rPr>
              <w:t xml:space="preserve"> immediately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SimSun"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22BF12C5"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27298154" w14:textId="523A1B1F" w:rsidR="00060652" w:rsidRDefault="00805371" w:rsidP="00060652">
            <w:pPr>
              <w:spacing w:beforeLines="50" w:before="120" w:afterLines="50" w:after="120"/>
              <w:rPr>
                <w:rFonts w:ascii="Times New Roman" w:hAnsi="Times New Roman"/>
              </w:rPr>
            </w:pPr>
            <w:r>
              <w:rPr>
                <w:rFonts w:ascii="Times New Roman" w:hAnsi="Times New Roman"/>
              </w:rPr>
              <w:t>Yes</w:t>
            </w:r>
          </w:p>
        </w:tc>
        <w:tc>
          <w:tcPr>
            <w:tcW w:w="6029" w:type="dxa"/>
            <w:shd w:val="clear" w:color="auto" w:fill="auto"/>
          </w:tcPr>
          <w:p w14:paraId="7E534243" w14:textId="19925503" w:rsidR="00060652" w:rsidRDefault="00805371" w:rsidP="00060652">
            <w:pPr>
              <w:spacing w:beforeLines="50" w:before="120" w:afterLines="50" w:after="120"/>
              <w:rPr>
                <w:rFonts w:ascii="Times New Roman" w:hAnsi="Times New Roman"/>
              </w:rPr>
            </w:pPr>
            <w:r>
              <w:rPr>
                <w:rFonts w:ascii="Times New Roman" w:hAnsi="Times New Roman"/>
              </w:rPr>
              <w:t>Better to keep some explanation in our RAN2 specs.</w:t>
            </w:r>
          </w:p>
        </w:tc>
      </w:tr>
      <w:tr w:rsidR="002D1107" w14:paraId="3C341692" w14:textId="77777777" w:rsidTr="00060652">
        <w:tc>
          <w:tcPr>
            <w:tcW w:w="1788" w:type="dxa"/>
            <w:shd w:val="clear" w:color="auto" w:fill="auto"/>
          </w:tcPr>
          <w:p w14:paraId="289F8CB3" w14:textId="0CE1452F" w:rsidR="002D1107" w:rsidRDefault="002D11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2" w:type="dxa"/>
            <w:shd w:val="clear" w:color="auto" w:fill="auto"/>
          </w:tcPr>
          <w:p w14:paraId="0BE5868C" w14:textId="3A1FA76C" w:rsidR="002D1107" w:rsidRDefault="002D11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9" w:type="dxa"/>
            <w:shd w:val="clear" w:color="auto" w:fill="auto"/>
          </w:tcPr>
          <w:p w14:paraId="7F676253" w14:textId="49257C21" w:rsidR="002D1107" w:rsidRDefault="002D1107" w:rsidP="00060652">
            <w:pPr>
              <w:spacing w:beforeLines="50" w:before="120" w:afterLines="50" w:after="120"/>
              <w:rPr>
                <w:rFonts w:ascii="Times New Roman" w:hAnsi="Times New Roman"/>
              </w:rPr>
            </w:pPr>
            <w:r>
              <w:rPr>
                <w:rFonts w:ascii="Times New Roman" w:hAnsi="Times New Roman" w:hint="eastAsia"/>
              </w:rPr>
              <w:t>G</w:t>
            </w:r>
            <w:r>
              <w:rPr>
                <w:rFonts w:ascii="Times New Roman" w:hAnsi="Times New Roman"/>
              </w:rPr>
              <w:t>ood to have unified definition across</w:t>
            </w:r>
            <w:r w:rsidR="00CF54B7">
              <w:rPr>
                <w:rFonts w:ascii="Times New Roman" w:hAnsi="Times New Roman"/>
              </w:rPr>
              <w:t xml:space="preserve"> different</w:t>
            </w:r>
            <w:r>
              <w:rPr>
                <w:rFonts w:ascii="Times New Roman" w:hAnsi="Times New Roman"/>
              </w:rPr>
              <w:t xml:space="preserve"> specifications.</w:t>
            </w:r>
          </w:p>
        </w:tc>
      </w:tr>
      <w:tr w:rsidR="00E80671" w14:paraId="0CBFCF48" w14:textId="77777777" w:rsidTr="00060652">
        <w:tc>
          <w:tcPr>
            <w:tcW w:w="1788" w:type="dxa"/>
            <w:shd w:val="clear" w:color="auto" w:fill="auto"/>
          </w:tcPr>
          <w:p w14:paraId="1C29861B" w14:textId="57F8841E" w:rsidR="00E80671" w:rsidRDefault="00E80671" w:rsidP="00E80671">
            <w:pPr>
              <w:spacing w:beforeLines="50" w:before="120" w:afterLines="50" w:after="120"/>
              <w:rPr>
                <w:rFonts w:ascii="Times New Roman" w:hAnsi="Times New Roman" w:hint="eastAsia"/>
              </w:rPr>
            </w:pPr>
            <w:r>
              <w:rPr>
                <w:rFonts w:ascii="Times New Roman" w:eastAsia="SimSun" w:hAnsi="Times New Roman" w:cs="Times New Roman"/>
              </w:rPr>
              <w:t>Intel</w:t>
            </w:r>
          </w:p>
        </w:tc>
        <w:tc>
          <w:tcPr>
            <w:tcW w:w="1812" w:type="dxa"/>
            <w:shd w:val="clear" w:color="auto" w:fill="auto"/>
          </w:tcPr>
          <w:p w14:paraId="000A7A40" w14:textId="73F15D38" w:rsidR="00E80671" w:rsidRDefault="00E80671" w:rsidP="00E80671">
            <w:pPr>
              <w:spacing w:beforeLines="50" w:before="120" w:afterLines="50" w:after="120"/>
              <w:rPr>
                <w:rFonts w:ascii="Times New Roman" w:hAnsi="Times New Roman" w:hint="eastAsia"/>
              </w:rPr>
            </w:pPr>
            <w:r>
              <w:rPr>
                <w:rFonts w:ascii="Times New Roman" w:hAnsi="Times New Roman" w:cs="Times New Roman"/>
              </w:rPr>
              <w:t>Yes</w:t>
            </w:r>
          </w:p>
        </w:tc>
        <w:tc>
          <w:tcPr>
            <w:tcW w:w="6029" w:type="dxa"/>
            <w:shd w:val="clear" w:color="auto" w:fill="auto"/>
          </w:tcPr>
          <w:p w14:paraId="2D00A4D2" w14:textId="0D9223E2" w:rsidR="00E80671" w:rsidRDefault="00E80671" w:rsidP="00E80671">
            <w:pPr>
              <w:spacing w:beforeLines="50" w:before="120" w:afterLines="50" w:after="120"/>
              <w:rPr>
                <w:rFonts w:ascii="Times New Roman" w:hAnsi="Times New Roman" w:hint="eastAsia"/>
              </w:rPr>
            </w:pPr>
            <w:r>
              <w:rPr>
                <w:rFonts w:ascii="Times New Roman" w:hAnsi="Times New Roman" w:cs="Times New Roman"/>
              </w:rPr>
              <w:t>Agree to copy from 38.401 which is more friendly to readers</w:t>
            </w:r>
          </w:p>
        </w:tc>
      </w:tr>
    </w:tbl>
    <w:p w14:paraId="428840A8" w14:textId="77777777" w:rsidR="00BC15B8" w:rsidRDefault="00BC15B8">
      <w:pPr>
        <w:overflowPunct w:val="0"/>
        <w:autoSpaceDE w:val="0"/>
        <w:autoSpaceDN w:val="0"/>
        <w:adjustRightInd w:val="0"/>
        <w:spacing w:after="180"/>
        <w:rPr>
          <w:rFonts w:ascii="Times New Roman" w:eastAsia="SimSun" w:hAnsi="Times New Roman"/>
          <w:lang w:val="en-GB"/>
        </w:rPr>
      </w:pPr>
    </w:p>
    <w:p w14:paraId="0025381D" w14:textId="77777777" w:rsidR="00BC15B8" w:rsidRDefault="00F51A60">
      <w:pPr>
        <w:overflowPunct w:val="0"/>
        <w:autoSpaceDE w:val="0"/>
        <w:autoSpaceDN w:val="0"/>
        <w:adjustRightInd w:val="0"/>
        <w:spacing w:after="120"/>
        <w:textAlignment w:val="baseline"/>
        <w:rPr>
          <w:rFonts w:ascii="Times New Roman" w:hAnsi="Times New Roman"/>
        </w:rPr>
      </w:pPr>
      <w:r>
        <w:rPr>
          <w:rFonts w:ascii="Times New Roman" w:eastAsia="DengXian" w:hAnsi="Times New Roman"/>
          <w:bCs/>
          <w:lang w:val="en-GB"/>
        </w:rPr>
        <w:t xml:space="preserve"> </w:t>
      </w:r>
    </w:p>
    <w:bookmarkEnd w:id="0"/>
    <w:bookmarkEnd w:id="1"/>
    <w:bookmarkEnd w:id="2"/>
    <w:p w14:paraId="2EE6642A"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utoSpaceDE w:val="0"/>
        <w:autoSpaceDN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412B6C87"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ZTE, Sanechips</w:t>
      </w:r>
    </w:p>
    <w:p w14:paraId="39EF43B2"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SCG deactivation impact on NR eIAB</w:t>
      </w:r>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64EC344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Miscellaneous corrections to 38.340 for eIAB</w:t>
      </w:r>
      <w:r>
        <w:rPr>
          <w:rFonts w:ascii="Times New Roman" w:hAnsi="Times New Roman"/>
        </w:rPr>
        <w:tab/>
        <w:t>Qualcomm Incorporated</w:t>
      </w:r>
      <w:r>
        <w:rPr>
          <w:rFonts w:ascii="Times New Roman" w:hAnsi="Times New Roman"/>
        </w:rPr>
        <w:tab/>
      </w:r>
    </w:p>
    <w:sectPr w:rsidR="00BC15B8">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B046" w14:textId="77777777" w:rsidR="00255E11" w:rsidRDefault="00255E11">
      <w:r>
        <w:separator/>
      </w:r>
    </w:p>
  </w:endnote>
  <w:endnote w:type="continuationSeparator" w:id="0">
    <w:p w14:paraId="4135F180" w14:textId="77777777" w:rsidR="00255E11" w:rsidRDefault="0025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altName w:val="Courier New"/>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3FFF" w14:textId="15157F7C" w:rsidR="00CF113F" w:rsidRDefault="00CF113F">
    <w:pPr>
      <w:pStyle w:val="Footer"/>
      <w:tabs>
        <w:tab w:val="center" w:pos="4820"/>
        <w:tab w:val="right" w:pos="9639"/>
      </w:tabs>
      <w:jc w:val="left"/>
    </w:pPr>
    <w:r>
      <w:tab/>
    </w:r>
    <w:r>
      <w:fldChar w:fldCharType="begin"/>
    </w:r>
    <w:r>
      <w:rPr>
        <w:rStyle w:val="PageNumber"/>
      </w:rPr>
      <w:instrText xml:space="preserve"> PAGE </w:instrText>
    </w:r>
    <w:r>
      <w:fldChar w:fldCharType="separate"/>
    </w:r>
    <w:r w:rsidR="00CF54B7">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CF54B7">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B082" w14:textId="77777777" w:rsidR="00255E11" w:rsidRDefault="00255E11">
      <w:r>
        <w:separator/>
      </w:r>
    </w:p>
  </w:footnote>
  <w:footnote w:type="continuationSeparator" w:id="0">
    <w:p w14:paraId="6855C9F3" w14:textId="77777777" w:rsidR="00255E11" w:rsidRDefault="0025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ACF8" w14:textId="77777777" w:rsidR="00CF113F" w:rsidRDefault="00CF11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5B1"/>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3A25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25B1"/>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ind w:left="568" w:hanging="284"/>
    </w:pPr>
  </w:style>
  <w:style w:type="paragraph" w:styleId="TOC7">
    <w:name w:val="toc 7"/>
    <w:basedOn w:val="TOC6"/>
    <w:next w:val="Normal"/>
    <w:uiPriority w:val="39"/>
    <w:semiHidden/>
    <w:pPr>
      <w:ind w:left="2268" w:hanging="2268"/>
    </w:pPr>
  </w:style>
  <w:style w:type="paragraph" w:styleId="TOC6">
    <w:name w:val="toc 6"/>
    <w:basedOn w:val="TOC5"/>
    <w:next w:val="Normal"/>
    <w:uiPriority w:val="39"/>
    <w:semiHidden/>
    <w:pPr>
      <w:ind w:left="1985" w:hanging="1985"/>
    </w:p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szCs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ListNumber2">
    <w:name w:val="List Number 2"/>
    <w:basedOn w:val="ListNumber"/>
    <w:uiPriority w:val="99"/>
    <w:pPr>
      <w:ind w:left="851"/>
    </w:pPr>
  </w:style>
  <w:style w:type="paragraph" w:styleId="ListNumber">
    <w:name w:val="List Number"/>
    <w:basedOn w:val="List"/>
    <w:uiPriority w:val="99"/>
    <w:pPr>
      <w:ind w:left="0" w:firstLine="0"/>
    </w:pPr>
  </w:style>
  <w:style w:type="paragraph" w:styleId="ListBullet4">
    <w:name w:val="List Bullet 4"/>
    <w:basedOn w:val="ListBullet3"/>
    <w:uiPriority w:val="99"/>
    <w:pPr>
      <w:numPr>
        <w:numId w:val="2"/>
      </w:numPr>
    </w:pPr>
  </w:style>
  <w:style w:type="paragraph" w:styleId="ListBullet3">
    <w:name w:val="List Bullet 3"/>
    <w:basedOn w:val="ListBullet2"/>
    <w:uiPriority w:val="99"/>
    <w:pPr>
      <w:numPr>
        <w:numId w:val="3"/>
      </w:numPr>
    </w:pPr>
  </w:style>
  <w:style w:type="paragraph" w:styleId="ListBullet2">
    <w:name w:val="List Bullet 2"/>
    <w:basedOn w:val="ListBullet"/>
    <w:uiPriority w:val="99"/>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rPr>
      <w:rFonts w:eastAsia="Courier New"/>
      <w:lang w:val="en-GB"/>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Symbol" w:hAnsi="Symbol" w:cs="Symbol"/>
    </w:rPr>
  </w:style>
  <w:style w:type="paragraph" w:styleId="CommentText">
    <w:name w:val="annotation text"/>
    <w:basedOn w:val="Normal"/>
    <w:link w:val="CommentTextChar"/>
    <w:uiPriority w:val="99"/>
  </w:style>
  <w:style w:type="paragraph" w:styleId="ListBullet5">
    <w:name w:val="List Bullet 5"/>
    <w:basedOn w:val="ListBullet4"/>
    <w:uiPriority w:val="99"/>
    <w:pPr>
      <w:numPr>
        <w:numId w:val="6"/>
      </w:numPr>
    </w:pPr>
  </w:style>
  <w:style w:type="paragraph" w:styleId="TOC8">
    <w:name w:val="toc 8"/>
    <w:basedOn w:val="TOC1"/>
    <w:uiPriority w:val="39"/>
    <w:semiHidden/>
    <w:pPr>
      <w:spacing w:before="180"/>
      <w:ind w:left="2693" w:hanging="2693"/>
    </w:pPr>
    <w:rPr>
      <w:b/>
      <w:bCs/>
    </w:rPr>
  </w:style>
  <w:style w:type="paragraph" w:styleId="BalloonText">
    <w:name w:val="Balloon Text"/>
    <w:basedOn w:val="Normal"/>
    <w:link w:val="BalloonTextChar"/>
    <w:uiPriority w:val="99"/>
    <w:semiHidden/>
    <w:rPr>
      <w:rFonts w:ascii="Symbol" w:hAnsi="Symbol" w:cs="Symbol"/>
      <w:sz w:val="16"/>
      <w:szCs w:val="16"/>
    </w:rPr>
  </w:style>
  <w:style w:type="paragraph" w:styleId="Footer">
    <w:name w:val="footer"/>
    <w:basedOn w:val="Header"/>
    <w:link w:val="FooterChar"/>
    <w:uiPriority w:val="99"/>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SimSun" w:hAnsi="SimSun" w:cs="SimSun"/>
      <w:b/>
      <w:bCs/>
      <w:sz w:val="18"/>
      <w:szCs w:val="18"/>
      <w:lang w:eastAsia="zh-CN"/>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ableofFigures">
    <w:name w:val="table of figures"/>
    <w:basedOn w:val="Normal"/>
    <w:next w:val="Normal"/>
    <w:pPr>
      <w:ind w:left="1418" w:hanging="1418"/>
    </w:pPr>
    <w:rPr>
      <w:b/>
    </w:rPr>
  </w:style>
  <w:style w:type="paragraph" w:styleId="TOC9">
    <w:name w:val="toc 9"/>
    <w:basedOn w:val="TOC8"/>
    <w:uiPriority w:val="39"/>
    <w:semiHidden/>
    <w:pPr>
      <w:ind w:left="1418" w:hanging="1418"/>
    </w:pPr>
  </w:style>
  <w:style w:type="paragraph" w:styleId="NormalWeb">
    <w:name w:val="Normal (Web)"/>
    <w:basedOn w:val="Normal"/>
    <w:uiPriority w:val="99"/>
    <w:unhideWhenUsed/>
    <w:pPr>
      <w:spacing w:before="100" w:beforeAutospacing="1" w:after="100" w:afterAutospacing="1"/>
    </w:pPr>
    <w:rPr>
      <w:rFonts w:ascii="MS Mincho" w:hAnsi="MS Mincho"/>
      <w:lang w:val="da-DK" w:eastAsia="da-DK"/>
    </w:rPr>
  </w:style>
  <w:style w:type="paragraph" w:styleId="Index1">
    <w:name w:val="index 1"/>
    <w:basedOn w:val="Normal"/>
    <w:uiPriority w:val="99"/>
    <w:semiHidden/>
    <w:pPr>
      <w:keepLines/>
    </w:pPr>
  </w:style>
  <w:style w:type="paragraph" w:styleId="Index2">
    <w:name w:val="index 2"/>
    <w:basedOn w:val="Index1"/>
    <w:uiPriority w:val="99"/>
    <w:semiHidden/>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Normal"/>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SimSun" w:hAnsi="SimSun"/>
    </w:rPr>
  </w:style>
  <w:style w:type="paragraph" w:customStyle="1" w:styleId="paragraph">
    <w:name w:val="paragraph"/>
    <w:basedOn w:val="Normal"/>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jc w:val="center"/>
    </w:pPr>
    <w:rPr>
      <w:rFonts w:eastAsia="Courier New"/>
      <w:b/>
      <w:lang w:val="en-GB"/>
    </w:rPr>
  </w:style>
  <w:style w:type="paragraph" w:customStyle="1" w:styleId="a">
    <w:name w:val="图表标题"/>
    <w:basedOn w:val="Normal"/>
    <w:next w:val="Normal"/>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lang w:val="en-US"/>
    </w:rPr>
  </w:style>
  <w:style w:type="paragraph" w:customStyle="1" w:styleId="B1">
    <w:name w:val="B1+"/>
    <w:basedOn w:val="B10"/>
    <w:link w:val="B1Car"/>
    <w:pPr>
      <w:numPr>
        <w:numId w:val="8"/>
      </w:numPr>
      <w:overflowPunct w:val="0"/>
      <w:autoSpaceDE w:val="0"/>
      <w:autoSpaceDN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lang w:val="en-GB"/>
    </w:rPr>
  </w:style>
  <w:style w:type="paragraph" w:customStyle="1" w:styleId="TT">
    <w:name w:val="TT"/>
    <w:basedOn w:val="Heading1"/>
    <w:next w:val="Normal"/>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MS Mincho" w:eastAsia="MS Mincho" w:hAnsi="MS Mincho"/>
      <w:lang w:eastAsia="en-GB"/>
    </w:rPr>
  </w:style>
  <w:style w:type="paragraph" w:customStyle="1" w:styleId="NO">
    <w:name w:val="NO"/>
    <w:basedOn w:val="Normal"/>
    <w:link w:val="NOChar"/>
    <w:pPr>
      <w:keepLines/>
      <w:spacing w:after="180"/>
      <w:ind w:left="1135" w:hanging="851"/>
    </w:pPr>
    <w:rPr>
      <w:rFonts w:ascii="Batang" w:eastAsia="Courier New" w:hAnsi="Batang"/>
      <w:lang w:val="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val="en-GB" w:eastAsia="en-GB"/>
    </w:rPr>
  </w:style>
  <w:style w:type="paragraph" w:customStyle="1" w:styleId="Doc-text2">
    <w:name w:val="Doc-text2"/>
    <w:basedOn w:val="Normal"/>
    <w:link w:val="Doc-text2Char"/>
    <w:qFormat/>
    <w:pPr>
      <w:tabs>
        <w:tab w:val="left" w:pos="1622"/>
      </w:tabs>
      <w:ind w:left="1622" w:hanging="363"/>
    </w:pPr>
    <w:rPr>
      <w:rFonts w:eastAsia="Cambria Math"/>
      <w:lang w:val="en-GB"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SimSun" w:eastAsia="Cambria Math" w:hAnsi="SimSun"/>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MS Mincho" w:cs="SimSun"/>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rPr>
  </w:style>
  <w:style w:type="paragraph" w:customStyle="1" w:styleId="LGTdoc">
    <w:name w:val="LGTdoc_본문"/>
    <w:basedOn w:val="Normal"/>
    <w:pPr>
      <w:snapToGrid w:val="0"/>
      <w:spacing w:afterLines="50" w:line="264" w:lineRule="auto"/>
    </w:pPr>
    <w:rPr>
      <w:rFonts w:ascii="MS Mincho" w:hAnsi="MS Mincho"/>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Courier New"/>
      <w:lang w:val="en-GB"/>
    </w:rPr>
  </w:style>
  <w:style w:type="paragraph" w:customStyle="1" w:styleId="FirstChange">
    <w:name w:val="First Change"/>
    <w:basedOn w:val="Normal"/>
    <w:uiPriority w:val="99"/>
    <w:pPr>
      <w:spacing w:after="180"/>
      <w:jc w:val="center"/>
    </w:pPr>
    <w:rPr>
      <w:rFonts w:ascii="MS Mincho" w:hAnsi="MS Mincho"/>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Normal"/>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SimSun" w:hAnsi="SimSun"/>
      <w:sz w:val="32"/>
    </w:rPr>
  </w:style>
  <w:style w:type="paragraph" w:customStyle="1" w:styleId="TALCharChar">
    <w:name w:val="TAL Char Char"/>
    <w:basedOn w:val="Normal"/>
    <w:link w:val="TALCharCharChar"/>
    <w:pPr>
      <w:keepNext/>
      <w:keepLines/>
    </w:pPr>
    <w:rPr>
      <w:rFonts w:eastAsia="Courier New"/>
      <w:sz w:val="18"/>
      <w:lang w:val="en-GB"/>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MS Mincho"/>
      <w:b/>
      <w:lang w:val="en-GB"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pPr>
      <w:keepNext/>
      <w:keepLines/>
      <w:overflowPunct w:val="0"/>
      <w:autoSpaceDE w:val="0"/>
      <w:autoSpaceDN w:val="0"/>
      <w:adjustRightInd w:val="0"/>
      <w:ind w:left="284"/>
    </w:pPr>
    <w:rPr>
      <w:rFonts w:eastAsia="MS Mincho" w:cs="SimSun"/>
      <w:bCs/>
      <w:sz w:val="18"/>
      <w:szCs w:val="18"/>
      <w:lang w:val="en-GB" w:eastAsia="en-GB"/>
    </w:rPr>
  </w:style>
  <w:style w:type="paragraph" w:customStyle="1" w:styleId="Agreement">
    <w:name w:val="Agreement"/>
    <w:basedOn w:val="Normal"/>
    <w:next w:val="Normal"/>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Normal"/>
    <w:link w:val="CommentsChar"/>
    <w:qFormat/>
    <w:pPr>
      <w:spacing w:before="40"/>
    </w:pPr>
    <w:rPr>
      <w:rFonts w:eastAsia="Cambria Math"/>
      <w:i/>
      <w:sz w:val="18"/>
      <w:lang w:val="en-GB"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SimSun" w:hAnsi="SimSun"/>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spacing w:after="180"/>
    </w:pPr>
    <w:rPr>
      <w:rFonts w:ascii="MS Mincho" w:eastAsia="MS Mincho" w:hAnsi="MS Mincho"/>
      <w:lang w:eastAsia="en-GB"/>
    </w:rPr>
  </w:style>
  <w:style w:type="paragraph" w:customStyle="1" w:styleId="a0">
    <w:name w:val="表格文本"/>
    <w:pPr>
      <w:tabs>
        <w:tab w:val="decimal" w:pos="0"/>
      </w:tabs>
    </w:pPr>
    <w:rPr>
      <w:rFonts w:ascii="SimSun" w:eastAsia="MS Gothic" w:hAnsi="SimSun"/>
      <w:sz w:val="21"/>
      <w:szCs w:val="21"/>
      <w:lang w:eastAsia="zh-CN"/>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utoSpaceDE w:val="0"/>
      <w:autoSpaceDN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MS Gothic"/>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rPr>
  </w:style>
  <w:style w:type="paragraph" w:customStyle="1" w:styleId="EW">
    <w:name w:val="EW"/>
    <w:basedOn w:val="EX"/>
    <w:uiPriority w:val="99"/>
    <w:pPr>
      <w:spacing w:after="0"/>
    </w:pPr>
  </w:style>
  <w:style w:type="paragraph" w:customStyle="1" w:styleId="a1">
    <w:uiPriority w:val="99"/>
    <w:semiHidden/>
    <w:rPr>
      <w:rFonts w:ascii="SimSun" w:eastAsia="MS Gothic" w:hAnsi="SimSun"/>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rPr>
  </w:style>
  <w:style w:type="paragraph" w:customStyle="1" w:styleId="ZTD">
    <w:name w:val="ZTD"/>
    <w:basedOn w:val="ZB"/>
    <w:uiPriority w:val="99"/>
    <w:pPr>
      <w:framePr w:hRule="auto" w:wrap="notBeside" w:y="852"/>
    </w:pPr>
    <w:rPr>
      <w:i w:val="0"/>
      <w:sz w:val="40"/>
    </w:rPr>
  </w:style>
  <w:style w:type="character" w:customStyle="1" w:styleId="BodyTextChar">
    <w:name w:val="Body Text Char"/>
    <w:link w:val="BodyText"/>
    <w:uiPriority w:val="99"/>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MS Gothic" w:hAnsi="Malgun Gothic" w:cs="MS Mincho"/>
      <w:b/>
      <w:bCs/>
      <w:sz w:val="28"/>
      <w:szCs w:val="28"/>
      <w:lang w:val="en-GB" w:eastAsia="en-GB"/>
    </w:rPr>
  </w:style>
  <w:style w:type="character" w:customStyle="1" w:styleId="Heading5Char">
    <w:name w:val="Heading 5 Char"/>
    <w:link w:val="Heading5"/>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rPr>
      <w:rFonts w:ascii="SimSun" w:eastAsia="MS Gothic" w:hAnsi="SimSun" w:cs="SimSun"/>
    </w:rPr>
  </w:style>
  <w:style w:type="character" w:customStyle="1" w:styleId="Heading4Char">
    <w:name w:val="Heading 4 Char"/>
    <w:link w:val="Heading4"/>
    <w:rPr>
      <w:rFonts w:ascii="SimSun" w:hAnsi="SimSun"/>
      <w:sz w:val="24"/>
      <w:szCs w:val="24"/>
      <w:lang w:val="en-GB" w:eastAsia="en-GB"/>
    </w:rPr>
  </w:style>
  <w:style w:type="character" w:customStyle="1" w:styleId="FootnoteTextChar">
    <w:name w:val="Footnote Text Char"/>
    <w:link w:val="FootnoteText"/>
    <w:uiPriority w:val="99"/>
    <w:semiHidden/>
    <w:rPr>
      <w:rFonts w:ascii="SimSun" w:eastAsia="MS Gothic" w:hAnsi="SimSun"/>
      <w:sz w:val="16"/>
      <w:szCs w:val="16"/>
    </w:rPr>
  </w:style>
  <w:style w:type="character" w:customStyle="1" w:styleId="HeaderChar">
    <w:name w:val="Header Char"/>
    <w:link w:val="Header"/>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rPr>
      <w:rFonts w:ascii="SimSun" w:eastAsia="MS Gothic" w:hAnsi="SimSun"/>
    </w:rPr>
  </w:style>
  <w:style w:type="character" w:customStyle="1" w:styleId="im-content20">
    <w:name w:val="im-content20"/>
    <w:rPr>
      <w:color w:val="333333"/>
    </w:rPr>
  </w:style>
  <w:style w:type="character" w:customStyle="1" w:styleId="Heading1Char1">
    <w:name w:val="Heading 1 Char1"/>
    <w:link w:val="Heading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styleId="Revision">
    <w:name w:val="Revision"/>
    <w:hidden/>
    <w:uiPriority w:val="99"/>
    <w:semiHidden/>
    <w:rsid w:val="008501F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Intel-Ziyi</cp:lastModifiedBy>
  <cp:revision>28</cp:revision>
  <cp:lastPrinted>2021-09-29T05:28:00Z</cp:lastPrinted>
  <dcterms:created xsi:type="dcterms:W3CDTF">2022-05-16T01:30:00Z</dcterms:created>
  <dcterms:modified xsi:type="dcterms:W3CDTF">2022-05-16T07:57:00Z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