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2"/>
        <w:spacing w:after="60"/>
        <w:rPr>
          <w:sz w:val="32"/>
          <w:szCs w:val="32"/>
          <w:highlight w:val="yellow"/>
        </w:rPr>
      </w:pPr>
      <w:r>
        <w:t>3GPP TSG-RAN WG2 #118-e</w:t>
      </w:r>
      <w:r>
        <w:tab/>
      </w:r>
      <w:r>
        <w:rPr>
          <w:sz w:val="32"/>
          <w:szCs w:val="32"/>
        </w:rPr>
        <w:t>Tdoc R2-220xxxx</w:t>
      </w:r>
    </w:p>
    <w:p>
      <w:pPr>
        <w:pStyle w:val="62"/>
      </w:pPr>
      <w:r>
        <w:t>Electronic meeting, 2022-05-09 – 2022-05-20</w:t>
      </w:r>
    </w:p>
    <w:p>
      <w:pPr>
        <w:pStyle w:val="62"/>
      </w:pPr>
    </w:p>
    <w:p>
      <w:pPr>
        <w:pStyle w:val="62"/>
        <w:rPr>
          <w:sz w:val="22"/>
          <w:szCs w:val="22"/>
        </w:rPr>
      </w:pPr>
      <w:r>
        <w:rPr>
          <w:sz w:val="22"/>
          <w:szCs w:val="22"/>
        </w:rPr>
        <w:t>Agenda Item:</w:t>
      </w:r>
      <w:r>
        <w:rPr>
          <w:sz w:val="22"/>
          <w:szCs w:val="22"/>
        </w:rPr>
        <w:tab/>
      </w:r>
      <w:r>
        <w:rPr>
          <w:sz w:val="22"/>
          <w:szCs w:val="22"/>
        </w:rPr>
        <w:t>7.2.3</w:t>
      </w:r>
    </w:p>
    <w:p>
      <w:pPr>
        <w:pStyle w:val="62"/>
        <w:rPr>
          <w:sz w:val="22"/>
          <w:szCs w:val="22"/>
        </w:rPr>
      </w:pPr>
      <w:r>
        <w:rPr>
          <w:sz w:val="22"/>
          <w:szCs w:val="22"/>
        </w:rPr>
        <w:t>Source:</w:t>
      </w:r>
      <w:r>
        <w:rPr>
          <w:sz w:val="22"/>
          <w:szCs w:val="22"/>
        </w:rPr>
        <w:tab/>
      </w:r>
      <w:r>
        <w:rPr>
          <w:sz w:val="22"/>
          <w:szCs w:val="22"/>
        </w:rPr>
        <w:t>Ericsson</w:t>
      </w:r>
    </w:p>
    <w:p>
      <w:pPr>
        <w:pStyle w:val="62"/>
        <w:rPr>
          <w:sz w:val="22"/>
          <w:szCs w:val="22"/>
        </w:rPr>
      </w:pPr>
      <w:r>
        <w:rPr>
          <w:sz w:val="22"/>
          <w:szCs w:val="22"/>
        </w:rPr>
        <w:t>Title:</w:t>
      </w:r>
      <w:r>
        <w:rPr>
          <w:sz w:val="22"/>
          <w:szCs w:val="22"/>
        </w:rPr>
        <w:tab/>
      </w:r>
      <w:r>
        <w:rPr>
          <w:sz w:val="22"/>
          <w:szCs w:val="22"/>
        </w:rPr>
        <w:t xml:space="preserve">Report of [AT118-e][051][IoT NTN] Idle Inactive mode </w:t>
      </w:r>
    </w:p>
    <w:p>
      <w:pPr>
        <w:pStyle w:val="62"/>
        <w:rPr>
          <w:sz w:val="22"/>
          <w:szCs w:val="22"/>
        </w:rPr>
      </w:pPr>
      <w:r>
        <w:rPr>
          <w:sz w:val="22"/>
          <w:szCs w:val="22"/>
        </w:rPr>
        <w:t>Document for:</w:t>
      </w:r>
      <w:r>
        <w:rPr>
          <w:sz w:val="22"/>
          <w:szCs w:val="22"/>
        </w:rPr>
        <w:tab/>
      </w:r>
      <w:r>
        <w:rPr>
          <w:sz w:val="22"/>
          <w:szCs w:val="22"/>
        </w:rPr>
        <w:t>Discussion, Decision</w:t>
      </w:r>
    </w:p>
    <w:p>
      <w:pPr>
        <w:pStyle w:val="2"/>
      </w:pPr>
      <w:r>
        <w:t>1</w:t>
      </w:r>
      <w:r>
        <w:tab/>
      </w:r>
      <w:r>
        <w:t>Introduction</w:t>
      </w:r>
    </w:p>
    <w:p>
      <w:pPr>
        <w:pStyle w:val="15"/>
      </w:pPr>
      <w:r>
        <w:t xml:space="preserve">This is the report for the email discussion: </w:t>
      </w:r>
    </w:p>
    <w:p>
      <w:pPr>
        <w:pStyle w:val="117"/>
        <w:overflowPunct/>
        <w:autoSpaceDE/>
        <w:autoSpaceDN/>
        <w:adjustRightInd/>
        <w:textAlignment w:val="auto"/>
      </w:pPr>
      <w:r>
        <w:t>[AT118-e][051][IoT NTN] Idle Inactive Mode (Ericsson)</w:t>
      </w:r>
    </w:p>
    <w:p>
      <w:pPr>
        <w:pStyle w:val="150"/>
        <w:ind w:left="930"/>
        <w:rPr>
          <w:color w:val="FF0000"/>
        </w:rPr>
      </w:pPr>
      <w:r>
        <w:tab/>
      </w:r>
      <w:r>
        <w:t>Scope: Treat R2-2204711, R2-2205250, R2-2205331, R2-2205861, R2-2204651</w:t>
      </w:r>
    </w:p>
    <w:p>
      <w:pPr>
        <w:pStyle w:val="150"/>
        <w:ind w:left="930"/>
      </w:pPr>
      <w:r>
        <w:tab/>
      </w:r>
      <w:r>
        <w:t xml:space="preserve">Ph1 Determine agreeable parts, Ph2, agree/endorse TP(s) if applicable. </w:t>
      </w:r>
    </w:p>
    <w:p>
      <w:pPr>
        <w:pStyle w:val="150"/>
        <w:ind w:left="930"/>
      </w:pPr>
      <w:r>
        <w:tab/>
      </w:r>
      <w:r>
        <w:t>Intended outcome: Report, endorsed TPs/Draft CRs</w:t>
      </w:r>
    </w:p>
    <w:p>
      <w:pPr>
        <w:pStyle w:val="150"/>
        <w:ind w:left="930"/>
      </w:pPr>
      <w:r>
        <w:tab/>
      </w:r>
      <w:r>
        <w:t>Deadline: Schedule 1 (CB online W2 if needed)</w:t>
      </w:r>
    </w:p>
    <w:p>
      <w:pPr>
        <w:pStyle w:val="15"/>
      </w:pPr>
    </w:p>
    <w:p>
      <w:pPr>
        <w:pStyle w:val="15"/>
      </w:pPr>
      <w:r>
        <w:t xml:space="preserve">In this e-mail discussion we will discuss idle mode issues. </w:t>
      </w:r>
    </w:p>
    <w:p>
      <w:pPr>
        <w:pStyle w:val="2"/>
      </w:pPr>
      <w:bookmarkStart w:id="0" w:name="_Ref178064866"/>
      <w:r>
        <w:t>2</w:t>
      </w:r>
      <w:r>
        <w:tab/>
      </w:r>
      <w:r>
        <w:t>Discussion</w:t>
      </w:r>
      <w:bookmarkEnd w:id="0"/>
    </w:p>
    <w:p>
      <w:pPr>
        <w:pStyle w:val="3"/>
      </w:pPr>
      <w:r>
        <w:t>2.1</w:t>
      </w:r>
      <w:r>
        <w:tab/>
      </w:r>
      <w:r>
        <w:t>t-Service corrections</w:t>
      </w:r>
    </w:p>
    <w:p>
      <w:pPr>
        <w:pStyle w:val="15"/>
      </w:pPr>
      <w:r>
        <w:t xml:space="preserve">Contribution R2-2204711 [1] and R2-2205250 [2] propose to introduce corrections to the text related to how t-service functions. </w:t>
      </w:r>
    </w:p>
    <w:p>
      <w:pPr>
        <w:pStyle w:val="15"/>
      </w:pPr>
      <w:r>
        <w:t xml:space="preserve">In [1] it is proposed to change the wording similar to NR NTN and it is also proposed that inter-frequency measurements are included in text that is related to LTE-M. </w:t>
      </w:r>
    </w:p>
    <w:p>
      <w:pPr>
        <w:pStyle w:val="15"/>
        <w:jc w:val="center"/>
        <w:rPr>
          <w:color w:val="FF0000"/>
        </w:rPr>
      </w:pPr>
      <w:r>
        <w:rPr>
          <w:color w:val="FF0000"/>
        </w:rPr>
        <w:t>------------------ TP1 ------------------</w:t>
      </w:r>
    </w:p>
    <w:p>
      <w:pPr>
        <w:pStyle w:val="5"/>
        <w:rPr>
          <w:sz w:val="22"/>
          <w:szCs w:val="18"/>
        </w:rPr>
      </w:pPr>
      <w:bookmarkStart w:id="1" w:name="_Toc52492234"/>
      <w:bookmarkStart w:id="2" w:name="_Toc46499502"/>
      <w:bookmarkStart w:id="3" w:name="_Toc37235796"/>
      <w:bookmarkStart w:id="4" w:name="_Toc29237897"/>
      <w:bookmarkStart w:id="5" w:name="_Toc100746350"/>
      <w:r>
        <w:rPr>
          <w:sz w:val="22"/>
          <w:szCs w:val="18"/>
        </w:rPr>
        <w:t>5.2.4.2</w:t>
      </w:r>
      <w:r>
        <w:rPr>
          <w:sz w:val="22"/>
          <w:szCs w:val="18"/>
        </w:rPr>
        <w:tab/>
      </w:r>
      <w:r>
        <w:rPr>
          <w:sz w:val="22"/>
          <w:szCs w:val="18"/>
        </w:rPr>
        <w:t>Measurement rules for cell re-selection</w:t>
      </w:r>
      <w:bookmarkEnd w:id="1"/>
      <w:bookmarkEnd w:id="2"/>
      <w:bookmarkEnd w:id="3"/>
      <w:bookmarkEnd w:id="4"/>
      <w:bookmarkEnd w:id="5"/>
    </w:p>
    <w:p>
      <w:pPr>
        <w:pStyle w:val="68"/>
        <w:rPr>
          <w:sz w:val="18"/>
          <w:szCs w:val="18"/>
        </w:rPr>
      </w:pPr>
      <w:r>
        <w:rPr>
          <w:sz w:val="18"/>
          <w:szCs w:val="18"/>
          <w:highlight w:val="yellow"/>
        </w:rPr>
        <w:t>&lt;Removed irrelevant parts&gt;</w:t>
      </w:r>
    </w:p>
    <w:p>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should start to perform intra-frequency, inter-frequency or inter-RAT measurements before the time </w:t>
      </w:r>
      <w:r>
        <w:rPr>
          <w:i/>
          <w:iCs/>
          <w:sz w:val="18"/>
          <w:szCs w:val="18"/>
        </w:rPr>
        <w:t xml:space="preserve">t-Service </w:t>
      </w:r>
      <w:r>
        <w:rPr>
          <w:rFonts w:eastAsia="宋体"/>
          <w:sz w:val="18"/>
          <w:szCs w:val="18"/>
        </w:rPr>
        <w:t xml:space="preserve">regardless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and Squal &gt; S</w:t>
      </w:r>
      <w:r>
        <w:rPr>
          <w:sz w:val="18"/>
          <w:szCs w:val="18"/>
          <w:vertAlign w:val="subscript"/>
        </w:rPr>
        <w:t>IntraSearchQ</w:t>
      </w:r>
      <w:r>
        <w:rPr>
          <w:rFonts w:eastAsia="宋体"/>
          <w:sz w:val="18"/>
          <w:szCs w:val="18"/>
        </w:rPr>
        <w:t xml:space="preserve">, or </w:t>
      </w:r>
      <w:r>
        <w:rPr>
          <w:sz w:val="18"/>
          <w:szCs w:val="18"/>
        </w:rPr>
        <w:t>Srxlev &gt; S</w:t>
      </w:r>
      <w:r>
        <w:rPr>
          <w:sz w:val="18"/>
          <w:szCs w:val="18"/>
          <w:vertAlign w:val="subscript"/>
        </w:rPr>
        <w:t>nonIntraSearchP</w:t>
      </w:r>
      <w:r>
        <w:rPr>
          <w:sz w:val="18"/>
          <w:szCs w:val="18"/>
        </w:rPr>
        <w:t xml:space="preserve"> and Squal &gt; S</w:t>
      </w:r>
      <w:r>
        <w:rPr>
          <w:sz w:val="18"/>
          <w:szCs w:val="18"/>
          <w:vertAlign w:val="subscript"/>
        </w:rPr>
        <w:t>nonIntraSearchQ</w:t>
      </w:r>
      <w:r>
        <w:rPr>
          <w:rFonts w:eastAsia="宋体"/>
          <w:sz w:val="18"/>
          <w:szCs w:val="18"/>
        </w:rPr>
        <w:t>,</w:t>
      </w:r>
      <w:r>
        <w:rPr>
          <w:sz w:val="18"/>
          <w:szCs w:val="18"/>
        </w:rPr>
        <w:t xml:space="preserve"> and </w:t>
      </w:r>
      <w:r>
        <w:rPr>
          <w:rFonts w:eastAsia="宋体"/>
          <w:sz w:val="18"/>
          <w:szCs w:val="18"/>
        </w:rPr>
        <w:t xml:space="preserve">the exact time to start measurement before </w:t>
      </w:r>
      <w:r>
        <w:rPr>
          <w:rFonts w:eastAsia="宋体"/>
          <w:i/>
          <w:sz w:val="18"/>
          <w:szCs w:val="18"/>
        </w:rPr>
        <w:t>t-Service</w:t>
      </w:r>
      <w:r>
        <w:rPr>
          <w:rFonts w:eastAsia="宋体"/>
          <w:sz w:val="18"/>
          <w:szCs w:val="18"/>
        </w:rPr>
        <w:t xml:space="preserve"> is up to UE implementation</w:t>
      </w:r>
      <w:r>
        <w:rPr>
          <w:sz w:val="18"/>
          <w:szCs w:val="18"/>
        </w:rPr>
        <w:t>. UE shall perform measurements of higher priority inter-frequencies or inter-RAT frequencies regardless of the remaining service time of the serving cell.</w:t>
      </w:r>
    </w:p>
    <w:p>
      <w:pPr>
        <w:keepNext/>
        <w:keepLines/>
        <w:spacing w:before="120"/>
        <w:ind w:left="1418" w:hanging="1418"/>
        <w:outlineLvl w:val="3"/>
        <w:rPr>
          <w:rFonts w:ascii="Arial" w:hAnsi="Arial"/>
          <w:sz w:val="22"/>
          <w:szCs w:val="18"/>
        </w:rPr>
      </w:pPr>
      <w:bookmarkStart w:id="6" w:name="_Toc100746351"/>
      <w:r>
        <w:rPr>
          <w:rFonts w:ascii="Arial" w:hAnsi="Arial"/>
          <w:sz w:val="22"/>
          <w:szCs w:val="18"/>
        </w:rPr>
        <w:t>5.2.4.2a</w:t>
      </w:r>
      <w:r>
        <w:rPr>
          <w:rFonts w:ascii="Arial" w:hAnsi="Arial"/>
          <w:sz w:val="22"/>
          <w:szCs w:val="18"/>
        </w:rPr>
        <w:tab/>
      </w:r>
      <w:r>
        <w:rPr>
          <w:rFonts w:ascii="Arial" w:hAnsi="Arial"/>
          <w:sz w:val="22"/>
          <w:szCs w:val="18"/>
        </w:rPr>
        <w:t>Measurement rules for cell re-selection for NB-IoT</w:t>
      </w:r>
      <w:bookmarkEnd w:id="6"/>
    </w:p>
    <w:p>
      <w:pPr>
        <w:pStyle w:val="68"/>
        <w:rPr>
          <w:sz w:val="18"/>
          <w:szCs w:val="18"/>
        </w:rPr>
      </w:pPr>
      <w:r>
        <w:rPr>
          <w:sz w:val="18"/>
          <w:szCs w:val="18"/>
          <w:highlight w:val="yellow"/>
        </w:rPr>
        <w:t>&lt;Removed irrelevant parts&gt;</w:t>
      </w:r>
    </w:p>
    <w:p>
      <w:pPr>
        <w:rPr>
          <w:sz w:val="18"/>
          <w:szCs w:val="18"/>
        </w:rPr>
      </w:pPr>
      <w:r>
        <w:rPr>
          <w:sz w:val="18"/>
          <w:szCs w:val="18"/>
        </w:rPr>
        <w:t xml:space="preserve">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should start to perform intra-frequency or inter-frequency measurements before the time </w:t>
      </w:r>
      <w:r>
        <w:rPr>
          <w:i/>
          <w:iCs/>
          <w:sz w:val="18"/>
          <w:szCs w:val="18"/>
        </w:rPr>
        <w:t xml:space="preserve">t-Service </w:t>
      </w:r>
      <w:r>
        <w:rPr>
          <w:rFonts w:eastAsia="宋体"/>
          <w:sz w:val="18"/>
          <w:szCs w:val="18"/>
        </w:rPr>
        <w:t xml:space="preserve">regardless whether the serving cell fulfils </w:t>
      </w:r>
      <w:r>
        <w:rPr>
          <w:sz w:val="18"/>
          <w:szCs w:val="18"/>
        </w:rPr>
        <w:t>Srxlev</w:t>
      </w:r>
      <w:r>
        <w:rPr>
          <w:sz w:val="18"/>
          <w:szCs w:val="18"/>
          <w:vertAlign w:val="subscript"/>
        </w:rPr>
        <w:t xml:space="preserve"> </w:t>
      </w:r>
      <w:r>
        <w:rPr>
          <w:sz w:val="18"/>
          <w:szCs w:val="18"/>
        </w:rPr>
        <w:t>&gt; S</w:t>
      </w:r>
      <w:r>
        <w:rPr>
          <w:sz w:val="18"/>
          <w:szCs w:val="18"/>
          <w:vertAlign w:val="subscript"/>
        </w:rPr>
        <w:t>IntraSearchP</w:t>
      </w:r>
      <w:r>
        <w:rPr>
          <w:sz w:val="18"/>
          <w:szCs w:val="18"/>
        </w:rPr>
        <w:t xml:space="preserve"> and Squal &gt; S</w:t>
      </w:r>
      <w:r>
        <w:rPr>
          <w:sz w:val="18"/>
          <w:szCs w:val="18"/>
          <w:vertAlign w:val="subscript"/>
        </w:rPr>
        <w:t>IntraSearchQ</w:t>
      </w:r>
      <w:r>
        <w:rPr>
          <w:rFonts w:eastAsia="宋体"/>
          <w:sz w:val="18"/>
          <w:szCs w:val="18"/>
        </w:rPr>
        <w:t xml:space="preserve">, or </w:t>
      </w:r>
      <w:r>
        <w:rPr>
          <w:sz w:val="18"/>
          <w:szCs w:val="18"/>
        </w:rPr>
        <w:t>Srxlev &gt; S</w:t>
      </w:r>
      <w:r>
        <w:rPr>
          <w:sz w:val="18"/>
          <w:szCs w:val="18"/>
          <w:vertAlign w:val="subscript"/>
        </w:rPr>
        <w:t>nonIntraSearchP</w:t>
      </w:r>
      <w:r>
        <w:rPr>
          <w:sz w:val="18"/>
          <w:szCs w:val="18"/>
        </w:rPr>
        <w:t xml:space="preserve"> and Squal &gt; S</w:t>
      </w:r>
      <w:r>
        <w:rPr>
          <w:sz w:val="18"/>
          <w:szCs w:val="18"/>
          <w:vertAlign w:val="subscript"/>
        </w:rPr>
        <w:t>nonIntraSearchQ</w:t>
      </w:r>
      <w:r>
        <w:rPr>
          <w:rFonts w:eastAsia="宋体"/>
          <w:sz w:val="18"/>
          <w:szCs w:val="18"/>
        </w:rPr>
        <w:t>,</w:t>
      </w:r>
      <w:r>
        <w:rPr>
          <w:sz w:val="18"/>
          <w:szCs w:val="18"/>
        </w:rPr>
        <w:t xml:space="preserve"> and </w:t>
      </w:r>
      <w:r>
        <w:rPr>
          <w:rFonts w:eastAsia="宋体"/>
          <w:sz w:val="18"/>
          <w:szCs w:val="18"/>
        </w:rPr>
        <w:t xml:space="preserve">the exact time to start measurement before </w:t>
      </w:r>
      <w:r>
        <w:rPr>
          <w:rFonts w:eastAsia="宋体"/>
          <w:i/>
          <w:sz w:val="18"/>
          <w:szCs w:val="18"/>
        </w:rPr>
        <w:t>t-Service</w:t>
      </w:r>
      <w:r>
        <w:rPr>
          <w:rFonts w:eastAsia="宋体"/>
          <w:sz w:val="18"/>
          <w:szCs w:val="18"/>
        </w:rPr>
        <w:t xml:space="preserve"> is up to UE implementation</w:t>
      </w:r>
      <w:r>
        <w:rPr>
          <w:sz w:val="18"/>
          <w:szCs w:val="18"/>
        </w:rPr>
        <w:t>.</w:t>
      </w:r>
    </w:p>
    <w:p>
      <w:pPr>
        <w:pStyle w:val="15"/>
        <w:jc w:val="center"/>
        <w:rPr>
          <w:color w:val="FF0000"/>
        </w:rPr>
      </w:pPr>
      <w:r>
        <w:rPr>
          <w:color w:val="FF0000"/>
        </w:rPr>
        <w:t>------------------ TP1 ------------------</w:t>
      </w:r>
    </w:p>
    <w:p>
      <w:pPr>
        <w:pStyle w:val="15"/>
      </w:pPr>
      <w:r>
        <w:t xml:space="preserve">In [2], it is proposed to improve the text by using similar language and also removing the “should”, but simplified: </w:t>
      </w:r>
    </w:p>
    <w:p>
      <w:pPr>
        <w:pStyle w:val="15"/>
        <w:jc w:val="center"/>
        <w:rPr>
          <w:color w:val="FF0000"/>
        </w:rPr>
      </w:pPr>
      <w:r>
        <w:rPr>
          <w:color w:val="FF0000"/>
        </w:rPr>
        <w:t>------------------ TP2 ------------------</w:t>
      </w:r>
    </w:p>
    <w:p>
      <w:pPr>
        <w:pStyle w:val="5"/>
        <w:rPr>
          <w:sz w:val="22"/>
          <w:szCs w:val="18"/>
        </w:rPr>
      </w:pPr>
      <w:bookmarkStart w:id="7" w:name="_Toc90585001"/>
      <w:r>
        <w:rPr>
          <w:sz w:val="22"/>
          <w:szCs w:val="18"/>
        </w:rPr>
        <w:t>5.2.4.2</w:t>
      </w:r>
      <w:r>
        <w:rPr>
          <w:sz w:val="22"/>
          <w:szCs w:val="18"/>
        </w:rPr>
        <w:tab/>
      </w:r>
      <w:r>
        <w:rPr>
          <w:sz w:val="22"/>
          <w:szCs w:val="18"/>
        </w:rPr>
        <w:t>Measurement rules for cell re-selection</w:t>
      </w:r>
      <w:bookmarkEnd w:id="7"/>
    </w:p>
    <w:p>
      <w:pPr>
        <w:pStyle w:val="68"/>
        <w:rPr>
          <w:sz w:val="18"/>
          <w:szCs w:val="18"/>
        </w:rPr>
      </w:pPr>
      <w:r>
        <w:rPr>
          <w:sz w:val="18"/>
          <w:szCs w:val="18"/>
        </w:rPr>
        <w:t xml:space="preserve"> </w:t>
      </w:r>
      <w:r>
        <w:rPr>
          <w:sz w:val="18"/>
          <w:szCs w:val="18"/>
          <w:highlight w:val="yellow"/>
        </w:rPr>
        <w:t>&lt;Removed irrelevant parts&gt;</w:t>
      </w:r>
    </w:p>
    <w:p>
      <w:pPr>
        <w:rPr>
          <w:sz w:val="18"/>
          <w:szCs w:val="18"/>
        </w:rPr>
      </w:pPr>
      <w:bookmarkStart w:id="8" w:name="_Hlk103116717"/>
      <w:bookmarkStart w:id="9" w:name="_Toc37235797"/>
      <w:bookmarkStart w:id="10" w:name="_Toc29237898"/>
      <w:bookmarkStart w:id="11" w:name="_Toc46499503"/>
      <w:bookmarkStart w:id="12" w:name="_Toc52492235"/>
      <w:bookmarkStart w:id="13" w:name="_Toc90585002"/>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 xml:space="preserve">SystemInformationBlockType3 </w:t>
      </w:r>
      <w:r>
        <w:rPr>
          <w:sz w:val="18"/>
          <w:szCs w:val="18"/>
        </w:rPr>
        <w:t xml:space="preserve">of the serving cell, UE may start to perform intra-frequency or inter-frequency measurements, before the time </w:t>
      </w:r>
      <w:r>
        <w:rPr>
          <w:i/>
          <w:iCs/>
          <w:sz w:val="18"/>
          <w:szCs w:val="18"/>
        </w:rPr>
        <w:t>t-Service</w:t>
      </w:r>
      <w:r>
        <w:rPr>
          <w:sz w:val="18"/>
          <w:szCs w:val="18"/>
        </w:rPr>
        <w:t>. UE shall perform measurements of higher priority inter-frequencies or inter-RAT frequencies regardless of the remaining service time of the serving cell.</w:t>
      </w:r>
    </w:p>
    <w:bookmarkEnd w:id="8"/>
    <w:p>
      <w:pPr>
        <w:pStyle w:val="5"/>
        <w:rPr>
          <w:sz w:val="22"/>
          <w:szCs w:val="18"/>
        </w:rPr>
      </w:pPr>
      <w:r>
        <w:rPr>
          <w:sz w:val="22"/>
          <w:szCs w:val="18"/>
        </w:rPr>
        <w:t>5.2.4.2a</w:t>
      </w:r>
      <w:r>
        <w:rPr>
          <w:sz w:val="22"/>
          <w:szCs w:val="18"/>
        </w:rPr>
        <w:tab/>
      </w:r>
      <w:r>
        <w:rPr>
          <w:sz w:val="22"/>
          <w:szCs w:val="18"/>
        </w:rPr>
        <w:t>Measurement rules for cell re-selection for NB-IoT</w:t>
      </w:r>
      <w:bookmarkEnd w:id="9"/>
      <w:bookmarkEnd w:id="10"/>
      <w:bookmarkEnd w:id="11"/>
      <w:bookmarkEnd w:id="12"/>
      <w:bookmarkEnd w:id="13"/>
    </w:p>
    <w:p>
      <w:pPr>
        <w:pStyle w:val="68"/>
        <w:rPr>
          <w:sz w:val="18"/>
          <w:szCs w:val="18"/>
        </w:rPr>
      </w:pPr>
      <w:r>
        <w:rPr>
          <w:sz w:val="18"/>
          <w:szCs w:val="18"/>
        </w:rPr>
        <w:t xml:space="preserve">  </w:t>
      </w:r>
      <w:r>
        <w:rPr>
          <w:sz w:val="18"/>
          <w:szCs w:val="18"/>
          <w:highlight w:val="yellow"/>
        </w:rPr>
        <w:t>&lt;Removed irrelevant parts&gt;</w:t>
      </w:r>
    </w:p>
    <w:p>
      <w:pPr>
        <w:rPr>
          <w:sz w:val="18"/>
          <w:szCs w:val="18"/>
        </w:rPr>
      </w:pPr>
      <w:r>
        <w:rPr>
          <w:sz w:val="18"/>
          <w:szCs w:val="18"/>
        </w:rPr>
        <w:t xml:space="preserve">Regardless of any procedure limiting measurements, if </w:t>
      </w:r>
      <w:r>
        <w:rPr>
          <w:i/>
          <w:iCs/>
          <w:sz w:val="18"/>
          <w:szCs w:val="18"/>
        </w:rPr>
        <w:t>t-Service</w:t>
      </w:r>
      <w:r>
        <w:rPr>
          <w:sz w:val="18"/>
          <w:szCs w:val="18"/>
        </w:rPr>
        <w:t xml:space="preserve"> is present in </w:t>
      </w:r>
      <w:r>
        <w:rPr>
          <w:i/>
          <w:iCs/>
          <w:sz w:val="18"/>
          <w:szCs w:val="18"/>
        </w:rPr>
        <w:t>SystemInformationBlockType3-NB</w:t>
      </w:r>
      <w:r>
        <w:rPr>
          <w:sz w:val="18"/>
          <w:szCs w:val="18"/>
        </w:rPr>
        <w:t xml:space="preserve"> of the serving cell, UE may start to perform intra-frequency or inter-frequency measurements, before the time </w:t>
      </w:r>
      <w:r>
        <w:rPr>
          <w:i/>
          <w:iCs/>
          <w:sz w:val="18"/>
          <w:szCs w:val="18"/>
        </w:rPr>
        <w:t>t-Service</w:t>
      </w:r>
      <w:r>
        <w:rPr>
          <w:sz w:val="18"/>
          <w:szCs w:val="18"/>
        </w:rPr>
        <w:t>.</w:t>
      </w:r>
    </w:p>
    <w:p>
      <w:pPr>
        <w:pStyle w:val="15"/>
        <w:jc w:val="center"/>
        <w:rPr>
          <w:color w:val="FF0000"/>
        </w:rPr>
      </w:pPr>
      <w:r>
        <w:rPr>
          <w:color w:val="FF0000"/>
        </w:rPr>
        <w:t>------------------ TP2 ------------------</w:t>
      </w:r>
    </w:p>
    <w:p>
      <w:pPr>
        <w:pStyle w:val="15"/>
      </w:pPr>
      <w:r>
        <w:t xml:space="preserve">It is clear that “should” is not according to 3GPP terminology and rapporteur intends to change this. </w:t>
      </w:r>
    </w:p>
    <w:p>
      <w:pPr>
        <w:pStyle w:val="15"/>
      </w:pPr>
    </w:p>
    <w:p>
      <w:pPr>
        <w:pStyle w:val="15"/>
      </w:pPr>
      <w:r>
        <w:t xml:space="preserve">The first question is whether </w:t>
      </w:r>
      <w:r>
        <w:rPr>
          <w:i/>
          <w:iCs/>
        </w:rPr>
        <w:t>t-Service</w:t>
      </w:r>
      <w:r>
        <w:t xml:space="preserve"> actions should include inter-RAT measurements as this has yet to be agreed. Inter-RAT is likely to imply a TN RAT and while a UE should likely prioritize a terrestrial network over non-terrestrial network, it could be potentially be an energy consumption waste to perform inter-RAT due to </w:t>
      </w:r>
      <w:r>
        <w:rPr>
          <w:i/>
          <w:iCs/>
        </w:rPr>
        <w:t>t-Service</w:t>
      </w:r>
      <w:r>
        <w:t>, thus it is not entirely clear whether inter-RAT measurements should be included in</w:t>
      </w:r>
      <w:r>
        <w:rPr>
          <w:i/>
          <w:iCs/>
        </w:rPr>
        <w:t xml:space="preserve"> t-Service</w:t>
      </w:r>
      <w:r>
        <w:t xml:space="preserve"> actions.  </w:t>
      </w:r>
    </w:p>
    <w:p>
      <w:pPr>
        <w:pStyle w:val="15"/>
        <w:rPr>
          <w:b/>
          <w:bCs/>
        </w:rPr>
      </w:pPr>
      <w:r>
        <w:rPr>
          <w:b/>
          <w:bCs/>
        </w:rPr>
        <w:t xml:space="preserve">Q1: Should </w:t>
      </w:r>
      <w:r>
        <w:rPr>
          <w:b/>
          <w:bCs/>
          <w:i/>
          <w:iCs/>
        </w:rPr>
        <w:t>t-Service</w:t>
      </w:r>
      <w:r>
        <w:rPr>
          <w:b/>
          <w:bCs/>
        </w:rPr>
        <w:t xml:space="preserve"> actions include performing inter-RAT measurements as R2-2204711 [1]?</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E7E6E6" w:themeFill="background2"/>
          </w:tcPr>
          <w:p>
            <w:pPr>
              <w:pStyle w:val="15"/>
              <w:rPr>
                <w:rFonts w:eastAsia="Calibri"/>
                <w:b/>
                <w:bCs/>
                <w:sz w:val="20"/>
                <w:szCs w:val="20"/>
              </w:rPr>
            </w:pPr>
            <w:r>
              <w:rPr>
                <w:rFonts w:eastAsia="Calibri"/>
                <w:b/>
                <w:bCs/>
                <w:sz w:val="20"/>
                <w:szCs w:val="20"/>
              </w:rPr>
              <w:t>Company</w:t>
            </w:r>
          </w:p>
        </w:tc>
        <w:tc>
          <w:tcPr>
            <w:tcW w:w="992" w:type="dxa"/>
            <w:shd w:val="clear" w:color="auto" w:fill="E7E6E6" w:themeFill="background2"/>
          </w:tcPr>
          <w:p>
            <w:pPr>
              <w:pStyle w:val="15"/>
              <w:rPr>
                <w:rFonts w:eastAsia="Calibri"/>
                <w:b/>
                <w:bCs/>
                <w:sz w:val="20"/>
                <w:szCs w:val="20"/>
              </w:rPr>
            </w:pPr>
            <w:r>
              <w:rPr>
                <w:rFonts w:eastAsia="Calibri"/>
                <w:b/>
                <w:bCs/>
                <w:sz w:val="20"/>
                <w:szCs w:val="20"/>
              </w:rPr>
              <w:t>Y/N</w:t>
            </w:r>
          </w:p>
        </w:tc>
        <w:tc>
          <w:tcPr>
            <w:tcW w:w="7082" w:type="dxa"/>
            <w:shd w:val="clear" w:color="auto" w:fill="E7E6E6" w:themeFill="background2"/>
          </w:tcPr>
          <w:p>
            <w:pPr>
              <w:pStyle w:val="15"/>
              <w:rPr>
                <w:rFonts w:eastAsia="Calibri"/>
                <w:b/>
                <w:bCs/>
                <w:sz w:val="20"/>
                <w:szCs w:val="20"/>
              </w:rPr>
            </w:pPr>
            <w:r>
              <w:rPr>
                <w:rFonts w:eastAsia="Calibri"/>
                <w:b/>
                <w:bCs/>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rFonts w:eastAsia="Calibri"/>
                <w:sz w:val="20"/>
                <w:szCs w:val="20"/>
              </w:rPr>
            </w:pPr>
            <w:r>
              <w:rPr>
                <w:rFonts w:eastAsia="Calibri"/>
                <w:sz w:val="20"/>
                <w:szCs w:val="20"/>
              </w:rPr>
              <w:t>Huawei, HiSilicon</w:t>
            </w:r>
          </w:p>
        </w:tc>
        <w:tc>
          <w:tcPr>
            <w:tcW w:w="992" w:type="dxa"/>
          </w:tcPr>
          <w:p>
            <w:pPr>
              <w:pStyle w:val="15"/>
              <w:rPr>
                <w:rFonts w:eastAsia="Calibri"/>
                <w:sz w:val="20"/>
                <w:szCs w:val="20"/>
              </w:rPr>
            </w:pPr>
            <w:r>
              <w:rPr>
                <w:rFonts w:eastAsia="Calibri"/>
                <w:sz w:val="20"/>
                <w:szCs w:val="20"/>
              </w:rPr>
              <w:t>Y</w:t>
            </w:r>
          </w:p>
        </w:tc>
        <w:tc>
          <w:tcPr>
            <w:tcW w:w="7082" w:type="dxa"/>
          </w:tcPr>
          <w:p>
            <w:pPr>
              <w:pStyle w:val="15"/>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rFonts w:eastAsia="Calibri"/>
                <w:sz w:val="20"/>
                <w:szCs w:val="20"/>
              </w:rPr>
            </w:pPr>
            <w:r>
              <w:rPr>
                <w:rFonts w:eastAsia="Calibri"/>
                <w:sz w:val="20"/>
                <w:szCs w:val="20"/>
              </w:rPr>
              <w:t>OPPO</w:t>
            </w:r>
          </w:p>
        </w:tc>
        <w:tc>
          <w:tcPr>
            <w:tcW w:w="992" w:type="dxa"/>
          </w:tcPr>
          <w:p>
            <w:pPr>
              <w:pStyle w:val="15"/>
              <w:rPr>
                <w:rFonts w:eastAsia="Calibri"/>
                <w:sz w:val="20"/>
                <w:szCs w:val="20"/>
              </w:rPr>
            </w:pPr>
            <w:r>
              <w:rPr>
                <w:rFonts w:eastAsia="Calibri"/>
                <w:sz w:val="20"/>
                <w:szCs w:val="20"/>
              </w:rPr>
              <w:t>Y</w:t>
            </w:r>
          </w:p>
        </w:tc>
        <w:tc>
          <w:tcPr>
            <w:tcW w:w="7082" w:type="dxa"/>
          </w:tcPr>
          <w:p>
            <w:pPr>
              <w:pStyle w:val="15"/>
              <w:rPr>
                <w:rFonts w:eastAsia="Calibri"/>
                <w:sz w:val="20"/>
                <w:szCs w:val="20"/>
              </w:rPr>
            </w:pPr>
            <w:r>
              <w:rPr>
                <w:rFonts w:eastAsia="Calibri"/>
                <w:sz w:val="20"/>
                <w:szCs w:val="20"/>
              </w:rPr>
              <w:t>The measurements before the stop time of the serving cell should also include inter-RAT frequency besides inter and intra-frequency. Otherwise, when the serving cell stops covering the current area, UE may lose the opportunity of camping in some cells belonging to other TN/NTN RAT.</w:t>
            </w:r>
          </w:p>
          <w:p>
            <w:pPr>
              <w:pStyle w:val="15"/>
              <w:rPr>
                <w:rFonts w:eastAsia="Calibri"/>
                <w:sz w:val="20"/>
                <w:szCs w:val="20"/>
              </w:rPr>
            </w:pPr>
            <w:r>
              <w:rPr>
                <w:rFonts w:eastAsia="Calibri"/>
                <w:sz w:val="20"/>
                <w:szCs w:val="20"/>
              </w:rPr>
              <w:t>Note that this would be in line with the wording captured in TS 38.304 for NR-NTN.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rFonts w:eastAsia="Calibri"/>
                <w:sz w:val="22"/>
                <w:szCs w:val="22"/>
              </w:rPr>
            </w:pPr>
            <w:r>
              <w:rPr>
                <w:rFonts w:eastAsia="Calibri"/>
                <w:sz w:val="22"/>
                <w:szCs w:val="22"/>
              </w:rPr>
              <w:t>InterDigital</w:t>
            </w:r>
          </w:p>
        </w:tc>
        <w:tc>
          <w:tcPr>
            <w:tcW w:w="992" w:type="dxa"/>
          </w:tcPr>
          <w:p>
            <w:pPr>
              <w:pStyle w:val="15"/>
              <w:rPr>
                <w:rFonts w:eastAsia="Calibri"/>
                <w:sz w:val="22"/>
                <w:szCs w:val="22"/>
              </w:rPr>
            </w:pPr>
            <w:r>
              <w:rPr>
                <w:rFonts w:eastAsia="Calibri"/>
                <w:sz w:val="22"/>
                <w:szCs w:val="22"/>
              </w:rPr>
              <w:t>Y</w:t>
            </w:r>
          </w:p>
        </w:tc>
        <w:tc>
          <w:tcPr>
            <w:tcW w:w="7082" w:type="dxa"/>
          </w:tcPr>
          <w:p>
            <w:pPr>
              <w:pStyle w:val="15"/>
              <w:rPr>
                <w:rFonts w:eastAsia="Calibri"/>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rFonts w:eastAsia="Calibri"/>
                <w:sz w:val="20"/>
                <w:szCs w:val="20"/>
              </w:rPr>
            </w:pPr>
            <w:r>
              <w:rPr>
                <w:rFonts w:eastAsia="Calibri"/>
                <w:sz w:val="20"/>
                <w:szCs w:val="20"/>
              </w:rPr>
              <w:t>Qualcomm</w:t>
            </w:r>
          </w:p>
        </w:tc>
        <w:tc>
          <w:tcPr>
            <w:tcW w:w="992" w:type="dxa"/>
          </w:tcPr>
          <w:p>
            <w:pPr>
              <w:pStyle w:val="15"/>
              <w:rPr>
                <w:rFonts w:eastAsia="Calibri"/>
                <w:sz w:val="20"/>
                <w:szCs w:val="20"/>
              </w:rPr>
            </w:pPr>
            <w:r>
              <w:rPr>
                <w:rFonts w:eastAsia="Calibri"/>
                <w:sz w:val="20"/>
                <w:szCs w:val="20"/>
              </w:rPr>
              <w:t>Y</w:t>
            </w:r>
          </w:p>
        </w:tc>
        <w:tc>
          <w:tcPr>
            <w:tcW w:w="7082" w:type="dxa"/>
          </w:tcPr>
          <w:p>
            <w:pPr>
              <w:pStyle w:val="15"/>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rFonts w:hint="eastAsia" w:eastAsiaTheme="minorEastAsia"/>
                <w:sz w:val="22"/>
                <w:szCs w:val="22"/>
              </w:rPr>
            </w:pPr>
            <w:r>
              <w:rPr>
                <w:rFonts w:hint="eastAsia" w:eastAsiaTheme="minorEastAsia"/>
                <w:sz w:val="22"/>
                <w:szCs w:val="22"/>
              </w:rPr>
              <w:t>S</w:t>
            </w:r>
            <w:r>
              <w:rPr>
                <w:rFonts w:eastAsiaTheme="minorEastAsia"/>
                <w:sz w:val="22"/>
                <w:szCs w:val="22"/>
              </w:rPr>
              <w:t>preadtrum</w:t>
            </w:r>
          </w:p>
        </w:tc>
        <w:tc>
          <w:tcPr>
            <w:tcW w:w="992" w:type="dxa"/>
          </w:tcPr>
          <w:p>
            <w:pPr>
              <w:pStyle w:val="15"/>
              <w:rPr>
                <w:rFonts w:hint="eastAsia" w:eastAsiaTheme="minorEastAsia"/>
                <w:sz w:val="22"/>
                <w:szCs w:val="22"/>
              </w:rPr>
            </w:pPr>
            <w:r>
              <w:rPr>
                <w:rFonts w:hint="eastAsia" w:eastAsiaTheme="minorEastAsia"/>
                <w:sz w:val="22"/>
                <w:szCs w:val="22"/>
              </w:rPr>
              <w:t>Y</w:t>
            </w:r>
          </w:p>
        </w:tc>
        <w:tc>
          <w:tcPr>
            <w:tcW w:w="7082" w:type="dxa"/>
          </w:tcPr>
          <w:p>
            <w:pPr>
              <w:pStyle w:val="15"/>
              <w:rPr>
                <w:rFonts w:hint="eastAsia" w:eastAsiaTheme="minorEastAsia"/>
                <w:sz w:val="22"/>
                <w:szCs w:val="22"/>
              </w:rPr>
            </w:pPr>
            <w:r>
              <w:rPr>
                <w:rFonts w:eastAsiaTheme="minorEastAsia"/>
                <w:sz w:val="22"/>
                <w:szCs w:val="22"/>
              </w:rPr>
              <w:t>Agree with OPPO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vAlign w:val="top"/>
          </w:tcPr>
          <w:p>
            <w:pPr>
              <w:pStyle w:val="15"/>
              <w:rPr>
                <w:rFonts w:hint="eastAsia" w:eastAsiaTheme="minorEastAsia"/>
                <w:sz w:val="22"/>
                <w:szCs w:val="22"/>
              </w:rPr>
            </w:pPr>
            <w:r>
              <w:rPr>
                <w:rFonts w:hint="eastAsia" w:eastAsia="宋体"/>
                <w:sz w:val="20"/>
                <w:szCs w:val="20"/>
                <w:lang w:val="en-US" w:eastAsia="zh-CN"/>
              </w:rPr>
              <w:t>Transsion Holdings</w:t>
            </w:r>
          </w:p>
        </w:tc>
        <w:tc>
          <w:tcPr>
            <w:tcW w:w="992" w:type="dxa"/>
            <w:vAlign w:val="top"/>
          </w:tcPr>
          <w:p>
            <w:pPr>
              <w:pStyle w:val="15"/>
              <w:rPr>
                <w:rFonts w:hint="eastAsia" w:eastAsiaTheme="minorEastAsia"/>
                <w:sz w:val="22"/>
                <w:szCs w:val="22"/>
              </w:rPr>
            </w:pPr>
            <w:r>
              <w:rPr>
                <w:rFonts w:hint="eastAsia" w:eastAsia="宋体"/>
                <w:sz w:val="20"/>
                <w:szCs w:val="20"/>
                <w:lang w:val="en-US" w:eastAsia="zh-CN"/>
              </w:rPr>
              <w:t>Y</w:t>
            </w:r>
          </w:p>
        </w:tc>
        <w:tc>
          <w:tcPr>
            <w:tcW w:w="7082" w:type="dxa"/>
          </w:tcPr>
          <w:p>
            <w:pPr>
              <w:pStyle w:val="15"/>
              <w:rPr>
                <w:rFonts w:eastAsiaTheme="minorEastAsia"/>
                <w:sz w:val="22"/>
                <w:szCs w:val="22"/>
              </w:rPr>
            </w:pPr>
          </w:p>
        </w:tc>
      </w:tr>
    </w:tbl>
    <w:p>
      <w:pPr>
        <w:pStyle w:val="15"/>
      </w:pPr>
    </w:p>
    <w:p>
      <w:pPr>
        <w:pStyle w:val="15"/>
        <w:rPr>
          <w:color w:val="E7E6E6" w:themeColor="background2"/>
          <w14:textFill>
            <w14:solidFill>
              <w14:schemeClr w14:val="bg2"/>
            </w14:solidFill>
          </w14:textFill>
        </w:rPr>
      </w:pPr>
      <w:r>
        <w:rPr>
          <w:color w:val="E7E6E6" w:themeColor="background2"/>
          <w14:textFill>
            <w14:solidFill>
              <w14:schemeClr w14:val="bg2"/>
            </w14:solidFill>
          </w14:textFill>
        </w:rPr>
        <w:t>&lt;Rapporteur comment&gt;</w:t>
      </w:r>
    </w:p>
    <w:p>
      <w:pPr>
        <w:pStyle w:val="72"/>
        <w:rPr>
          <w:color w:val="E7E6E6" w:themeColor="background2"/>
          <w14:textFill>
            <w14:solidFill>
              <w14:schemeClr w14:val="bg2"/>
            </w14:solidFill>
          </w14:textFill>
        </w:rPr>
      </w:pPr>
      <w:bookmarkStart w:id="14" w:name="_Toc103114969"/>
      <w:r>
        <w:rPr>
          <w:color w:val="E7E6E6" w:themeColor="background2"/>
          <w14:textFill>
            <w14:solidFill>
              <w14:schemeClr w14:val="bg2"/>
            </w14:solidFill>
          </w14:textFill>
        </w:rPr>
        <w:t>T-service includes/does not include inter-RAT measurements.</w:t>
      </w:r>
      <w:bookmarkEnd w:id="14"/>
    </w:p>
    <w:p>
      <w:pPr>
        <w:pStyle w:val="15"/>
      </w:pPr>
    </w:p>
    <w:p>
      <w:pPr>
        <w:pStyle w:val="15"/>
      </w:pPr>
      <w:r>
        <w:t xml:space="preserve">Rapporteur thinks that the text in [2] is more clean compared to the current text in 36.304-h00 [7], thus the question is whether to adopt the text in [1] or [2]. </w:t>
      </w:r>
    </w:p>
    <w:p>
      <w:pPr>
        <w:pStyle w:val="15"/>
        <w:rPr>
          <w:b/>
          <w:bCs/>
        </w:rPr>
      </w:pPr>
      <w:r>
        <w:rPr>
          <w:b/>
          <w:bCs/>
        </w:rPr>
        <w:t>Q2: Adopt the text that:</w:t>
      </w:r>
    </w:p>
    <w:p>
      <w:pPr>
        <w:pStyle w:val="15"/>
        <w:numPr>
          <w:ilvl w:val="0"/>
          <w:numId w:val="13"/>
        </w:numPr>
        <w:rPr>
          <w:b/>
          <w:bCs/>
        </w:rPr>
      </w:pPr>
      <w:r>
        <w:rPr>
          <w:b/>
          <w:bCs/>
        </w:rPr>
        <w:t>uses NR NTN text (R2-2204741) [1]</w:t>
      </w:r>
    </w:p>
    <w:p>
      <w:pPr>
        <w:pStyle w:val="15"/>
        <w:numPr>
          <w:ilvl w:val="0"/>
          <w:numId w:val="13"/>
        </w:numPr>
        <w:rPr>
          <w:b/>
          <w:bCs/>
        </w:rPr>
      </w:pPr>
      <w:r>
        <w:rPr>
          <w:b/>
          <w:bCs/>
        </w:rPr>
        <w:t>uses simplified text (R2-2205250) [2]</w:t>
      </w:r>
    </w:p>
    <w:p>
      <w:pPr>
        <w:pStyle w:val="15"/>
        <w:numPr>
          <w:ilvl w:val="0"/>
          <w:numId w:val="13"/>
        </w:numPr>
        <w:rPr>
          <w:b/>
          <w:bCs/>
        </w:rPr>
      </w:pPr>
      <w:r>
        <w:rPr>
          <w:b/>
          <w:bCs/>
        </w:rPr>
        <w:t>Other</w:t>
      </w:r>
    </w:p>
    <w:p>
      <w:pPr>
        <w:pStyle w:val="15"/>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2"/>
        <w:gridCol w:w="1232"/>
        <w:gridCol w:w="6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shd w:val="clear" w:color="auto" w:fill="E7E6E6" w:themeFill="background2"/>
          </w:tcPr>
          <w:p>
            <w:pPr>
              <w:pStyle w:val="15"/>
              <w:rPr>
                <w:rFonts w:eastAsia="Calibri"/>
                <w:b/>
                <w:bCs/>
                <w:sz w:val="20"/>
                <w:szCs w:val="20"/>
              </w:rPr>
            </w:pPr>
            <w:r>
              <w:rPr>
                <w:rFonts w:eastAsia="Calibri"/>
                <w:b/>
                <w:bCs/>
                <w:sz w:val="20"/>
                <w:szCs w:val="20"/>
              </w:rPr>
              <w:t>Company</w:t>
            </w:r>
          </w:p>
        </w:tc>
        <w:tc>
          <w:tcPr>
            <w:tcW w:w="1232" w:type="dxa"/>
            <w:shd w:val="clear" w:color="auto" w:fill="E7E6E6" w:themeFill="background2"/>
          </w:tcPr>
          <w:p>
            <w:pPr>
              <w:pStyle w:val="15"/>
              <w:rPr>
                <w:rFonts w:eastAsia="Calibri"/>
                <w:b/>
                <w:bCs/>
                <w:sz w:val="20"/>
                <w:szCs w:val="20"/>
              </w:rPr>
            </w:pPr>
            <w:r>
              <w:rPr>
                <w:rFonts w:eastAsia="Calibri"/>
                <w:b/>
                <w:bCs/>
                <w:sz w:val="20"/>
                <w:szCs w:val="20"/>
              </w:rPr>
              <w:t>1/2/3</w:t>
            </w:r>
          </w:p>
        </w:tc>
        <w:tc>
          <w:tcPr>
            <w:tcW w:w="6985" w:type="dxa"/>
            <w:shd w:val="clear" w:color="auto" w:fill="E7E6E6" w:themeFill="background2"/>
          </w:tcPr>
          <w:p>
            <w:pPr>
              <w:pStyle w:val="15"/>
              <w:rPr>
                <w:rFonts w:eastAsia="Calibri"/>
                <w:b/>
                <w:bCs/>
                <w:sz w:val="20"/>
                <w:szCs w:val="20"/>
              </w:rPr>
            </w:pPr>
            <w:r>
              <w:rPr>
                <w:rFonts w:eastAsia="Calibri"/>
                <w:b/>
                <w:bCs/>
                <w:sz w:val="20"/>
                <w:szCs w:val="20"/>
              </w:rPr>
              <w:t>Comment or further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tcPr>
          <w:p>
            <w:pPr>
              <w:pStyle w:val="15"/>
              <w:rPr>
                <w:rFonts w:eastAsia="Calibri"/>
                <w:sz w:val="20"/>
                <w:szCs w:val="20"/>
              </w:rPr>
            </w:pPr>
            <w:r>
              <w:rPr>
                <w:rFonts w:eastAsia="Calibri"/>
                <w:sz w:val="20"/>
                <w:szCs w:val="20"/>
              </w:rPr>
              <w:t>Huawei, HiSilcion</w:t>
            </w:r>
          </w:p>
        </w:tc>
        <w:tc>
          <w:tcPr>
            <w:tcW w:w="1232" w:type="dxa"/>
          </w:tcPr>
          <w:p>
            <w:pPr>
              <w:pStyle w:val="15"/>
              <w:rPr>
                <w:rFonts w:eastAsia="Calibri"/>
                <w:sz w:val="20"/>
                <w:szCs w:val="20"/>
              </w:rPr>
            </w:pPr>
            <w:r>
              <w:rPr>
                <w:rFonts w:eastAsia="Calibri"/>
                <w:sz w:val="20"/>
                <w:szCs w:val="20"/>
              </w:rPr>
              <w:t>1) with comments</w:t>
            </w:r>
          </w:p>
        </w:tc>
        <w:tc>
          <w:tcPr>
            <w:tcW w:w="6985" w:type="dxa"/>
          </w:tcPr>
          <w:p>
            <w:pPr>
              <w:pStyle w:val="15"/>
              <w:rPr>
                <w:rFonts w:eastAsia="Calibri"/>
                <w:sz w:val="20"/>
                <w:szCs w:val="20"/>
              </w:rPr>
            </w:pPr>
            <w:r>
              <w:rPr>
                <w:rFonts w:eastAsia="Calibri"/>
                <w:sz w:val="20"/>
                <w:szCs w:val="20"/>
              </w:rPr>
              <w:t>Fine to align with NR wording</w:t>
            </w:r>
          </w:p>
          <w:p>
            <w:pPr>
              <w:pStyle w:val="15"/>
              <w:rPr>
                <w:rFonts w:eastAsia="Calibri"/>
                <w:sz w:val="20"/>
                <w:szCs w:val="20"/>
              </w:rPr>
            </w:pPr>
            <w:r>
              <w:rPr>
                <w:rFonts w:eastAsia="Calibri"/>
                <w:sz w:val="20"/>
                <w:szCs w:val="20"/>
              </w:rPr>
              <w:t>The text for NB-IoT is not correct as Squal is not used in the measurement rules</w:t>
            </w:r>
          </w:p>
          <w:p>
            <w:pPr>
              <w:pStyle w:val="15"/>
              <w:rPr>
                <w:rFonts w:eastAsia="Calibri"/>
                <w:sz w:val="18"/>
                <w:szCs w:val="18"/>
              </w:rPr>
            </w:pPr>
            <w:r>
              <w:rPr>
                <w:rFonts w:eastAsia="Calibri"/>
                <w:sz w:val="18"/>
                <w:szCs w:val="18"/>
              </w:rPr>
              <w:t xml:space="preserve">If </w:t>
            </w:r>
            <w:r>
              <w:rPr>
                <w:rFonts w:eastAsia="Calibri"/>
                <w:i/>
                <w:iCs/>
                <w:sz w:val="18"/>
                <w:szCs w:val="18"/>
              </w:rPr>
              <w:t>t-Service</w:t>
            </w:r>
            <w:r>
              <w:rPr>
                <w:rFonts w:eastAsia="Calibri"/>
                <w:sz w:val="18"/>
                <w:szCs w:val="18"/>
              </w:rPr>
              <w:t xml:space="preserve"> is present in </w:t>
            </w:r>
            <w:r>
              <w:rPr>
                <w:rFonts w:eastAsia="Calibri"/>
                <w:i/>
                <w:iCs/>
                <w:sz w:val="18"/>
                <w:szCs w:val="18"/>
              </w:rPr>
              <w:t>SystemInformationBlockType3-NB</w:t>
            </w:r>
            <w:r>
              <w:rPr>
                <w:rFonts w:eastAsia="Calibri"/>
                <w:sz w:val="18"/>
                <w:szCs w:val="18"/>
              </w:rPr>
              <w:t xml:space="preserve"> of the serving cell, UE should start to perform intra-frequency or inter-frequency measurements before the time </w:t>
            </w:r>
            <w:r>
              <w:rPr>
                <w:rFonts w:eastAsia="Calibri"/>
                <w:i/>
                <w:iCs/>
                <w:sz w:val="18"/>
                <w:szCs w:val="18"/>
              </w:rPr>
              <w:t xml:space="preserve">t-Service </w:t>
            </w:r>
            <w:r>
              <w:rPr>
                <w:rFonts w:eastAsia="宋体"/>
                <w:sz w:val="18"/>
                <w:szCs w:val="18"/>
              </w:rPr>
              <w:t xml:space="preserve">regardless of whether the serving cell fulfils </w:t>
            </w:r>
            <w:r>
              <w:rPr>
                <w:rFonts w:eastAsia="Calibri"/>
                <w:sz w:val="18"/>
                <w:szCs w:val="18"/>
              </w:rPr>
              <w:t>Srxlev</w:t>
            </w:r>
            <w:r>
              <w:rPr>
                <w:rFonts w:eastAsia="Calibri"/>
                <w:sz w:val="18"/>
                <w:szCs w:val="18"/>
                <w:vertAlign w:val="subscript"/>
              </w:rPr>
              <w:t xml:space="preserve"> </w:t>
            </w:r>
            <w:r>
              <w:rPr>
                <w:rFonts w:eastAsia="Calibri"/>
                <w:sz w:val="18"/>
                <w:szCs w:val="18"/>
              </w:rPr>
              <w:t>&gt; S</w:t>
            </w:r>
            <w:r>
              <w:rPr>
                <w:rFonts w:eastAsia="Calibri"/>
                <w:sz w:val="18"/>
                <w:szCs w:val="18"/>
                <w:vertAlign w:val="subscript"/>
              </w:rPr>
              <w:t>IntraSearchP</w:t>
            </w:r>
            <w:r>
              <w:rPr>
                <w:rFonts w:eastAsia="Calibri"/>
                <w:sz w:val="18"/>
                <w:szCs w:val="18"/>
              </w:rPr>
              <w:t xml:space="preserve"> </w:t>
            </w:r>
            <w:r>
              <w:rPr>
                <w:rFonts w:eastAsia="宋体"/>
                <w:sz w:val="18"/>
                <w:szCs w:val="18"/>
              </w:rPr>
              <w:t xml:space="preserve">or </w:t>
            </w:r>
            <w:r>
              <w:rPr>
                <w:rFonts w:eastAsia="Calibri"/>
                <w:sz w:val="18"/>
                <w:szCs w:val="18"/>
              </w:rPr>
              <w:t>Srxlev &gt; S</w:t>
            </w:r>
            <w:r>
              <w:rPr>
                <w:rFonts w:eastAsia="Calibri"/>
                <w:sz w:val="18"/>
                <w:szCs w:val="18"/>
                <w:vertAlign w:val="subscript"/>
              </w:rPr>
              <w:t>nonIntraSearchP</w:t>
            </w:r>
            <w:r>
              <w:rPr>
                <w:rFonts w:eastAsia="Calibri"/>
                <w:sz w:val="18"/>
                <w:szCs w:val="18"/>
              </w:rPr>
              <w:t xml:space="preserve"> </w:t>
            </w:r>
            <w:r>
              <w:rPr>
                <w:rFonts w:eastAsia="宋体"/>
                <w:sz w:val="18"/>
                <w:szCs w:val="18"/>
              </w:rPr>
              <w:t>,</w:t>
            </w:r>
            <w:r>
              <w:rPr>
                <w:rFonts w:eastAsia="Calibri"/>
                <w:sz w:val="18"/>
                <w:szCs w:val="18"/>
              </w:rPr>
              <w:t xml:space="preserve"> and </w:t>
            </w:r>
            <w:r>
              <w:rPr>
                <w:rFonts w:eastAsia="宋体"/>
                <w:sz w:val="18"/>
                <w:szCs w:val="18"/>
              </w:rPr>
              <w:t xml:space="preserve">the exact time to start measurement before </w:t>
            </w:r>
            <w:r>
              <w:rPr>
                <w:rFonts w:eastAsia="宋体"/>
                <w:i/>
                <w:sz w:val="18"/>
                <w:szCs w:val="18"/>
              </w:rPr>
              <w:t>t-Service</w:t>
            </w:r>
            <w:r>
              <w:rPr>
                <w:rFonts w:eastAsia="宋体"/>
                <w:sz w:val="18"/>
                <w:szCs w:val="18"/>
              </w:rPr>
              <w:t xml:space="preserve"> is up to UE implementation</w:t>
            </w:r>
            <w:r>
              <w:rPr>
                <w:rFonts w:eastAsia="Calibri"/>
                <w:sz w:val="18"/>
                <w:szCs w:val="18"/>
              </w:rPr>
              <w:t>.</w:t>
            </w:r>
          </w:p>
          <w:p>
            <w:pPr>
              <w:pStyle w:val="15"/>
              <w:rPr>
                <w:rFonts w:eastAsia="Calibri"/>
                <w:sz w:val="18"/>
                <w:szCs w:val="18"/>
              </w:rPr>
            </w:pPr>
          </w:p>
          <w:p>
            <w:pPr>
              <w:pStyle w:val="15"/>
              <w:rPr>
                <w:rFonts w:eastAsia="Calibri"/>
                <w:sz w:val="20"/>
                <w:szCs w:val="20"/>
              </w:rPr>
            </w:pPr>
            <w:r>
              <w:rPr>
                <w:rFonts w:eastAsia="Calibri"/>
                <w:sz w:val="18"/>
                <w:szCs w:val="18"/>
              </w:rPr>
              <w:t xml:space="preserve">About changing ‘should’ to ‘may’, we are not sure. we think it should be ‘shall’ for a UE supporting t-Service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tcPr>
          <w:p>
            <w:pPr>
              <w:pStyle w:val="15"/>
              <w:rPr>
                <w:rFonts w:eastAsia="Calibri"/>
                <w:sz w:val="20"/>
                <w:szCs w:val="20"/>
              </w:rPr>
            </w:pPr>
            <w:r>
              <w:rPr>
                <w:rFonts w:eastAsia="Calibri"/>
                <w:sz w:val="20"/>
                <w:szCs w:val="20"/>
              </w:rPr>
              <w:t>OPPO</w:t>
            </w:r>
          </w:p>
        </w:tc>
        <w:tc>
          <w:tcPr>
            <w:tcW w:w="1232" w:type="dxa"/>
          </w:tcPr>
          <w:p>
            <w:pPr>
              <w:pStyle w:val="15"/>
              <w:rPr>
                <w:rFonts w:eastAsia="Calibri"/>
                <w:sz w:val="20"/>
                <w:szCs w:val="20"/>
              </w:rPr>
            </w:pPr>
            <w:r>
              <w:rPr>
                <w:rFonts w:eastAsia="Calibri"/>
                <w:sz w:val="20"/>
                <w:szCs w:val="20"/>
              </w:rPr>
              <w:t>1</w:t>
            </w:r>
          </w:p>
        </w:tc>
        <w:tc>
          <w:tcPr>
            <w:tcW w:w="6985" w:type="dxa"/>
          </w:tcPr>
          <w:p>
            <w:pPr>
              <w:pStyle w:val="15"/>
              <w:rPr>
                <w:rFonts w:eastAsia="Calibri"/>
                <w:sz w:val="20"/>
                <w:szCs w:val="20"/>
              </w:rPr>
            </w:pPr>
            <w:r>
              <w:rPr>
                <w:rFonts w:eastAsia="Calibri"/>
                <w:sz w:val="20"/>
                <w:szCs w:val="20"/>
              </w:rPr>
              <w:t>It would be simpler to capture this by the wording in TS 38.304 for NR-NTN.  And 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tcPr>
          <w:p>
            <w:pPr>
              <w:pStyle w:val="15"/>
              <w:rPr>
                <w:rFonts w:eastAsia="Calibri"/>
                <w:sz w:val="22"/>
                <w:szCs w:val="22"/>
              </w:rPr>
            </w:pPr>
            <w:r>
              <w:rPr>
                <w:rFonts w:eastAsia="Calibri"/>
                <w:sz w:val="22"/>
                <w:szCs w:val="22"/>
              </w:rPr>
              <w:t>InterDigital</w:t>
            </w:r>
          </w:p>
        </w:tc>
        <w:tc>
          <w:tcPr>
            <w:tcW w:w="1232" w:type="dxa"/>
          </w:tcPr>
          <w:p>
            <w:pPr>
              <w:pStyle w:val="15"/>
              <w:rPr>
                <w:rFonts w:eastAsia="Calibri"/>
                <w:sz w:val="22"/>
                <w:szCs w:val="22"/>
              </w:rPr>
            </w:pPr>
            <w:r>
              <w:rPr>
                <w:rFonts w:eastAsia="Calibri"/>
                <w:sz w:val="22"/>
                <w:szCs w:val="22"/>
              </w:rPr>
              <w:t>1 with change suggested by Huawei</w:t>
            </w:r>
          </w:p>
        </w:tc>
        <w:tc>
          <w:tcPr>
            <w:tcW w:w="6985" w:type="dxa"/>
          </w:tcPr>
          <w:p>
            <w:pPr>
              <w:pStyle w:val="15"/>
              <w:rPr>
                <w:rFonts w:eastAsia="Calibri"/>
                <w:sz w:val="22"/>
                <w:szCs w:val="22"/>
              </w:rPr>
            </w:pPr>
            <w:r>
              <w:rPr>
                <w:rFonts w:eastAsia="Calibri"/>
                <w:sz w:val="22"/>
                <w:szCs w:val="22"/>
              </w:rPr>
              <w:t>Agree with Huawei that Squal is not applicable for NB-IoT.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tcPr>
          <w:p>
            <w:pPr>
              <w:pStyle w:val="15"/>
              <w:rPr>
                <w:rFonts w:eastAsia="Calibri"/>
                <w:sz w:val="20"/>
                <w:szCs w:val="20"/>
              </w:rPr>
            </w:pPr>
            <w:r>
              <w:rPr>
                <w:rFonts w:eastAsia="Calibri"/>
                <w:sz w:val="20"/>
                <w:szCs w:val="20"/>
              </w:rPr>
              <w:t>Qualcomm</w:t>
            </w:r>
          </w:p>
        </w:tc>
        <w:tc>
          <w:tcPr>
            <w:tcW w:w="1232" w:type="dxa"/>
          </w:tcPr>
          <w:p>
            <w:pPr>
              <w:pStyle w:val="15"/>
              <w:rPr>
                <w:rFonts w:eastAsia="Calibri"/>
                <w:sz w:val="20"/>
                <w:szCs w:val="20"/>
              </w:rPr>
            </w:pPr>
            <w:r>
              <w:rPr>
                <w:rFonts w:eastAsia="Calibri"/>
                <w:sz w:val="20"/>
                <w:szCs w:val="20"/>
              </w:rPr>
              <w:t>1</w:t>
            </w:r>
          </w:p>
        </w:tc>
        <w:tc>
          <w:tcPr>
            <w:tcW w:w="6985" w:type="dxa"/>
          </w:tcPr>
          <w:p>
            <w:pPr>
              <w:pStyle w:val="15"/>
              <w:rPr>
                <w:rFonts w:eastAsia="Calibri"/>
                <w:sz w:val="20"/>
                <w:szCs w:val="20"/>
              </w:rPr>
            </w:pPr>
            <w:r>
              <w:rPr>
                <w:rFonts w:eastAsia="Calibri"/>
                <w:sz w:val="20"/>
                <w:szCs w:val="20"/>
              </w:rPr>
              <w:t xml:space="preserve">In IDLE mode, it should be “should” or “may”.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tcPr>
          <w:p>
            <w:pPr>
              <w:pStyle w:val="15"/>
              <w:rPr>
                <w:rFonts w:hint="eastAsia" w:eastAsiaTheme="minorEastAsia"/>
                <w:sz w:val="22"/>
                <w:szCs w:val="22"/>
              </w:rPr>
            </w:pPr>
            <w:r>
              <w:rPr>
                <w:rFonts w:hint="eastAsia" w:eastAsiaTheme="minorEastAsia"/>
                <w:sz w:val="22"/>
                <w:szCs w:val="22"/>
              </w:rPr>
              <w:t>S</w:t>
            </w:r>
            <w:r>
              <w:rPr>
                <w:rFonts w:eastAsiaTheme="minorEastAsia"/>
                <w:sz w:val="22"/>
                <w:szCs w:val="22"/>
              </w:rPr>
              <w:t xml:space="preserve">preadtrum </w:t>
            </w:r>
          </w:p>
        </w:tc>
        <w:tc>
          <w:tcPr>
            <w:tcW w:w="1232" w:type="dxa"/>
          </w:tcPr>
          <w:p>
            <w:pPr>
              <w:pStyle w:val="15"/>
              <w:rPr>
                <w:rFonts w:hint="eastAsia" w:eastAsiaTheme="minorEastAsia"/>
                <w:sz w:val="22"/>
                <w:szCs w:val="22"/>
              </w:rPr>
            </w:pPr>
            <w:r>
              <w:rPr>
                <w:rFonts w:hint="eastAsia" w:eastAsiaTheme="minorEastAsia"/>
                <w:sz w:val="22"/>
                <w:szCs w:val="22"/>
              </w:rPr>
              <w:t>1</w:t>
            </w:r>
          </w:p>
        </w:tc>
        <w:tc>
          <w:tcPr>
            <w:tcW w:w="6985" w:type="dxa"/>
          </w:tcPr>
          <w:p>
            <w:pPr>
              <w:pStyle w:val="15"/>
              <w:rPr>
                <w:rFonts w:hint="eastAsia" w:eastAsiaTheme="minorEastAsia"/>
                <w:sz w:val="22"/>
                <w:szCs w:val="22"/>
              </w:rPr>
            </w:pPr>
            <w:r>
              <w:rPr>
                <w:rFonts w:eastAsiaTheme="minorEastAsia"/>
                <w:sz w:val="22"/>
                <w:szCs w:val="22"/>
              </w:rPr>
              <w:t>Agree with Huawei’s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2" w:type="dxa"/>
            <w:vAlign w:val="top"/>
          </w:tcPr>
          <w:p>
            <w:pPr>
              <w:pStyle w:val="15"/>
              <w:rPr>
                <w:rFonts w:hint="eastAsia" w:eastAsiaTheme="minorEastAsia"/>
                <w:sz w:val="22"/>
                <w:szCs w:val="22"/>
              </w:rPr>
            </w:pPr>
            <w:r>
              <w:rPr>
                <w:rFonts w:hint="eastAsia" w:eastAsia="宋体"/>
                <w:sz w:val="20"/>
                <w:szCs w:val="20"/>
                <w:lang w:val="en-US" w:eastAsia="zh-CN"/>
              </w:rPr>
              <w:t>Transsion Holdings</w:t>
            </w:r>
          </w:p>
        </w:tc>
        <w:tc>
          <w:tcPr>
            <w:tcW w:w="1232" w:type="dxa"/>
            <w:vAlign w:val="top"/>
          </w:tcPr>
          <w:p>
            <w:pPr>
              <w:pStyle w:val="15"/>
              <w:rPr>
                <w:rFonts w:hint="eastAsia" w:eastAsiaTheme="minorEastAsia"/>
                <w:sz w:val="22"/>
                <w:szCs w:val="22"/>
              </w:rPr>
            </w:pPr>
            <w:r>
              <w:rPr>
                <w:rFonts w:hint="eastAsia" w:eastAsia="宋体"/>
                <w:sz w:val="20"/>
                <w:szCs w:val="20"/>
                <w:lang w:val="en-US" w:eastAsia="zh-CN"/>
              </w:rPr>
              <w:t>1</w:t>
            </w:r>
          </w:p>
        </w:tc>
        <w:tc>
          <w:tcPr>
            <w:tcW w:w="6985" w:type="dxa"/>
            <w:vAlign w:val="top"/>
          </w:tcPr>
          <w:p>
            <w:pPr>
              <w:pStyle w:val="15"/>
              <w:rPr>
                <w:rFonts w:eastAsiaTheme="minorEastAsia"/>
                <w:sz w:val="22"/>
                <w:szCs w:val="22"/>
              </w:rPr>
            </w:pPr>
          </w:p>
        </w:tc>
      </w:tr>
    </w:tbl>
    <w:p>
      <w:pPr>
        <w:pStyle w:val="15"/>
      </w:pPr>
    </w:p>
    <w:p>
      <w:pPr>
        <w:pStyle w:val="15"/>
        <w:rPr>
          <w:color w:val="E7E6E6" w:themeColor="background2"/>
          <w14:textFill>
            <w14:solidFill>
              <w14:schemeClr w14:val="bg2"/>
            </w14:solidFill>
          </w14:textFill>
        </w:rPr>
      </w:pPr>
      <w:r>
        <w:rPr>
          <w:color w:val="E7E6E6" w:themeColor="background2"/>
          <w14:textFill>
            <w14:solidFill>
              <w14:schemeClr w14:val="bg2"/>
            </w14:solidFill>
          </w14:textFill>
        </w:rPr>
        <w:t>&lt;Rapporteur comment&gt;</w:t>
      </w:r>
    </w:p>
    <w:p>
      <w:pPr>
        <w:pStyle w:val="72"/>
        <w:rPr>
          <w:color w:val="E7E6E6" w:themeColor="background2"/>
          <w14:textFill>
            <w14:solidFill>
              <w14:schemeClr w14:val="bg2"/>
            </w14:solidFill>
          </w14:textFill>
        </w:rPr>
      </w:pPr>
      <w:bookmarkStart w:id="15" w:name="_Toc103114970"/>
      <w:r>
        <w:rPr>
          <w:color w:val="E7E6E6" w:themeColor="background2"/>
          <w14:textFill>
            <w14:solidFill>
              <w14:schemeClr w14:val="bg2"/>
            </w14:solidFill>
          </w14:textFill>
        </w:rPr>
        <w:t>TP in R2-220xxxx is agreed .</w:t>
      </w:r>
      <w:bookmarkEnd w:id="15"/>
    </w:p>
    <w:p>
      <w:pPr>
        <w:pStyle w:val="15"/>
      </w:pPr>
    </w:p>
    <w:p>
      <w:pPr>
        <w:pStyle w:val="3"/>
      </w:pPr>
      <w:r>
        <w:t>2.2</w:t>
      </w:r>
      <w:r>
        <w:tab/>
      </w:r>
      <w:r>
        <w:t>NTN-only UE</w:t>
      </w:r>
    </w:p>
    <w:p>
      <w:pPr>
        <w:pStyle w:val="15"/>
      </w:pPr>
      <w:r>
        <w:t>In R2-2205331 [3] and R2-2205861 [4] the editor’s note was addressed (this was also addressed in contribution R2-2205594 [5] (Interdigital contribution)):</w:t>
      </w:r>
    </w:p>
    <w:p>
      <w:pPr>
        <w:pStyle w:val="64"/>
        <w:rPr>
          <w:u w:val="single"/>
        </w:rPr>
      </w:pPr>
      <w:r>
        <w:rPr>
          <w:u w:val="single"/>
        </w:rPr>
        <w:t>Editor’s Note: FFS how an NTN-only UE is barred from accessing TN cell.</w:t>
      </w:r>
    </w:p>
    <w:p>
      <w:pPr>
        <w:pStyle w:val="15"/>
      </w:pPr>
      <w:r>
        <w:t xml:space="preserve">It is argued in [3] and [4] that NTN-only UEs do not need to be specified and the editor’s note can be removed and in [5] it is mentioned that it should be discussed. Thus rapporteur think it can be discussed here as the main impact identified has to do with barring-mechanism. </w:t>
      </w:r>
    </w:p>
    <w:p>
      <w:pPr>
        <w:pStyle w:val="15"/>
        <w:rPr>
          <w:b/>
          <w:bCs/>
        </w:rPr>
      </w:pPr>
      <w:r>
        <w:rPr>
          <w:b/>
          <w:bCs/>
        </w:rPr>
        <w:t>Q3: Should there be any specification support for NTN-only UE in IoT NTN Rel-17?</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992"/>
        <w:gridCol w:w="7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hemeFill="background2"/>
          </w:tcPr>
          <w:p>
            <w:pPr>
              <w:pStyle w:val="15"/>
              <w:rPr>
                <w:rFonts w:eastAsia="Calibri"/>
                <w:b/>
                <w:bCs/>
                <w:sz w:val="20"/>
                <w:szCs w:val="20"/>
              </w:rPr>
            </w:pPr>
            <w:r>
              <w:rPr>
                <w:rFonts w:eastAsia="Calibri"/>
                <w:b/>
                <w:bCs/>
                <w:sz w:val="20"/>
                <w:szCs w:val="20"/>
              </w:rPr>
              <w:t>Company</w:t>
            </w:r>
          </w:p>
        </w:tc>
        <w:tc>
          <w:tcPr>
            <w:tcW w:w="992" w:type="dxa"/>
            <w:shd w:val="clear" w:color="auto" w:fill="E7E6E6" w:themeFill="background2"/>
          </w:tcPr>
          <w:p>
            <w:pPr>
              <w:pStyle w:val="15"/>
              <w:rPr>
                <w:rFonts w:eastAsia="Calibri"/>
                <w:b/>
                <w:bCs/>
                <w:sz w:val="20"/>
                <w:szCs w:val="20"/>
              </w:rPr>
            </w:pPr>
            <w:r>
              <w:rPr>
                <w:rFonts w:eastAsia="Calibri"/>
                <w:b/>
                <w:bCs/>
                <w:sz w:val="20"/>
                <w:szCs w:val="20"/>
              </w:rPr>
              <w:t>Y/N</w:t>
            </w:r>
          </w:p>
        </w:tc>
        <w:tc>
          <w:tcPr>
            <w:tcW w:w="7224" w:type="dxa"/>
            <w:shd w:val="clear" w:color="auto" w:fill="E7E6E6" w:themeFill="background2"/>
          </w:tcPr>
          <w:p>
            <w:pPr>
              <w:pStyle w:val="15"/>
              <w:rPr>
                <w:rFonts w:eastAsia="Calibri"/>
                <w:b/>
                <w:bCs/>
                <w:sz w:val="20"/>
                <w:szCs w:val="20"/>
              </w:rPr>
            </w:pPr>
            <w:r>
              <w:rPr>
                <w:rFonts w:eastAsia="Calibri"/>
                <w:b/>
                <w:bCs/>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pStyle w:val="15"/>
              <w:rPr>
                <w:rFonts w:eastAsia="Calibri"/>
                <w:sz w:val="20"/>
                <w:szCs w:val="20"/>
              </w:rPr>
            </w:pPr>
            <w:r>
              <w:rPr>
                <w:rFonts w:eastAsia="Calibri"/>
                <w:sz w:val="20"/>
                <w:szCs w:val="20"/>
              </w:rPr>
              <w:t>Huawei, HiSilicon</w:t>
            </w:r>
          </w:p>
        </w:tc>
        <w:tc>
          <w:tcPr>
            <w:tcW w:w="992" w:type="dxa"/>
          </w:tcPr>
          <w:p>
            <w:pPr>
              <w:pStyle w:val="15"/>
              <w:rPr>
                <w:rFonts w:eastAsia="Calibri"/>
                <w:sz w:val="20"/>
                <w:szCs w:val="20"/>
              </w:rPr>
            </w:pPr>
            <w:r>
              <w:rPr>
                <w:rFonts w:eastAsia="Calibri"/>
                <w:sz w:val="20"/>
                <w:szCs w:val="20"/>
              </w:rPr>
              <w:t>No</w:t>
            </w:r>
          </w:p>
        </w:tc>
        <w:tc>
          <w:tcPr>
            <w:tcW w:w="7224" w:type="dxa"/>
          </w:tcPr>
          <w:p>
            <w:pPr>
              <w:pStyle w:val="15"/>
              <w:rPr>
                <w:rFonts w:eastAsia="Calibri"/>
                <w:sz w:val="20"/>
                <w:szCs w:val="20"/>
              </w:rPr>
            </w:pPr>
            <w:r>
              <w:rPr>
                <w:rFonts w:eastAsia="Calibri"/>
                <w:sz w:val="20"/>
                <w:szCs w:val="20"/>
              </w:rPr>
              <w:t>Backward compatibility is a basic principle of 3GPP.  This means a NTN UE shall</w:t>
            </w:r>
            <w:r>
              <w:rPr>
                <w:rFonts w:eastAsia="Calibri"/>
                <w:sz w:val="22"/>
                <w:szCs w:val="22"/>
              </w:rPr>
              <w:t xml:space="preserve"> support all mandatory features in the specification and this includes support of TN access.</w:t>
            </w:r>
            <w:r>
              <w:rPr>
                <w:rFonts w:eastAsia="Calibri"/>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pStyle w:val="15"/>
              <w:rPr>
                <w:rFonts w:eastAsia="Calibri"/>
                <w:sz w:val="22"/>
                <w:szCs w:val="22"/>
              </w:rPr>
            </w:pPr>
            <w:r>
              <w:rPr>
                <w:rFonts w:eastAsia="Calibri"/>
                <w:sz w:val="22"/>
                <w:szCs w:val="22"/>
              </w:rPr>
              <w:t>OPPO</w:t>
            </w:r>
          </w:p>
        </w:tc>
        <w:tc>
          <w:tcPr>
            <w:tcW w:w="992" w:type="dxa"/>
          </w:tcPr>
          <w:p>
            <w:pPr>
              <w:pStyle w:val="15"/>
              <w:rPr>
                <w:rFonts w:eastAsia="Calibri"/>
                <w:sz w:val="22"/>
                <w:szCs w:val="22"/>
              </w:rPr>
            </w:pPr>
            <w:r>
              <w:rPr>
                <w:rFonts w:eastAsia="Calibri"/>
                <w:sz w:val="22"/>
                <w:szCs w:val="22"/>
              </w:rPr>
              <w:t>No</w:t>
            </w:r>
          </w:p>
        </w:tc>
        <w:tc>
          <w:tcPr>
            <w:tcW w:w="7224" w:type="dxa"/>
          </w:tcPr>
          <w:p>
            <w:pPr>
              <w:pStyle w:val="15"/>
              <w:rPr>
                <w:rFonts w:eastAsia="Calibri"/>
                <w:sz w:val="22"/>
                <w:szCs w:val="22"/>
              </w:rPr>
            </w:pPr>
            <w:r>
              <w:rPr>
                <w:rFonts w:eastAsia="Calibri"/>
                <w:sz w:val="22"/>
                <w:szCs w:val="22"/>
              </w:rPr>
              <w:t>NTN UE must be capable to access TN since it has the mandatory capabilities for TN. This has just been agreed in NR NTN.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3" w:type="dxa"/>
          </w:tcPr>
          <w:p>
            <w:pPr>
              <w:pStyle w:val="15"/>
              <w:rPr>
                <w:rFonts w:eastAsia="Calibri"/>
                <w:sz w:val="20"/>
                <w:szCs w:val="20"/>
              </w:rPr>
            </w:pPr>
            <w:r>
              <w:rPr>
                <w:rFonts w:eastAsia="Calibri"/>
                <w:sz w:val="20"/>
                <w:szCs w:val="20"/>
              </w:rPr>
              <w:t>InterDigital</w:t>
            </w:r>
          </w:p>
        </w:tc>
        <w:tc>
          <w:tcPr>
            <w:tcW w:w="992" w:type="dxa"/>
          </w:tcPr>
          <w:p>
            <w:pPr>
              <w:pStyle w:val="15"/>
              <w:rPr>
                <w:rFonts w:eastAsia="Calibri"/>
                <w:sz w:val="20"/>
                <w:szCs w:val="20"/>
              </w:rPr>
            </w:pPr>
            <w:r>
              <w:rPr>
                <w:rFonts w:eastAsia="Calibri"/>
                <w:sz w:val="20"/>
                <w:szCs w:val="20"/>
              </w:rPr>
              <w:t>No</w:t>
            </w:r>
          </w:p>
        </w:tc>
        <w:tc>
          <w:tcPr>
            <w:tcW w:w="7224" w:type="dxa"/>
          </w:tcPr>
          <w:p>
            <w:pPr>
              <w:pStyle w:val="15"/>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3" w:type="dxa"/>
          </w:tcPr>
          <w:p>
            <w:pPr>
              <w:pStyle w:val="15"/>
              <w:rPr>
                <w:rFonts w:eastAsia="Calibri"/>
                <w:sz w:val="20"/>
                <w:szCs w:val="20"/>
              </w:rPr>
            </w:pPr>
            <w:r>
              <w:rPr>
                <w:rFonts w:eastAsia="Calibri"/>
                <w:sz w:val="20"/>
                <w:szCs w:val="20"/>
              </w:rPr>
              <w:t>Qualcomm</w:t>
            </w:r>
          </w:p>
        </w:tc>
        <w:tc>
          <w:tcPr>
            <w:tcW w:w="992" w:type="dxa"/>
          </w:tcPr>
          <w:p>
            <w:pPr>
              <w:pStyle w:val="15"/>
              <w:rPr>
                <w:rFonts w:eastAsia="Calibri"/>
                <w:sz w:val="20"/>
                <w:szCs w:val="20"/>
              </w:rPr>
            </w:pPr>
            <w:r>
              <w:rPr>
                <w:rFonts w:eastAsia="Calibri"/>
                <w:sz w:val="20"/>
                <w:szCs w:val="20"/>
              </w:rPr>
              <w:t>No</w:t>
            </w:r>
          </w:p>
        </w:tc>
        <w:tc>
          <w:tcPr>
            <w:tcW w:w="7224" w:type="dxa"/>
          </w:tcPr>
          <w:p>
            <w:pPr>
              <w:pStyle w:val="15"/>
              <w:rPr>
                <w:rFonts w:hint="eastAsia" w:eastAsiaTheme="minorEastAsia"/>
                <w:sz w:val="20"/>
                <w:szCs w:val="20"/>
              </w:rPr>
            </w:pPr>
            <w:r>
              <w:rPr>
                <w:rFonts w:hint="eastAsia" w:eastAsiaTheme="minorEastAsia"/>
                <w:sz w:val="20"/>
                <w:szCs w:val="20"/>
              </w:rPr>
              <w:t>T</w:t>
            </w:r>
            <w:r>
              <w:rPr>
                <w:rFonts w:eastAsiaTheme="minorEastAsia"/>
                <w:sz w:val="20"/>
                <w:szCs w:val="20"/>
              </w:rPr>
              <w:t>N capability is mandatory for NTN-only UE. It means that accessing TN is allowed for NTN-only 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1413" w:type="dxa"/>
            <w:vAlign w:val="top"/>
          </w:tcPr>
          <w:p>
            <w:pPr>
              <w:pStyle w:val="15"/>
              <w:rPr>
                <w:rFonts w:eastAsia="Calibri"/>
                <w:sz w:val="20"/>
                <w:szCs w:val="20"/>
              </w:rPr>
            </w:pPr>
            <w:r>
              <w:rPr>
                <w:rFonts w:hint="eastAsia" w:eastAsia="宋体"/>
                <w:sz w:val="22"/>
                <w:szCs w:val="22"/>
                <w:lang w:val="en-US" w:eastAsia="zh-CN"/>
              </w:rPr>
              <w:t>Transsion Holdings</w:t>
            </w:r>
          </w:p>
        </w:tc>
        <w:tc>
          <w:tcPr>
            <w:tcW w:w="992" w:type="dxa"/>
            <w:vAlign w:val="top"/>
          </w:tcPr>
          <w:p>
            <w:pPr>
              <w:pStyle w:val="15"/>
              <w:rPr>
                <w:rFonts w:eastAsia="Calibri"/>
                <w:sz w:val="20"/>
                <w:szCs w:val="20"/>
              </w:rPr>
            </w:pPr>
            <w:r>
              <w:rPr>
                <w:rFonts w:hint="eastAsia" w:eastAsia="宋体"/>
                <w:sz w:val="22"/>
                <w:szCs w:val="22"/>
                <w:lang w:val="en-US" w:eastAsia="zh-CN"/>
              </w:rPr>
              <w:t>No</w:t>
            </w:r>
          </w:p>
        </w:tc>
        <w:tc>
          <w:tcPr>
            <w:tcW w:w="7224" w:type="dxa"/>
          </w:tcPr>
          <w:p>
            <w:pPr>
              <w:pStyle w:val="15"/>
              <w:rPr>
                <w:rFonts w:hint="eastAsia" w:eastAsiaTheme="minorEastAsia"/>
                <w:sz w:val="20"/>
                <w:szCs w:val="20"/>
              </w:rPr>
            </w:pPr>
          </w:p>
        </w:tc>
      </w:tr>
    </w:tbl>
    <w:p>
      <w:pPr>
        <w:pStyle w:val="15"/>
      </w:pPr>
    </w:p>
    <w:p>
      <w:pPr>
        <w:pStyle w:val="15"/>
      </w:pPr>
    </w:p>
    <w:p>
      <w:pPr>
        <w:pStyle w:val="15"/>
        <w:rPr>
          <w:b/>
          <w:bCs/>
        </w:rPr>
      </w:pPr>
      <w:r>
        <w:rPr>
          <w:b/>
          <w:bCs/>
        </w:rPr>
        <w:t>Q4: If yes to Q3, should barring from accessing TN for NTN-only UE be introduced?</w:t>
      </w: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992"/>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shd w:val="clear" w:color="auto" w:fill="E7E6E6" w:themeFill="background2"/>
          </w:tcPr>
          <w:p>
            <w:pPr>
              <w:pStyle w:val="15"/>
              <w:rPr>
                <w:rFonts w:eastAsia="Calibri"/>
                <w:b/>
                <w:bCs/>
                <w:sz w:val="20"/>
                <w:szCs w:val="20"/>
              </w:rPr>
            </w:pPr>
            <w:r>
              <w:rPr>
                <w:rFonts w:eastAsia="Calibri"/>
                <w:b/>
                <w:bCs/>
                <w:sz w:val="20"/>
                <w:szCs w:val="20"/>
              </w:rPr>
              <w:t>Company</w:t>
            </w:r>
          </w:p>
        </w:tc>
        <w:tc>
          <w:tcPr>
            <w:tcW w:w="992" w:type="dxa"/>
            <w:shd w:val="clear" w:color="auto" w:fill="E7E6E6" w:themeFill="background2"/>
          </w:tcPr>
          <w:p>
            <w:pPr>
              <w:pStyle w:val="15"/>
              <w:rPr>
                <w:rFonts w:eastAsia="Calibri"/>
                <w:b/>
                <w:bCs/>
                <w:sz w:val="20"/>
                <w:szCs w:val="20"/>
              </w:rPr>
            </w:pPr>
            <w:r>
              <w:rPr>
                <w:rFonts w:eastAsia="Calibri"/>
                <w:b/>
                <w:bCs/>
                <w:sz w:val="20"/>
                <w:szCs w:val="20"/>
              </w:rPr>
              <w:t>Y/N</w:t>
            </w:r>
          </w:p>
        </w:tc>
        <w:tc>
          <w:tcPr>
            <w:tcW w:w="7082" w:type="dxa"/>
            <w:shd w:val="clear" w:color="auto" w:fill="E7E6E6" w:themeFill="background2"/>
          </w:tcPr>
          <w:p>
            <w:pPr>
              <w:pStyle w:val="15"/>
              <w:rPr>
                <w:rFonts w:eastAsia="Calibri"/>
                <w:b/>
                <w:bCs/>
                <w:sz w:val="20"/>
                <w:szCs w:val="20"/>
              </w:rPr>
            </w:pPr>
            <w:r>
              <w:rPr>
                <w:rFonts w:eastAsia="Calibri"/>
                <w:b/>
                <w:bCs/>
                <w:sz w:val="20"/>
                <w:szCs w:val="20"/>
              </w:rPr>
              <w:t>Comment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rFonts w:eastAsia="Calibri"/>
                <w:sz w:val="20"/>
                <w:szCs w:val="20"/>
              </w:rPr>
            </w:pPr>
          </w:p>
        </w:tc>
        <w:tc>
          <w:tcPr>
            <w:tcW w:w="992" w:type="dxa"/>
          </w:tcPr>
          <w:p>
            <w:pPr>
              <w:pStyle w:val="15"/>
              <w:rPr>
                <w:rFonts w:eastAsia="Calibri"/>
                <w:sz w:val="20"/>
                <w:szCs w:val="20"/>
              </w:rPr>
            </w:pPr>
          </w:p>
        </w:tc>
        <w:tc>
          <w:tcPr>
            <w:tcW w:w="7082" w:type="dxa"/>
          </w:tcPr>
          <w:p>
            <w:pPr>
              <w:pStyle w:val="15"/>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55" w:type="dxa"/>
          </w:tcPr>
          <w:p>
            <w:pPr>
              <w:pStyle w:val="15"/>
              <w:rPr>
                <w:rFonts w:eastAsia="Calibri"/>
                <w:sz w:val="20"/>
                <w:szCs w:val="20"/>
              </w:rPr>
            </w:pPr>
          </w:p>
        </w:tc>
        <w:tc>
          <w:tcPr>
            <w:tcW w:w="992" w:type="dxa"/>
          </w:tcPr>
          <w:p>
            <w:pPr>
              <w:pStyle w:val="15"/>
              <w:rPr>
                <w:rFonts w:eastAsia="Calibri"/>
                <w:sz w:val="20"/>
                <w:szCs w:val="20"/>
              </w:rPr>
            </w:pPr>
          </w:p>
        </w:tc>
        <w:tc>
          <w:tcPr>
            <w:tcW w:w="7082" w:type="dxa"/>
          </w:tcPr>
          <w:p>
            <w:pPr>
              <w:pStyle w:val="15"/>
              <w:rPr>
                <w:rFonts w:eastAsia="Calibri"/>
                <w:sz w:val="20"/>
                <w:szCs w:val="20"/>
              </w:rPr>
            </w:pPr>
          </w:p>
        </w:tc>
      </w:tr>
    </w:tbl>
    <w:p>
      <w:pPr>
        <w:pStyle w:val="15"/>
      </w:pPr>
    </w:p>
    <w:p>
      <w:pPr>
        <w:pStyle w:val="15"/>
        <w:rPr>
          <w:color w:val="E7E6E6" w:themeColor="background2"/>
          <w14:textFill>
            <w14:solidFill>
              <w14:schemeClr w14:val="bg2"/>
            </w14:solidFill>
          </w14:textFill>
        </w:rPr>
      </w:pPr>
      <w:r>
        <w:rPr>
          <w:color w:val="E7E6E6" w:themeColor="background2"/>
          <w14:textFill>
            <w14:solidFill>
              <w14:schemeClr w14:val="bg2"/>
            </w14:solidFill>
          </w14:textFill>
        </w:rPr>
        <w:t>&lt;Rapporteur comment&gt;</w:t>
      </w:r>
    </w:p>
    <w:p>
      <w:pPr>
        <w:pStyle w:val="72"/>
        <w:rPr>
          <w:color w:val="E7E6E6" w:themeColor="background2"/>
          <w14:textFill>
            <w14:solidFill>
              <w14:schemeClr w14:val="bg2"/>
            </w14:solidFill>
          </w14:textFill>
        </w:rPr>
      </w:pPr>
      <w:bookmarkStart w:id="16" w:name="_Toc103114971"/>
      <w:r>
        <w:rPr>
          <w:color w:val="E7E6E6" w:themeColor="background2"/>
          <w14:textFill>
            <w14:solidFill>
              <w14:schemeClr w14:val="bg2"/>
            </w14:solidFill>
          </w14:textFill>
        </w:rPr>
        <w:t>Barring for NTN-only is/is not introduced.</w:t>
      </w:r>
      <w:bookmarkEnd w:id="16"/>
    </w:p>
    <w:p>
      <w:pPr>
        <w:pStyle w:val="15"/>
      </w:pPr>
    </w:p>
    <w:p>
      <w:pPr>
        <w:pStyle w:val="3"/>
      </w:pPr>
      <w:r>
        <w:t>2.3</w:t>
      </w:r>
      <w:r>
        <w:tab/>
      </w:r>
      <w:r>
        <w:t>Barring mechanism</w:t>
      </w:r>
    </w:p>
    <w:p>
      <w:pPr>
        <w:pStyle w:val="15"/>
      </w:pPr>
      <w:r>
        <w:t xml:space="preserve">In R2-2205861 [4] the barring mechanism is discussed. It is explained that the current text in 36.304 reads: </w:t>
      </w:r>
    </w:p>
    <w:p>
      <w:pPr>
        <w:pStyle w:val="68"/>
        <w:rPr>
          <w:lang w:eastAsia="ja-JP"/>
        </w:rPr>
      </w:pPr>
      <w:r>
        <w:t>-</w:t>
      </w:r>
      <w:r>
        <w:tab/>
      </w:r>
      <w:r>
        <w:rPr>
          <w:bCs/>
          <w:i/>
        </w:rPr>
        <w:t>cellBarred</w:t>
      </w:r>
      <w:r>
        <w:t xml:space="preserve"> (IE type: “barred” or “not barred”) </w:t>
      </w:r>
      <w:r>
        <w:br w:type="textWrapping"/>
      </w:r>
      <w:r>
        <w:t>This field indicates if the cell is barred for connectivity to EPC.</w:t>
      </w:r>
      <w:r>
        <w:br w:type="textWrapping"/>
      </w:r>
      <w:r>
        <w:t xml:space="preserve">This field is ignored by the UEs supporting </w:t>
      </w:r>
      <w:r>
        <w:rPr>
          <w:i/>
        </w:rPr>
        <w:t>crs-IntfMitig</w:t>
      </w:r>
      <w:r>
        <w:t xml:space="preserve"> while </w:t>
      </w:r>
      <w:r>
        <w:rPr>
          <w:i/>
        </w:rPr>
        <w:t>crs-IntfMitigEnabled</w:t>
      </w:r>
      <w:r>
        <w:t xml:space="preserve"> is included in SIB1</w:t>
      </w:r>
      <w:r>
        <w:rPr>
          <w:iCs/>
        </w:rPr>
        <w:t xml:space="preserve">. </w:t>
      </w:r>
      <w:r>
        <w:br w:type="textWrapping"/>
      </w:r>
      <w:r>
        <w:t xml:space="preserve">This field is ignored by the BL UEs or UEs in CE supporting </w:t>
      </w:r>
      <w:r>
        <w:rPr>
          <w:i/>
        </w:rPr>
        <w:t>ce-CRS-IntfMitig</w:t>
      </w:r>
      <w:r>
        <w:t xml:space="preserve"> while </w:t>
      </w:r>
      <w:r>
        <w:rPr>
          <w:i/>
        </w:rPr>
        <w:t xml:space="preserve">crs-IntfMigitNumPRBs </w:t>
      </w:r>
      <w:r>
        <w:t>is included in SIB1-BR.</w:t>
      </w:r>
      <w:r>
        <w:br w:type="textWrapping"/>
      </w:r>
      <w:r>
        <w:rPr>
          <w:color w:val="FF0000"/>
          <w:u w:val="single"/>
        </w:rPr>
        <w:t xml:space="preserve">This field is ignored by UEs supporting NTN while </w:t>
      </w:r>
      <w:r>
        <w:rPr>
          <w:i/>
          <w:iCs/>
          <w:color w:val="FF0000"/>
          <w:u w:val="single"/>
        </w:rPr>
        <w:t>cellBarred-NTN</w:t>
      </w:r>
      <w:r>
        <w:rPr>
          <w:color w:val="FF0000"/>
          <w:u w:val="single"/>
        </w:rPr>
        <w:t xml:space="preserve"> is included in SIB1-BR or SIB1-NB.</w:t>
      </w:r>
      <w:r>
        <w:br w:type="textWrapping"/>
      </w:r>
      <w:r>
        <w:t>In case of multiple EPC PLMNs indicated in SIB1/SIB1-BR, this field is common for all EPC PLMNs</w:t>
      </w:r>
    </w:p>
    <w:p>
      <w:pPr>
        <w:pStyle w:val="15"/>
      </w:pPr>
      <w:r>
        <w:t xml:space="preserve">And that in 36.331 [8], the </w:t>
      </w:r>
      <w:r>
        <w:rPr>
          <w:i/>
          <w:iCs/>
        </w:rPr>
        <w:t>cellBarred-NTN</w:t>
      </w:r>
      <w:r>
        <w:t xml:space="preserve"> is mandatory present in </w:t>
      </w:r>
      <w:r>
        <w:rPr>
          <w:i/>
          <w:iCs/>
        </w:rPr>
        <w:t>cellAccessRelatedInfo-v1700</w:t>
      </w:r>
      <w:r>
        <w:t xml:space="preserve"> (</w:t>
      </w:r>
      <w:r>
        <w:rPr>
          <w:i/>
          <w:iCs/>
        </w:rPr>
        <w:t>cellAccessRelatedInfoNTN-r17</w:t>
      </w:r>
      <w:r>
        <w:t xml:space="preserve"> in latest agreed RILs), but </w:t>
      </w:r>
      <w:r>
        <w:rPr>
          <w:i/>
          <w:iCs/>
        </w:rPr>
        <w:t>cellAccessRelatedInfo-v1700</w:t>
      </w:r>
      <w:r>
        <w:t xml:space="preserve"> is optional. Thus there a slight discrepancy, where the presence of </w:t>
      </w:r>
      <w:r>
        <w:rPr>
          <w:i/>
          <w:iCs/>
        </w:rPr>
        <w:t>cellBarred-NTN</w:t>
      </w:r>
      <w:r>
        <w:t xml:space="preserve"> may or may not be mandatory present for NTN, while the idle mode text implies that it does not always need to be present for NTN. </w:t>
      </w:r>
    </w:p>
    <w:p>
      <w:pPr>
        <w:pStyle w:val="15"/>
        <w:rPr>
          <w:b/>
          <w:bCs/>
        </w:rPr>
      </w:pPr>
      <w:r>
        <w:rPr>
          <w:b/>
          <w:bCs/>
        </w:rPr>
        <w:t>Q5: Which change to resolve barring discrepancy in RRC/idle mode?</w:t>
      </w:r>
    </w:p>
    <w:p>
      <w:pPr>
        <w:pStyle w:val="15"/>
        <w:numPr>
          <w:ilvl w:val="0"/>
          <w:numId w:val="14"/>
        </w:numPr>
        <w:rPr>
          <w:color w:val="FF0000"/>
          <w:u w:val="single"/>
        </w:rPr>
      </w:pPr>
      <w:r>
        <w:t>None</w:t>
      </w:r>
    </w:p>
    <w:p>
      <w:pPr>
        <w:pStyle w:val="15"/>
        <w:numPr>
          <w:ilvl w:val="0"/>
          <w:numId w:val="14"/>
        </w:numPr>
        <w:rPr>
          <w:color w:val="FF0000"/>
          <w:u w:val="single"/>
        </w:rPr>
      </w:pPr>
      <w:r>
        <w:t>Change the 36.304 text to “</w:t>
      </w:r>
      <w:r>
        <w:rPr>
          <w:color w:val="FF0000"/>
          <w:u w:val="single"/>
        </w:rPr>
        <w:t xml:space="preserve">This field is ignored by UEs supporting NTN </w:t>
      </w:r>
      <w:r>
        <w:rPr>
          <w:strike/>
          <w:color w:val="FF0000"/>
          <w:u w:val="single"/>
        </w:rPr>
        <w:t xml:space="preserve">while </w:t>
      </w:r>
      <w:r>
        <w:rPr>
          <w:i/>
          <w:iCs/>
          <w:strike/>
          <w:color w:val="FF0000"/>
          <w:u w:val="single"/>
        </w:rPr>
        <w:t>cellBarred-NTN</w:t>
      </w:r>
      <w:r>
        <w:rPr>
          <w:strike/>
          <w:color w:val="FF0000"/>
          <w:u w:val="single"/>
        </w:rPr>
        <w:t xml:space="preserve"> is included in SIB1-BR or SIB1-NB</w:t>
      </w:r>
      <w:r>
        <w:rPr>
          <w:color w:val="FF0000"/>
          <w:u w:val="single"/>
        </w:rPr>
        <w:t>.</w:t>
      </w:r>
      <w:r>
        <w:t xml:space="preserve">” And make </w:t>
      </w:r>
      <w:r>
        <w:rPr>
          <w:i/>
          <w:iCs/>
        </w:rPr>
        <w:t>cellAccessRelatedInfo</w:t>
      </w:r>
      <w:r>
        <w:t xml:space="preserve"> mandatory present whenever NTN is deployed. This can for instance be achieved in a loss way by renaming </w:t>
      </w:r>
      <w:r>
        <w:rPr>
          <w:i/>
          <w:iCs/>
        </w:rPr>
        <w:t>cellAccessRelatedInfo</w:t>
      </w:r>
      <w:r>
        <w:t xml:space="preserve"> to something that makes it clear it is for NTN only. </w:t>
      </w:r>
    </w:p>
    <w:p>
      <w:pPr>
        <w:pStyle w:val="15"/>
        <w:numPr>
          <w:ilvl w:val="0"/>
          <w:numId w:val="14"/>
        </w:numPr>
        <w:rPr>
          <w:color w:val="FF0000"/>
          <w:u w:val="single"/>
        </w:rPr>
      </w:pPr>
      <w:r>
        <w:t xml:space="preserve">Keep 36.304 text and make </w:t>
      </w:r>
      <w:r>
        <w:rPr>
          <w:i/>
          <w:iCs/>
        </w:rPr>
        <w:t>cellBarred-NTN</w:t>
      </w:r>
      <w:r>
        <w:t xml:space="preserve"> optional in RRC. Then the solution partly relies on the network configuring </w:t>
      </w:r>
      <w:r>
        <w:rPr>
          <w:i/>
          <w:iCs/>
        </w:rPr>
        <w:t>cellBarred-NTN</w:t>
      </w:r>
      <w:r>
        <w:t xml:space="preserve"> correctly, by including </w:t>
      </w:r>
      <w:r>
        <w:rPr>
          <w:i/>
          <w:iCs/>
        </w:rPr>
        <w:t>cellBarred-NTN</w:t>
      </w:r>
      <w:r>
        <w:t xml:space="preserve"> in scenarios when TN and NTN is deployed in the same bands and setting </w:t>
      </w:r>
      <w:r>
        <w:rPr>
          <w:i/>
          <w:iCs/>
        </w:rPr>
        <w:t>cellBarred</w:t>
      </w:r>
      <w:r>
        <w:t xml:space="preserve"> to </w:t>
      </w:r>
      <w:r>
        <w:rPr>
          <w:i/>
          <w:iCs/>
        </w:rPr>
        <w:t>barred</w:t>
      </w:r>
      <w:r>
        <w:t xml:space="preserve">.  </w:t>
      </w:r>
    </w:p>
    <w:p>
      <w:pPr>
        <w:pStyle w:val="15"/>
        <w:numPr>
          <w:ilvl w:val="0"/>
          <w:numId w:val="14"/>
        </w:numPr>
        <w:rPr>
          <w:color w:val="FF0000"/>
          <w:u w:val="single"/>
        </w:rPr>
      </w:pPr>
      <w:r>
        <w:t>Other</w:t>
      </w:r>
    </w:p>
    <w:p>
      <w:pPr>
        <w:pStyle w:val="15"/>
      </w:pPr>
    </w:p>
    <w:tbl>
      <w:tblPr>
        <w:tblStyle w:val="51"/>
        <w:tblW w:w="96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134"/>
        <w:gridCol w:w="7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hemeFill="background2"/>
          </w:tcPr>
          <w:p>
            <w:pPr>
              <w:pStyle w:val="15"/>
              <w:rPr>
                <w:rFonts w:eastAsia="Calibri"/>
                <w:b/>
                <w:bCs/>
                <w:sz w:val="20"/>
                <w:szCs w:val="20"/>
              </w:rPr>
            </w:pPr>
            <w:r>
              <w:rPr>
                <w:rFonts w:eastAsia="Calibri"/>
                <w:b/>
                <w:bCs/>
                <w:sz w:val="20"/>
                <w:szCs w:val="20"/>
              </w:rPr>
              <w:t>Company</w:t>
            </w:r>
          </w:p>
        </w:tc>
        <w:tc>
          <w:tcPr>
            <w:tcW w:w="1134" w:type="dxa"/>
            <w:shd w:val="clear" w:color="auto" w:fill="E7E6E6" w:themeFill="background2"/>
          </w:tcPr>
          <w:p>
            <w:pPr>
              <w:pStyle w:val="15"/>
              <w:rPr>
                <w:rFonts w:eastAsia="Calibri"/>
                <w:b/>
                <w:bCs/>
                <w:sz w:val="20"/>
                <w:szCs w:val="20"/>
              </w:rPr>
            </w:pPr>
            <w:r>
              <w:rPr>
                <w:rFonts w:eastAsia="Calibri"/>
                <w:b/>
                <w:bCs/>
                <w:sz w:val="20"/>
                <w:szCs w:val="20"/>
              </w:rPr>
              <w:t>½/3/4</w:t>
            </w:r>
          </w:p>
        </w:tc>
        <w:tc>
          <w:tcPr>
            <w:tcW w:w="7082" w:type="dxa"/>
            <w:shd w:val="clear" w:color="auto" w:fill="E7E6E6" w:themeFill="background2"/>
          </w:tcPr>
          <w:p>
            <w:pPr>
              <w:pStyle w:val="15"/>
              <w:rPr>
                <w:rFonts w:eastAsia="Calibri"/>
                <w:b/>
                <w:bCs/>
                <w:sz w:val="20"/>
                <w:szCs w:val="20"/>
              </w:rPr>
            </w:pPr>
            <w:r>
              <w:rPr>
                <w:rFonts w:eastAsia="Calibri"/>
                <w:b/>
                <w:bCs/>
                <w:sz w:val="20"/>
                <w:szCs w:val="20"/>
              </w:rPr>
              <w:t>Comment or further text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pStyle w:val="15"/>
              <w:rPr>
                <w:rFonts w:eastAsia="Calibri"/>
                <w:sz w:val="20"/>
                <w:szCs w:val="20"/>
              </w:rPr>
            </w:pPr>
            <w:r>
              <w:rPr>
                <w:rFonts w:eastAsia="Calibri"/>
                <w:sz w:val="20"/>
                <w:szCs w:val="20"/>
              </w:rPr>
              <w:t>Huawei, HiSilicon</w:t>
            </w:r>
          </w:p>
        </w:tc>
        <w:tc>
          <w:tcPr>
            <w:tcW w:w="1134" w:type="dxa"/>
          </w:tcPr>
          <w:p>
            <w:pPr>
              <w:pStyle w:val="15"/>
              <w:rPr>
                <w:rFonts w:eastAsia="Calibri"/>
                <w:sz w:val="20"/>
                <w:szCs w:val="20"/>
              </w:rPr>
            </w:pPr>
            <w:r>
              <w:rPr>
                <w:rFonts w:eastAsia="Calibri"/>
                <w:sz w:val="20"/>
                <w:szCs w:val="20"/>
              </w:rPr>
              <w:t>1</w:t>
            </w:r>
          </w:p>
        </w:tc>
        <w:tc>
          <w:tcPr>
            <w:tcW w:w="7082" w:type="dxa"/>
          </w:tcPr>
          <w:p>
            <w:pPr>
              <w:pStyle w:val="15"/>
              <w:rPr>
                <w:rFonts w:eastAsia="Calibri"/>
                <w:iCs/>
                <w:sz w:val="22"/>
                <w:szCs w:val="22"/>
              </w:rPr>
            </w:pPr>
            <w:r>
              <w:rPr>
                <w:rFonts w:eastAsia="Calibri"/>
                <w:sz w:val="20"/>
                <w:szCs w:val="20"/>
              </w:rPr>
              <w:t xml:space="preserve">We do not see any issue with the current text. Although we assume that </w:t>
            </w:r>
            <w:r>
              <w:rPr>
                <w:rFonts w:eastAsia="Calibri"/>
                <w:i/>
                <w:iCs/>
                <w:sz w:val="22"/>
                <w:szCs w:val="22"/>
              </w:rPr>
              <w:t xml:space="preserve">cellAccessRelatedInfo-NTN </w:t>
            </w:r>
            <w:r>
              <w:rPr>
                <w:rFonts w:eastAsia="Calibri"/>
                <w:iCs/>
                <w:sz w:val="22"/>
                <w:szCs w:val="22"/>
              </w:rPr>
              <w:t>(according to rapporteur CR) will normally be present in a NTN cell, we see no problem with a NW barring all UEs (TN and NTN) by using the legacy bit.</w:t>
            </w:r>
          </w:p>
          <w:p>
            <w:pPr>
              <w:pStyle w:val="15"/>
              <w:rPr>
                <w:rFonts w:eastAsia="Calibri"/>
                <w:sz w:val="20"/>
                <w:szCs w:val="20"/>
              </w:rPr>
            </w:pPr>
            <w:r>
              <w:rPr>
                <w:rFonts w:eastAsia="Calibri"/>
                <w:iCs/>
                <w:sz w:val="22"/>
                <w:szCs w:val="22"/>
              </w:rPr>
              <w:t>Option 2 is not enough because supporting NTN is not a reason to ignore the legacy bit in a TN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pStyle w:val="15"/>
              <w:rPr>
                <w:rFonts w:eastAsia="Calibri"/>
                <w:sz w:val="22"/>
                <w:szCs w:val="22"/>
              </w:rPr>
            </w:pPr>
            <w:r>
              <w:rPr>
                <w:rFonts w:eastAsia="Calibri"/>
                <w:sz w:val="22"/>
                <w:szCs w:val="22"/>
              </w:rPr>
              <w:t>OPPO</w:t>
            </w:r>
          </w:p>
        </w:tc>
        <w:tc>
          <w:tcPr>
            <w:tcW w:w="1134" w:type="dxa"/>
          </w:tcPr>
          <w:p>
            <w:pPr>
              <w:pStyle w:val="15"/>
              <w:rPr>
                <w:rFonts w:eastAsia="Calibri"/>
                <w:sz w:val="22"/>
                <w:szCs w:val="22"/>
              </w:rPr>
            </w:pPr>
            <w:r>
              <w:rPr>
                <w:rFonts w:eastAsia="Calibri"/>
                <w:sz w:val="22"/>
                <w:szCs w:val="22"/>
              </w:rPr>
              <w:t>1</w:t>
            </w:r>
          </w:p>
        </w:tc>
        <w:tc>
          <w:tcPr>
            <w:tcW w:w="7082" w:type="dxa"/>
          </w:tcPr>
          <w:p>
            <w:pPr>
              <w:pStyle w:val="15"/>
              <w:rPr>
                <w:rFonts w:eastAsia="Calibri"/>
                <w:sz w:val="22"/>
                <w:szCs w:val="22"/>
              </w:rPr>
            </w:pPr>
            <w:r>
              <w:rPr>
                <w:rFonts w:eastAsia="Calibri"/>
                <w:sz w:val="22"/>
                <w:szCs w:val="22"/>
              </w:rPr>
              <w:t xml:space="preserve">We also do not see any issue with the current text. </w:t>
            </w:r>
          </w:p>
          <w:p>
            <w:pPr>
              <w:pStyle w:val="15"/>
              <w:rPr>
                <w:rFonts w:eastAsia="Calibri"/>
                <w:sz w:val="22"/>
                <w:szCs w:val="22"/>
              </w:rPr>
            </w:pPr>
            <w:r>
              <w:rPr>
                <w:rFonts w:eastAsia="Calibri"/>
                <w:sz w:val="22"/>
                <w:szCs w:val="22"/>
              </w:rPr>
              <w:t>For NTN cell, since legacy UE and R17 non-NTN capable UE cannot access the NTN cell due to lack of pre-compensation capability, etc. Therefore, we think NTN cell should always set cellBarred as “barred” to prevent the access of legacy UE and R17 non-NTN capable UE.</w:t>
            </w:r>
          </w:p>
          <w:p>
            <w:pPr>
              <w:pStyle w:val="15"/>
              <w:rPr>
                <w:rFonts w:eastAsia="Calibri"/>
                <w:sz w:val="22"/>
                <w:szCs w:val="22"/>
              </w:rPr>
            </w:pPr>
            <w:r>
              <w:rPr>
                <w:rFonts w:eastAsia="Calibri"/>
                <w:sz w:val="22"/>
                <w:szCs w:val="22"/>
              </w:rPr>
              <w:t>In this case, if cellBarred-NTN is not present in this NTN cell, UE supporting NTN could consider the cell to be barred according to cellBarred.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pStyle w:val="15"/>
              <w:rPr>
                <w:rFonts w:eastAsia="Calibri"/>
                <w:sz w:val="20"/>
                <w:szCs w:val="20"/>
              </w:rPr>
            </w:pPr>
            <w:r>
              <w:rPr>
                <w:rFonts w:eastAsia="Calibri"/>
                <w:sz w:val="20"/>
                <w:szCs w:val="20"/>
              </w:rPr>
              <w:t>InterDigital</w:t>
            </w:r>
          </w:p>
        </w:tc>
        <w:tc>
          <w:tcPr>
            <w:tcW w:w="1134" w:type="dxa"/>
          </w:tcPr>
          <w:p>
            <w:pPr>
              <w:pStyle w:val="15"/>
              <w:rPr>
                <w:rFonts w:eastAsia="Calibri"/>
                <w:sz w:val="20"/>
                <w:szCs w:val="20"/>
              </w:rPr>
            </w:pPr>
            <w:r>
              <w:rPr>
                <w:rFonts w:eastAsia="Calibri"/>
                <w:sz w:val="20"/>
                <w:szCs w:val="20"/>
              </w:rPr>
              <w:t>1</w:t>
            </w:r>
          </w:p>
        </w:tc>
        <w:tc>
          <w:tcPr>
            <w:tcW w:w="7082" w:type="dxa"/>
          </w:tcPr>
          <w:p>
            <w:pPr>
              <w:pStyle w:val="15"/>
              <w:rPr>
                <w:rFonts w:eastAsia="Calibri"/>
                <w:sz w:val="20"/>
                <w:szCs w:val="20"/>
              </w:rPr>
            </w:pPr>
            <w:r>
              <w:rPr>
                <w:rFonts w:eastAsia="Calibri"/>
                <w:sz w:val="20"/>
                <w:szCs w:val="20"/>
              </w:rPr>
              <w:t xml:space="preserve">We see no problem with the current text. NW could bar all UEs using the legacy bit as others have stated. In addition, a TN cell won’t include this, so an NTN UE should ignore </w:t>
            </w:r>
            <w:r>
              <w:rPr>
                <w:rFonts w:eastAsia="Calibri"/>
                <w:sz w:val="22"/>
                <w:szCs w:val="22"/>
              </w:rPr>
              <w:t>cellBarred</w:t>
            </w:r>
            <w:r>
              <w:rPr>
                <w:rFonts w:eastAsia="Calibri"/>
                <w:sz w:val="20"/>
                <w:szCs w:val="20"/>
              </w:rPr>
              <w:t xml:space="preserve"> only if </w:t>
            </w:r>
            <w:r>
              <w:rPr>
                <w:rFonts w:eastAsia="Calibri"/>
                <w:sz w:val="22"/>
                <w:szCs w:val="22"/>
              </w:rPr>
              <w:t>cellBarred-NTN is present.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pStyle w:val="15"/>
              <w:rPr>
                <w:rFonts w:eastAsia="Calibri"/>
                <w:sz w:val="22"/>
                <w:szCs w:val="22"/>
              </w:rPr>
            </w:pPr>
            <w:r>
              <w:rPr>
                <w:rFonts w:eastAsia="Calibri"/>
                <w:sz w:val="22"/>
                <w:szCs w:val="22"/>
              </w:rPr>
              <w:t>Qualcomm</w:t>
            </w:r>
          </w:p>
        </w:tc>
        <w:tc>
          <w:tcPr>
            <w:tcW w:w="1134" w:type="dxa"/>
          </w:tcPr>
          <w:p>
            <w:pPr>
              <w:pStyle w:val="15"/>
              <w:rPr>
                <w:rFonts w:eastAsia="Calibri"/>
                <w:sz w:val="22"/>
                <w:szCs w:val="22"/>
              </w:rPr>
            </w:pPr>
            <w:r>
              <w:rPr>
                <w:rFonts w:eastAsia="Calibri"/>
                <w:sz w:val="22"/>
                <w:szCs w:val="22"/>
              </w:rPr>
              <w:t xml:space="preserve">2 </w:t>
            </w:r>
          </w:p>
        </w:tc>
        <w:tc>
          <w:tcPr>
            <w:tcW w:w="7082" w:type="dxa"/>
          </w:tcPr>
          <w:p>
            <w:pPr>
              <w:pStyle w:val="15"/>
              <w:rPr>
                <w:rFonts w:eastAsia="Calibri"/>
                <w:sz w:val="22"/>
                <w:szCs w:val="22"/>
              </w:rPr>
            </w:pPr>
            <w:r>
              <w:rPr>
                <w:rFonts w:eastAsia="Calibri"/>
                <w:sz w:val="22"/>
                <w:szCs w:val="22"/>
              </w:rPr>
              <w:t>We do not think current text is clear.</w:t>
            </w:r>
          </w:p>
          <w:p>
            <w:pPr>
              <w:pStyle w:val="15"/>
              <w:rPr>
                <w:rFonts w:eastAsia="Calibri"/>
                <w:sz w:val="22"/>
                <w:szCs w:val="22"/>
              </w:rPr>
            </w:pPr>
            <w:r>
              <w:rPr>
                <w:rFonts w:eastAsia="Calibri"/>
                <w:sz w:val="22"/>
                <w:szCs w:val="22"/>
              </w:rPr>
              <w:t xml:space="preserve">What is the reason </w:t>
            </w:r>
            <w:r>
              <w:rPr>
                <w:rFonts w:eastAsia="Calibri"/>
                <w:i/>
                <w:iCs/>
                <w:sz w:val="22"/>
                <w:szCs w:val="22"/>
              </w:rPr>
              <w:t>cellAccessRelatedInfo-v1700</w:t>
            </w:r>
            <w:r>
              <w:rPr>
                <w:rFonts w:eastAsia="Calibri"/>
                <w:sz w:val="22"/>
                <w:szCs w:val="22"/>
              </w:rPr>
              <w:tab/>
            </w:r>
            <w:r>
              <w:rPr>
                <w:rFonts w:eastAsia="Calibri"/>
                <w:sz w:val="22"/>
                <w:szCs w:val="22"/>
              </w:rPr>
              <w:t>is present in TN cell? Simply this should not happen to make things simple. So if this is not included, then the UE should consider the cell is TN cell. Then connectivity to TN is allowed but connectivity to NTN is not allowed. That’s how UE will behave.</w:t>
            </w:r>
          </w:p>
          <w:p>
            <w:pPr>
              <w:pStyle w:val="15"/>
              <w:rPr>
                <w:rFonts w:eastAsia="Calibri"/>
                <w:sz w:val="22"/>
                <w:szCs w:val="22"/>
              </w:rPr>
            </w:pPr>
            <w:r>
              <w:rPr>
                <w:rFonts w:eastAsia="Calibri"/>
                <w:sz w:val="22"/>
                <w:szCs w:val="22"/>
              </w:rPr>
              <w:t>Simply we need following correction in field description.</w:t>
            </w:r>
          </w:p>
          <w:p>
            <w:pPr>
              <w:keepNext/>
              <w:keepLines/>
              <w:spacing w:after="0"/>
              <w:rPr>
                <w:rFonts w:ascii="Arial" w:hAnsi="Arial" w:eastAsia="Times New Roman"/>
                <w:b/>
                <w:i/>
                <w:sz w:val="18"/>
                <w:szCs w:val="22"/>
              </w:rPr>
            </w:pPr>
            <w:r>
              <w:rPr>
                <w:rFonts w:ascii="Arial" w:hAnsi="Arial" w:eastAsia="Times New Roman"/>
                <w:b/>
                <w:i/>
                <w:sz w:val="18"/>
                <w:szCs w:val="22"/>
              </w:rPr>
              <w:t>cellBarred-NTN</w:t>
            </w:r>
          </w:p>
          <w:p>
            <w:pPr>
              <w:pStyle w:val="15"/>
              <w:rPr>
                <w:rFonts w:eastAsia="Calibri"/>
                <w:sz w:val="22"/>
                <w:szCs w:val="22"/>
              </w:rPr>
            </w:pPr>
            <w:r>
              <w:rPr>
                <w:rFonts w:eastAsia="Times New Roman"/>
                <w:sz w:val="18"/>
                <w:szCs w:val="22"/>
                <w:lang w:eastAsia="en-GB"/>
              </w:rPr>
              <w:t>barred means the cell is barred for connectivity to NTN, as defined in TS 36.304 [4].</w:t>
            </w:r>
            <w:ins w:id="0" w:author="Qualcomm-Bharat" w:date="2022-04-19T17:50:00Z">
              <w:r>
                <w:rPr>
                  <w:rFonts w:eastAsia="Times New Roman"/>
                  <w:sz w:val="18"/>
                  <w:szCs w:val="22"/>
                  <w:lang w:eastAsia="en-GB"/>
                </w:rPr>
                <w:t xml:space="preserve"> </w:t>
              </w:r>
            </w:ins>
            <w:ins w:id="1" w:author="Qualcomm-Bharat" w:date="2022-04-21T08:04:00Z">
              <w:r>
                <w:rPr>
                  <w:rFonts w:eastAsia="Times New Roman"/>
                  <w:sz w:val="18"/>
                  <w:szCs w:val="22"/>
                  <w:lang w:eastAsia="en-GB"/>
                </w:rPr>
                <w:t>If</w:t>
              </w:r>
            </w:ins>
            <w:ins w:id="2" w:author="Qualcomm-Bharat" w:date="2022-04-21T08:05:00Z">
              <w:r>
                <w:rPr>
                  <w:rFonts w:eastAsia="Times New Roman"/>
                  <w:sz w:val="18"/>
                  <w:szCs w:val="22"/>
                  <w:lang w:eastAsia="en-GB"/>
                </w:rPr>
                <w:t xml:space="preserve"> </w:t>
              </w:r>
            </w:ins>
            <w:ins w:id="3" w:author="Qualcomm-Bharat" w:date="2022-04-22T08:40:00Z">
              <w:r>
                <w:rPr>
                  <w:rFonts w:eastAsia="Times New Roman"/>
                  <w:sz w:val="18"/>
                  <w:szCs w:val="22"/>
                  <w:lang w:eastAsia="en-GB"/>
                </w:rPr>
                <w:t>the field is included</w:t>
              </w:r>
            </w:ins>
            <w:ins w:id="4" w:author="Qualcomm-Bharat" w:date="2022-04-19T17:50:00Z">
              <w:r>
                <w:rPr>
                  <w:rFonts w:eastAsia="Times New Roman"/>
                  <w:sz w:val="18"/>
                  <w:szCs w:val="22"/>
                  <w:lang w:eastAsia="en-GB"/>
                </w:rPr>
                <w:t xml:space="preserve">, the </w:t>
              </w:r>
            </w:ins>
            <w:ins w:id="5" w:author="Qualcomm-Bharat" w:date="2022-04-19T17:50:00Z">
              <w:r>
                <w:rPr>
                  <w:rFonts w:eastAsia="Times New Roman"/>
                  <w:i/>
                  <w:iCs/>
                  <w:sz w:val="18"/>
                  <w:szCs w:val="22"/>
                  <w:lang w:eastAsia="en-GB"/>
                </w:rPr>
                <w:t>cellBarred</w:t>
              </w:r>
            </w:ins>
            <w:ins w:id="6" w:author="Qualcomm-Bharat" w:date="2022-04-19T17:50:00Z">
              <w:r>
                <w:rPr>
                  <w:rFonts w:eastAsia="Times New Roman"/>
                  <w:sz w:val="18"/>
                  <w:szCs w:val="22"/>
                  <w:lang w:eastAsia="en-GB"/>
                </w:rPr>
                <w:t xml:space="preserve"> is set to “barred”.</w:t>
              </w:r>
            </w:ins>
            <w:ins w:id="7" w:author="Qualcomm-Bharat" w:date="2022-04-19T18:04:00Z">
              <w:r>
                <w:rPr>
                  <w:rFonts w:eastAsia="Times New Roman"/>
                  <w:sz w:val="18"/>
                  <w:szCs w:val="22"/>
                  <w:lang w:eastAsia="en-GB"/>
                </w:rPr>
                <w:t xml:space="preserve"> </w:t>
              </w:r>
            </w:ins>
            <w:ins w:id="8" w:author="Qualcomm-Bharat" w:date="2022-04-21T08:05:00Z">
              <w:r>
                <w:rPr>
                  <w:rFonts w:eastAsia="Times New Roman"/>
                  <w:sz w:val="18"/>
                  <w:szCs w:val="22"/>
                  <w:lang w:eastAsia="en-GB"/>
                </w:rPr>
                <w:t>If the field</w:t>
              </w:r>
            </w:ins>
            <w:ins w:id="9" w:author="Qualcomm-Bharat" w:date="2022-04-19T18:05:00Z">
              <w:r>
                <w:rPr>
                  <w:rFonts w:eastAsia="Times New Roman"/>
                  <w:sz w:val="18"/>
                  <w:szCs w:val="22"/>
                  <w:lang w:eastAsia="en-GB"/>
                </w:rPr>
                <w:t xml:space="preserve"> </w:t>
              </w:r>
            </w:ins>
            <w:ins w:id="10" w:author="Qualcomm-Bharat" w:date="2022-04-19T18:04:00Z">
              <w:r>
                <w:rPr>
                  <w:rFonts w:eastAsia="Times New Roman"/>
                  <w:sz w:val="18"/>
                  <w:szCs w:val="22"/>
                  <w:lang w:eastAsia="en-GB"/>
                </w:rPr>
                <w:t xml:space="preserve">is </w:t>
              </w:r>
            </w:ins>
            <w:ins w:id="11" w:author="Qualcomm-Bharat" w:date="2022-04-19T18:05:00Z">
              <w:r>
                <w:rPr>
                  <w:rFonts w:eastAsia="Times New Roman"/>
                  <w:sz w:val="18"/>
                  <w:szCs w:val="22"/>
                  <w:lang w:eastAsia="en-GB"/>
                </w:rPr>
                <w:t>not included</w:t>
              </w:r>
            </w:ins>
            <w:ins w:id="12" w:author="Qualcomm-Bharat" w:date="2022-04-19T18:04:00Z">
              <w:r>
                <w:rPr>
                  <w:rFonts w:eastAsia="Times New Roman"/>
                  <w:sz w:val="18"/>
                  <w:szCs w:val="22"/>
                  <w:lang w:eastAsia="en-GB"/>
                </w:rPr>
                <w:t xml:space="preserve">, the </w:t>
              </w:r>
            </w:ins>
            <w:ins w:id="13" w:author="Qualcomm-Bharat" w:date="2022-04-21T08:06:00Z">
              <w:r>
                <w:rPr>
                  <w:rFonts w:eastAsia="Times New Roman"/>
                  <w:sz w:val="18"/>
                  <w:szCs w:val="22"/>
                  <w:lang w:eastAsia="en-GB"/>
                </w:rPr>
                <w:t>UE considers the cell does not support NTN</w:t>
              </w:r>
            </w:ins>
            <w:ins w:id="14" w:author="Qualcomm-Bharat" w:date="2022-04-19T18:05:00Z">
              <w:r>
                <w:rPr>
                  <w:rFonts w:eastAsia="Times New Roman"/>
                  <w:sz w:val="18"/>
                  <w:szCs w:val="22"/>
                  <w:lang w:eastAsia="en-GB"/>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pStyle w:val="15"/>
              <w:rPr>
                <w:rFonts w:hint="eastAsia" w:eastAsiaTheme="minorEastAsia"/>
                <w:sz w:val="20"/>
                <w:szCs w:val="20"/>
              </w:rPr>
            </w:pPr>
            <w:r>
              <w:rPr>
                <w:rFonts w:hint="eastAsia" w:eastAsiaTheme="minorEastAsia"/>
                <w:sz w:val="20"/>
                <w:szCs w:val="20"/>
              </w:rPr>
              <w:t>S</w:t>
            </w:r>
            <w:r>
              <w:rPr>
                <w:rFonts w:eastAsiaTheme="minorEastAsia"/>
                <w:sz w:val="20"/>
                <w:szCs w:val="20"/>
              </w:rPr>
              <w:t>preadtrum</w:t>
            </w:r>
          </w:p>
        </w:tc>
        <w:tc>
          <w:tcPr>
            <w:tcW w:w="1134" w:type="dxa"/>
          </w:tcPr>
          <w:p>
            <w:pPr>
              <w:pStyle w:val="15"/>
              <w:rPr>
                <w:rFonts w:hint="eastAsia" w:eastAsiaTheme="minorEastAsia"/>
                <w:sz w:val="20"/>
                <w:szCs w:val="20"/>
              </w:rPr>
            </w:pPr>
            <w:r>
              <w:rPr>
                <w:rFonts w:hint="eastAsia" w:eastAsiaTheme="minorEastAsia"/>
                <w:sz w:val="20"/>
                <w:szCs w:val="20"/>
              </w:rPr>
              <w:t>1</w:t>
            </w:r>
          </w:p>
        </w:tc>
        <w:tc>
          <w:tcPr>
            <w:tcW w:w="7082" w:type="dxa"/>
          </w:tcPr>
          <w:p>
            <w:pPr>
              <w:pStyle w:val="15"/>
              <w:rPr>
                <w:rFonts w:eastAsiaTheme="minorEastAsia"/>
                <w:sz w:val="20"/>
                <w:szCs w:val="20"/>
              </w:rPr>
            </w:pPr>
            <w:r>
              <w:rPr>
                <w:rFonts w:eastAsiaTheme="minorEastAsia"/>
                <w:sz w:val="20"/>
                <w:szCs w:val="20"/>
              </w:rPr>
              <w:t xml:space="preserve">We also do not see any issue with the current text. </w:t>
            </w:r>
          </w:p>
          <w:p>
            <w:pPr>
              <w:pStyle w:val="15"/>
              <w:rPr>
                <w:rFonts w:hint="eastAsia" w:eastAsiaTheme="minorEastAsia"/>
                <w:sz w:val="20"/>
                <w:szCs w:val="20"/>
              </w:rPr>
            </w:pPr>
            <w:r>
              <w:rPr>
                <w:rFonts w:eastAsiaTheme="minorEastAsia"/>
                <w:sz w:val="20"/>
                <w:szCs w:val="20"/>
              </w:rPr>
              <w:t>The NTN UE shall check cellBarred-NTN and ignore cellBarred to determine whether it is allowed or not in NTN cell.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vAlign w:val="top"/>
          </w:tcPr>
          <w:p>
            <w:pPr>
              <w:pStyle w:val="15"/>
              <w:rPr>
                <w:rFonts w:hint="eastAsia" w:eastAsiaTheme="minorEastAsia"/>
                <w:sz w:val="20"/>
                <w:szCs w:val="20"/>
              </w:rPr>
            </w:pPr>
            <w:r>
              <w:rPr>
                <w:rFonts w:hint="eastAsia" w:eastAsia="宋体"/>
                <w:sz w:val="22"/>
                <w:szCs w:val="22"/>
                <w:lang w:val="en-US" w:eastAsia="zh-CN"/>
              </w:rPr>
              <w:t>Transsion Holdings</w:t>
            </w:r>
          </w:p>
        </w:tc>
        <w:tc>
          <w:tcPr>
            <w:tcW w:w="1134" w:type="dxa"/>
            <w:vAlign w:val="top"/>
          </w:tcPr>
          <w:p>
            <w:pPr>
              <w:pStyle w:val="15"/>
              <w:rPr>
                <w:rFonts w:hint="eastAsia" w:eastAsiaTheme="minorEastAsia"/>
                <w:sz w:val="20"/>
                <w:szCs w:val="20"/>
              </w:rPr>
            </w:pPr>
            <w:r>
              <w:rPr>
                <w:rFonts w:hint="eastAsia" w:eastAsia="宋体"/>
                <w:sz w:val="22"/>
                <w:szCs w:val="22"/>
                <w:lang w:val="en-US" w:eastAsia="zh-CN"/>
              </w:rPr>
              <w:t>1</w:t>
            </w:r>
            <w:bookmarkStart w:id="21" w:name="_GoBack"/>
            <w:bookmarkEnd w:id="21"/>
          </w:p>
        </w:tc>
        <w:tc>
          <w:tcPr>
            <w:tcW w:w="7082" w:type="dxa"/>
            <w:vAlign w:val="top"/>
          </w:tcPr>
          <w:p>
            <w:pPr>
              <w:pStyle w:val="15"/>
              <w:rPr>
                <w:rFonts w:eastAsia="Calibri"/>
                <w:sz w:val="22"/>
                <w:szCs w:val="22"/>
              </w:rPr>
            </w:pPr>
            <w:r>
              <w:rPr>
                <w:rFonts w:eastAsia="Calibri"/>
                <w:sz w:val="22"/>
                <w:szCs w:val="22"/>
              </w:rPr>
              <w:t>We also do not see any issue with the current text.</w:t>
            </w:r>
          </w:p>
          <w:p>
            <w:pPr>
              <w:pStyle w:val="15"/>
              <w:rPr>
                <w:rFonts w:eastAsiaTheme="minorEastAsia"/>
                <w:sz w:val="20"/>
                <w:szCs w:val="20"/>
              </w:rPr>
            </w:pPr>
            <w:r>
              <w:rPr>
                <w:rFonts w:hint="eastAsia" w:eastAsia="宋体"/>
                <w:sz w:val="22"/>
                <w:szCs w:val="22"/>
                <w:lang w:val="en-US" w:eastAsia="zh-CN"/>
              </w:rPr>
              <w:t>First of all,</w:t>
            </w:r>
            <w:r>
              <w:rPr>
                <w:rFonts w:eastAsia="Calibri"/>
                <w:sz w:val="22"/>
                <w:szCs w:val="22"/>
              </w:rPr>
              <w:t xml:space="preserve"> </w:t>
            </w:r>
            <w:r>
              <w:rPr>
                <w:rFonts w:hint="eastAsia" w:eastAsia="宋体"/>
                <w:sz w:val="22"/>
                <w:szCs w:val="22"/>
                <w:lang w:val="en-US" w:eastAsia="zh-CN"/>
              </w:rPr>
              <w:t xml:space="preserve">the legacy </w:t>
            </w:r>
            <w:r>
              <w:rPr>
                <w:bCs/>
                <w:i/>
                <w:sz w:val="22"/>
                <w:szCs w:val="22"/>
              </w:rPr>
              <w:t>cellBarred</w:t>
            </w:r>
            <w:r>
              <w:rPr>
                <w:sz w:val="22"/>
                <w:szCs w:val="22"/>
              </w:rPr>
              <w:t xml:space="preserve"> </w:t>
            </w:r>
            <w:r>
              <w:rPr>
                <w:rFonts w:hint="eastAsia"/>
                <w:sz w:val="22"/>
                <w:szCs w:val="22"/>
                <w:lang w:val="en-US" w:eastAsia="zh-CN"/>
              </w:rPr>
              <w:t xml:space="preserve">should always set to barred when the cell is a NTN cell. If </w:t>
            </w:r>
            <w:r>
              <w:rPr>
                <w:rFonts w:eastAsia="Calibri"/>
                <w:sz w:val="22"/>
                <w:szCs w:val="22"/>
              </w:rPr>
              <w:t xml:space="preserve">cellBarred-NTN is </w:t>
            </w:r>
            <w:r>
              <w:rPr>
                <w:rFonts w:hint="eastAsia" w:eastAsia="宋体"/>
                <w:sz w:val="22"/>
                <w:szCs w:val="22"/>
                <w:lang w:val="en-US" w:eastAsia="zh-CN"/>
              </w:rPr>
              <w:t xml:space="preserve">not </w:t>
            </w:r>
            <w:r>
              <w:rPr>
                <w:rFonts w:eastAsia="Calibri"/>
                <w:sz w:val="22"/>
                <w:szCs w:val="22"/>
              </w:rPr>
              <w:t>present</w:t>
            </w:r>
            <w:r>
              <w:rPr>
                <w:rFonts w:hint="eastAsia" w:eastAsia="宋体"/>
                <w:sz w:val="22"/>
                <w:szCs w:val="22"/>
                <w:lang w:val="en-US" w:eastAsia="zh-CN"/>
              </w:rPr>
              <w:t>, then the legacy cellBarred also works for the NTN UE ,that doesn</w:t>
            </w:r>
            <w:r>
              <w:rPr>
                <w:rFonts w:hint="default" w:eastAsia="宋体"/>
                <w:sz w:val="22"/>
                <w:szCs w:val="22"/>
                <w:lang w:val="en-US" w:eastAsia="zh-CN"/>
              </w:rPr>
              <w:t>’</w:t>
            </w:r>
            <w:r>
              <w:rPr>
                <w:rFonts w:hint="eastAsia" w:eastAsia="宋体"/>
                <w:sz w:val="22"/>
                <w:szCs w:val="22"/>
                <w:lang w:val="en-US" w:eastAsia="zh-CN"/>
              </w:rPr>
              <w:t>t bring any problem.</w:t>
            </w:r>
          </w:p>
        </w:tc>
      </w:tr>
    </w:tbl>
    <w:p>
      <w:pPr>
        <w:pStyle w:val="15"/>
      </w:pPr>
    </w:p>
    <w:p>
      <w:pPr>
        <w:pStyle w:val="15"/>
      </w:pPr>
    </w:p>
    <w:p>
      <w:pPr>
        <w:pStyle w:val="15"/>
        <w:rPr>
          <w:color w:val="E7E6E6" w:themeColor="background2"/>
          <w14:textFill>
            <w14:solidFill>
              <w14:schemeClr w14:val="bg2"/>
            </w14:solidFill>
          </w14:textFill>
        </w:rPr>
      </w:pPr>
      <w:r>
        <w:rPr>
          <w:color w:val="E7E6E6" w:themeColor="background2"/>
          <w14:textFill>
            <w14:solidFill>
              <w14:schemeClr w14:val="bg2"/>
            </w14:solidFill>
          </w14:textFill>
        </w:rPr>
        <w:t>&lt;Rapporteur comment&gt;</w:t>
      </w:r>
    </w:p>
    <w:p>
      <w:pPr>
        <w:pStyle w:val="72"/>
        <w:rPr>
          <w:color w:val="E7E6E6" w:themeColor="background2"/>
          <w14:textFill>
            <w14:solidFill>
              <w14:schemeClr w14:val="bg2"/>
            </w14:solidFill>
          </w14:textFill>
        </w:rPr>
      </w:pPr>
      <w:bookmarkStart w:id="17" w:name="_Toc103114972"/>
      <w:r>
        <w:rPr>
          <w:color w:val="E7E6E6" w:themeColor="background2"/>
          <w14:textFill>
            <w14:solidFill>
              <w14:schemeClr w14:val="bg2"/>
            </w14:solidFill>
          </w14:textFill>
        </w:rPr>
        <w:t>Change … to ….</w:t>
      </w:r>
      <w:bookmarkEnd w:id="17"/>
    </w:p>
    <w:p>
      <w:pPr>
        <w:pStyle w:val="15"/>
      </w:pPr>
    </w:p>
    <w:p>
      <w:pPr>
        <w:pStyle w:val="15"/>
      </w:pPr>
    </w:p>
    <w:p>
      <w:pPr>
        <w:pStyle w:val="3"/>
      </w:pPr>
      <w:r>
        <w:t>2.4 Other open idle mode issues</w:t>
      </w:r>
    </w:p>
    <w:p>
      <w:pPr>
        <w:pStyle w:val="15"/>
        <w:rPr>
          <w:b/>
          <w:bCs/>
        </w:rPr>
      </w:pPr>
      <w:r>
        <w:rPr>
          <w:b/>
          <w:bCs/>
        </w:rPr>
        <w:t xml:space="preserve">Companies can bring up further idle mode issues or corrections below: </w:t>
      </w:r>
    </w:p>
    <w:tbl>
      <w:tblPr>
        <w:tblStyle w:val="51"/>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shd w:val="clear" w:color="auto" w:fill="E7E6E6" w:themeFill="background2"/>
          </w:tcPr>
          <w:p>
            <w:pPr>
              <w:pStyle w:val="15"/>
              <w:rPr>
                <w:rFonts w:eastAsia="Calibri"/>
                <w:b/>
                <w:bCs/>
                <w:sz w:val="20"/>
                <w:szCs w:val="20"/>
              </w:rPr>
            </w:pPr>
            <w:r>
              <w:rPr>
                <w:rFonts w:eastAsia="Calibri"/>
                <w:b/>
                <w:bCs/>
                <w:sz w:val="20"/>
                <w:szCs w:val="20"/>
              </w:rPr>
              <w:t>Company</w:t>
            </w:r>
          </w:p>
        </w:tc>
        <w:tc>
          <w:tcPr>
            <w:tcW w:w="7938" w:type="dxa"/>
            <w:shd w:val="clear" w:color="auto" w:fill="E7E6E6" w:themeFill="background2"/>
          </w:tcPr>
          <w:p>
            <w:pPr>
              <w:pStyle w:val="15"/>
              <w:rPr>
                <w:rFonts w:eastAsia="Calibri"/>
                <w:b/>
                <w:bCs/>
                <w:sz w:val="20"/>
                <w:szCs w:val="20"/>
              </w:rPr>
            </w:pPr>
            <w:r>
              <w:rPr>
                <w:rFonts w:eastAsia="Calibri"/>
                <w:b/>
                <w:bCs/>
                <w:sz w:val="20"/>
                <w:szCs w:val="20"/>
              </w:rPr>
              <w:t>Issue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pStyle w:val="15"/>
              <w:rPr>
                <w:rFonts w:eastAsia="Calibri"/>
                <w:sz w:val="20"/>
                <w:szCs w:val="20"/>
              </w:rPr>
            </w:pPr>
          </w:p>
        </w:tc>
        <w:tc>
          <w:tcPr>
            <w:tcW w:w="7938" w:type="dxa"/>
          </w:tcPr>
          <w:p>
            <w:pPr>
              <w:pStyle w:val="15"/>
              <w:rPr>
                <w:rFonts w:eastAsia="Calibri"/>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3" w:type="dxa"/>
          </w:tcPr>
          <w:p>
            <w:pPr>
              <w:pStyle w:val="15"/>
              <w:rPr>
                <w:rFonts w:eastAsia="Calibri"/>
                <w:sz w:val="20"/>
                <w:szCs w:val="20"/>
              </w:rPr>
            </w:pPr>
          </w:p>
        </w:tc>
        <w:tc>
          <w:tcPr>
            <w:tcW w:w="7938" w:type="dxa"/>
          </w:tcPr>
          <w:p>
            <w:pPr>
              <w:pStyle w:val="15"/>
              <w:rPr>
                <w:rFonts w:eastAsia="Calibri"/>
                <w:sz w:val="20"/>
                <w:szCs w:val="20"/>
              </w:rPr>
            </w:pPr>
          </w:p>
        </w:tc>
      </w:tr>
    </w:tbl>
    <w:p/>
    <w:p>
      <w:pPr>
        <w:pStyle w:val="2"/>
      </w:pPr>
      <w:r>
        <w:t>3 Conclusion</w:t>
      </w:r>
    </w:p>
    <w:p>
      <w:pPr>
        <w:pStyle w:val="15"/>
        <w:rPr>
          <w:b/>
          <w:bCs/>
        </w:rPr>
      </w:pPr>
    </w:p>
    <w:p>
      <w:pPr>
        <w:pStyle w:val="15"/>
      </w:pPr>
      <w:r>
        <w:t>Based on the discussion in the previous sections we propose the following:</w:t>
      </w:r>
    </w:p>
    <w:p>
      <w:pPr>
        <w:pStyle w:val="44"/>
        <w:tabs>
          <w:tab w:val="right" w:leader="dot" w:pos="9629"/>
        </w:tabs>
        <w:rPr>
          <w:rFonts w:asciiTheme="minorHAnsi" w:hAnsiTheme="minorHAnsi" w:cstheme="minorBidi"/>
          <w:b w:val="0"/>
          <w:color w:val="E7E6E6" w:themeColor="background2"/>
          <w:sz w:val="22"/>
          <w:szCs w:val="22"/>
          <w:lang w:val="sv-SE"/>
          <w14:textFill>
            <w14:solidFill>
              <w14:schemeClr w14:val="bg2"/>
            </w14:solidFill>
          </w14:textFill>
        </w:rPr>
      </w:pPr>
      <w:r>
        <w:rPr>
          <w:b w:val="0"/>
          <w:bCs/>
          <w:color w:val="E7E6E6" w:themeColor="background2"/>
          <w:lang w:val="en-US"/>
          <w14:textFill>
            <w14:solidFill>
              <w14:schemeClr w14:val="bg2"/>
            </w14:solidFill>
          </w14:textFill>
        </w:rPr>
        <w:fldChar w:fldCharType="begin"/>
      </w:r>
      <w:r>
        <w:rPr>
          <w:b w:val="0"/>
          <w:bCs/>
          <w:color w:val="E7E6E6" w:themeColor="background2"/>
          <w:lang w:val="en-US"/>
          <w14:textFill>
            <w14:solidFill>
              <w14:schemeClr w14:val="bg2"/>
            </w14:solidFill>
          </w14:textFill>
        </w:rPr>
        <w:instrText xml:space="preserve"> TOC \n \h \z \t "Proposal" \c </w:instrText>
      </w:r>
      <w:r>
        <w:rPr>
          <w:b w:val="0"/>
          <w:bCs/>
          <w:color w:val="E7E6E6" w:themeColor="background2"/>
          <w:lang w:val="en-US"/>
          <w14:textFill>
            <w14:solidFill>
              <w14:schemeClr w14:val="bg2"/>
            </w14:solidFill>
          </w14:textFill>
        </w:rPr>
        <w:fldChar w:fldCharType="separate"/>
      </w:r>
      <w:r>
        <w:fldChar w:fldCharType="begin"/>
      </w:r>
      <w:r>
        <w:instrText xml:space="preserve"> HYPERLINK \l "_Toc103114969" </w:instrText>
      </w:r>
      <w:r>
        <w:fldChar w:fldCharType="separate"/>
      </w:r>
      <w:r>
        <w:rPr>
          <w:rStyle w:val="57"/>
          <w:color w:val="E7E6E6" w:themeColor="background2"/>
          <w14:textFill>
            <w14:solidFill>
              <w14:schemeClr w14:val="bg2"/>
            </w14:solidFill>
          </w14:textFill>
        </w:rPr>
        <w:t>Proposal 1</w:t>
      </w:r>
      <w:r>
        <w:rPr>
          <w:rFonts w:asciiTheme="minorHAnsi" w:hAnsiTheme="minorHAnsi" w:cstheme="minorBidi"/>
          <w:b w:val="0"/>
          <w:color w:val="E7E6E6" w:themeColor="background2"/>
          <w:sz w:val="22"/>
          <w:szCs w:val="22"/>
          <w:lang w:val="sv-SE"/>
          <w14:textFill>
            <w14:solidFill>
              <w14:schemeClr w14:val="bg2"/>
            </w14:solidFill>
          </w14:textFill>
        </w:rPr>
        <w:tab/>
      </w:r>
      <w:r>
        <w:rPr>
          <w:rStyle w:val="57"/>
          <w:color w:val="E7E6E6" w:themeColor="background2"/>
          <w14:textFill>
            <w14:solidFill>
              <w14:schemeClr w14:val="bg2"/>
            </w14:solidFill>
          </w14:textFill>
        </w:rPr>
        <w:t>T-service includes/does not include inter-RAT measurements.</w:t>
      </w:r>
      <w:r>
        <w:rPr>
          <w:rStyle w:val="57"/>
          <w:color w:val="E7E6E6" w:themeColor="background2"/>
          <w14:textFill>
            <w14:solidFill>
              <w14:schemeClr w14:val="bg2"/>
            </w14:solidFill>
          </w14:textFill>
        </w:rPr>
        <w:fldChar w:fldCharType="end"/>
      </w:r>
    </w:p>
    <w:p>
      <w:pPr>
        <w:pStyle w:val="44"/>
        <w:tabs>
          <w:tab w:val="right" w:leader="dot" w:pos="9629"/>
        </w:tabs>
        <w:rPr>
          <w:rFonts w:asciiTheme="minorHAnsi" w:hAnsiTheme="minorHAnsi" w:cstheme="minorBidi"/>
          <w:b w:val="0"/>
          <w:color w:val="E7E6E6" w:themeColor="background2"/>
          <w:sz w:val="22"/>
          <w:szCs w:val="22"/>
          <w:lang w:val="sv-SE"/>
          <w14:textFill>
            <w14:solidFill>
              <w14:schemeClr w14:val="bg2"/>
            </w14:solidFill>
          </w14:textFill>
        </w:rPr>
      </w:pPr>
      <w:r>
        <w:fldChar w:fldCharType="begin"/>
      </w:r>
      <w:r>
        <w:instrText xml:space="preserve"> HYPERLINK \l "_Toc103114970" </w:instrText>
      </w:r>
      <w:r>
        <w:fldChar w:fldCharType="separate"/>
      </w:r>
      <w:r>
        <w:rPr>
          <w:rStyle w:val="57"/>
          <w:color w:val="E7E6E6" w:themeColor="background2"/>
          <w14:textFill>
            <w14:solidFill>
              <w14:schemeClr w14:val="bg2"/>
            </w14:solidFill>
          </w14:textFill>
        </w:rPr>
        <w:t>Proposal 2</w:t>
      </w:r>
      <w:r>
        <w:rPr>
          <w:rFonts w:asciiTheme="minorHAnsi" w:hAnsiTheme="minorHAnsi" w:cstheme="minorBidi"/>
          <w:b w:val="0"/>
          <w:color w:val="E7E6E6" w:themeColor="background2"/>
          <w:sz w:val="22"/>
          <w:szCs w:val="22"/>
          <w:lang w:val="sv-SE"/>
          <w14:textFill>
            <w14:solidFill>
              <w14:schemeClr w14:val="bg2"/>
            </w14:solidFill>
          </w14:textFill>
        </w:rPr>
        <w:tab/>
      </w:r>
      <w:r>
        <w:rPr>
          <w:rStyle w:val="57"/>
          <w:color w:val="E7E6E6" w:themeColor="background2"/>
          <w14:textFill>
            <w14:solidFill>
              <w14:schemeClr w14:val="bg2"/>
            </w14:solidFill>
          </w14:textFill>
        </w:rPr>
        <w:t>TP in R2-220xxxx is agreed .</w:t>
      </w:r>
      <w:r>
        <w:rPr>
          <w:rStyle w:val="57"/>
          <w:color w:val="E7E6E6" w:themeColor="background2"/>
          <w14:textFill>
            <w14:solidFill>
              <w14:schemeClr w14:val="bg2"/>
            </w14:solidFill>
          </w14:textFill>
        </w:rPr>
        <w:fldChar w:fldCharType="end"/>
      </w:r>
    </w:p>
    <w:p>
      <w:pPr>
        <w:pStyle w:val="44"/>
        <w:tabs>
          <w:tab w:val="right" w:leader="dot" w:pos="9629"/>
        </w:tabs>
        <w:rPr>
          <w:rFonts w:asciiTheme="minorHAnsi" w:hAnsiTheme="minorHAnsi" w:cstheme="minorBidi"/>
          <w:b w:val="0"/>
          <w:color w:val="E7E6E6" w:themeColor="background2"/>
          <w:sz w:val="22"/>
          <w:szCs w:val="22"/>
          <w:lang w:val="sv-SE"/>
          <w14:textFill>
            <w14:solidFill>
              <w14:schemeClr w14:val="bg2"/>
            </w14:solidFill>
          </w14:textFill>
        </w:rPr>
      </w:pPr>
      <w:r>
        <w:fldChar w:fldCharType="begin"/>
      </w:r>
      <w:r>
        <w:instrText xml:space="preserve"> HYPERLINK \l "_Toc103114971" </w:instrText>
      </w:r>
      <w:r>
        <w:fldChar w:fldCharType="separate"/>
      </w:r>
      <w:r>
        <w:rPr>
          <w:rStyle w:val="57"/>
          <w:color w:val="E7E6E6" w:themeColor="background2"/>
          <w14:textFill>
            <w14:solidFill>
              <w14:schemeClr w14:val="bg2"/>
            </w14:solidFill>
          </w14:textFill>
        </w:rPr>
        <w:t>Proposal 3</w:t>
      </w:r>
      <w:r>
        <w:rPr>
          <w:rFonts w:asciiTheme="minorHAnsi" w:hAnsiTheme="minorHAnsi" w:cstheme="minorBidi"/>
          <w:b w:val="0"/>
          <w:color w:val="E7E6E6" w:themeColor="background2"/>
          <w:sz w:val="22"/>
          <w:szCs w:val="22"/>
          <w:lang w:val="sv-SE"/>
          <w14:textFill>
            <w14:solidFill>
              <w14:schemeClr w14:val="bg2"/>
            </w14:solidFill>
          </w14:textFill>
        </w:rPr>
        <w:tab/>
      </w:r>
      <w:r>
        <w:rPr>
          <w:rStyle w:val="57"/>
          <w:color w:val="E7E6E6" w:themeColor="background2"/>
          <w14:textFill>
            <w14:solidFill>
              <w14:schemeClr w14:val="bg2"/>
            </w14:solidFill>
          </w14:textFill>
        </w:rPr>
        <w:t>Barring for TN-only is/is not introduced.</w:t>
      </w:r>
      <w:r>
        <w:rPr>
          <w:rStyle w:val="57"/>
          <w:color w:val="E7E6E6" w:themeColor="background2"/>
          <w14:textFill>
            <w14:solidFill>
              <w14:schemeClr w14:val="bg2"/>
            </w14:solidFill>
          </w14:textFill>
        </w:rPr>
        <w:fldChar w:fldCharType="end"/>
      </w:r>
    </w:p>
    <w:p>
      <w:pPr>
        <w:pStyle w:val="44"/>
        <w:tabs>
          <w:tab w:val="right" w:leader="dot" w:pos="9629"/>
        </w:tabs>
        <w:rPr>
          <w:rFonts w:asciiTheme="minorHAnsi" w:hAnsiTheme="minorHAnsi" w:cstheme="minorBidi"/>
          <w:b w:val="0"/>
          <w:color w:val="E7E6E6" w:themeColor="background2"/>
          <w:sz w:val="22"/>
          <w:szCs w:val="22"/>
          <w:lang w:val="sv-SE"/>
          <w14:textFill>
            <w14:solidFill>
              <w14:schemeClr w14:val="bg2"/>
            </w14:solidFill>
          </w14:textFill>
        </w:rPr>
      </w:pPr>
      <w:r>
        <w:fldChar w:fldCharType="begin"/>
      </w:r>
      <w:r>
        <w:instrText xml:space="preserve"> HYPERLINK \l "_Toc103114972" </w:instrText>
      </w:r>
      <w:r>
        <w:fldChar w:fldCharType="separate"/>
      </w:r>
      <w:r>
        <w:rPr>
          <w:rStyle w:val="57"/>
          <w:color w:val="E7E6E6" w:themeColor="background2"/>
          <w14:textFill>
            <w14:solidFill>
              <w14:schemeClr w14:val="bg2"/>
            </w14:solidFill>
          </w14:textFill>
        </w:rPr>
        <w:t>Proposal 4</w:t>
      </w:r>
      <w:r>
        <w:rPr>
          <w:rFonts w:asciiTheme="minorHAnsi" w:hAnsiTheme="minorHAnsi" w:cstheme="minorBidi"/>
          <w:b w:val="0"/>
          <w:color w:val="E7E6E6" w:themeColor="background2"/>
          <w:sz w:val="22"/>
          <w:szCs w:val="22"/>
          <w:lang w:val="sv-SE"/>
          <w14:textFill>
            <w14:solidFill>
              <w14:schemeClr w14:val="bg2"/>
            </w14:solidFill>
          </w14:textFill>
        </w:rPr>
        <w:tab/>
      </w:r>
      <w:r>
        <w:rPr>
          <w:rStyle w:val="57"/>
          <w:color w:val="E7E6E6" w:themeColor="background2"/>
          <w14:textFill>
            <w14:solidFill>
              <w14:schemeClr w14:val="bg2"/>
            </w14:solidFill>
          </w14:textFill>
        </w:rPr>
        <w:t>Change … to ….</w:t>
      </w:r>
      <w:r>
        <w:rPr>
          <w:rStyle w:val="57"/>
          <w:color w:val="E7E6E6" w:themeColor="background2"/>
          <w14:textFill>
            <w14:solidFill>
              <w14:schemeClr w14:val="bg2"/>
            </w14:solidFill>
          </w14:textFill>
        </w:rPr>
        <w:fldChar w:fldCharType="end"/>
      </w:r>
    </w:p>
    <w:p>
      <w:pPr>
        <w:pStyle w:val="15"/>
        <w:rPr>
          <w:b/>
          <w:bCs/>
        </w:rPr>
      </w:pPr>
      <w:r>
        <w:rPr>
          <w:b/>
          <w:bCs/>
          <w:color w:val="E7E6E6" w:themeColor="background2"/>
          <w:lang w:val="en-US"/>
          <w14:textFill>
            <w14:solidFill>
              <w14:schemeClr w14:val="bg2"/>
            </w14:solidFill>
          </w14:textFill>
        </w:rPr>
        <w:fldChar w:fldCharType="end"/>
      </w:r>
      <w:r>
        <w:rPr>
          <w:b/>
          <w:bCs/>
        </w:rPr>
        <w:t xml:space="preserve"> </w:t>
      </w:r>
    </w:p>
    <w:p>
      <w:pPr>
        <w:pStyle w:val="2"/>
      </w:pPr>
      <w:bookmarkStart w:id="18" w:name="_In-sequence_SDU_delivery"/>
      <w:bookmarkEnd w:id="18"/>
      <w:r>
        <w:t>4 References</w:t>
      </w:r>
    </w:p>
    <w:p>
      <w:pPr>
        <w:pStyle w:val="66"/>
      </w:pPr>
      <w:bookmarkStart w:id="19" w:name="_Ref174151459"/>
      <w:bookmarkStart w:id="20" w:name="_Ref189809556"/>
      <w:r>
        <w:t>R2-2204711, Correction on Measurement rules for cell re-selection in IoT-NTN, OPPO, RAN2#118-e, May 2022</w:t>
      </w:r>
    </w:p>
    <w:p>
      <w:pPr>
        <w:pStyle w:val="66"/>
      </w:pPr>
      <w:r>
        <w:t>R2-2205250, 36.304 R17 editorial corrections, Nokia, Nokia Shanghai Bell, RAN2#118-e, May 2022</w:t>
      </w:r>
    </w:p>
    <w:p>
      <w:pPr>
        <w:pStyle w:val="66"/>
      </w:pPr>
      <w:r>
        <w:t xml:space="preserve">R2-2205331, Addressing 36.304 Editor’s note, Huawei, Hisilicon, RAN2#118-e, May 2022. </w:t>
      </w:r>
    </w:p>
    <w:p>
      <w:pPr>
        <w:pStyle w:val="66"/>
      </w:pPr>
      <w:r>
        <w:t xml:space="preserve">R2-2205861, IoT NTN idle mode issues, Ericsson, RAN2#118-e, May 2022. </w:t>
      </w:r>
    </w:p>
    <w:p>
      <w:pPr>
        <w:pStyle w:val="66"/>
      </w:pPr>
      <w:r>
        <w:t xml:space="preserve">R2-2204651, Clarification on TN NTN barring, Qualcomm Incorporated, RAN2#118-e, May 2022. </w:t>
      </w:r>
    </w:p>
    <w:p>
      <w:pPr>
        <w:pStyle w:val="66"/>
      </w:pPr>
      <w:r>
        <w:t xml:space="preserve">R2-2205594, IoT-NTN-only UE, Interdigital Inc., RAN2#118-e, May 2022. </w:t>
      </w:r>
    </w:p>
    <w:p>
      <w:pPr>
        <w:pStyle w:val="66"/>
      </w:pPr>
      <w:r>
        <w:t xml:space="preserve">3GPP TS 36.304, User Equipment (UE) procedures in idle mode, V17.0.0, Release 17, March 2022. </w:t>
      </w:r>
    </w:p>
    <w:p>
      <w:pPr>
        <w:pStyle w:val="66"/>
      </w:pPr>
      <w:r>
        <w:t xml:space="preserve">3GPP TS 36.331, Radio Resource Control (RRC), V17.0.0, Release 17, March 2022. </w:t>
      </w:r>
    </w:p>
    <w:bookmarkEnd w:id="19"/>
    <w:bookmarkEnd w:id="20"/>
    <w:p>
      <w:pPr>
        <w:pStyle w:val="15"/>
      </w:pPr>
    </w:p>
    <w:sectPr>
      <w:footerReference r:id="rId4" w:type="default"/>
      <w:headerReference r:id="rId3" w:type="even"/>
      <w:footnotePr>
        <w:numRestart w:val="eachSect"/>
      </w:footnotePr>
      <w:pgSz w:w="11907" w:h="16840"/>
      <w:pgMar w:top="1134" w:right="1134" w:bottom="1418" w:left="1134" w:header="680" w:footer="567" w:gutter="0"/>
      <w:cols w:space="720" w:num="1"/>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Segoe UI">
    <w:panose1 w:val="020B0502040204020203"/>
    <w:charset w:val="00"/>
    <w:family w:val="swiss"/>
    <w:pitch w:val="default"/>
    <w:sig w:usb0="E4002EFF" w:usb1="C000E47F"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Batang">
    <w:altName w:val="Malgun Gothic"/>
    <w:panose1 w:val="02030600000101010101"/>
    <w:charset w:val="81"/>
    <w:family w:val="roman"/>
    <w:pitch w:val="default"/>
    <w:sig w:usb0="00000000" w:usb1="00000000" w:usb2="00000030" w:usb3="00000000" w:csb0="0008009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Malgun Gothic Semilight">
    <w:panose1 w:val="020B0502040204020203"/>
    <w:charset w:val="86"/>
    <w:family w:val="auto"/>
    <w:pitch w:val="default"/>
    <w:sig w:usb0="900002AF" w:usb1="01D77CFB" w:usb2="00000012" w:usb3="00000000" w:csb0="203E01BD"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tabs>
        <w:tab w:val="center" w:pos="4820"/>
        <w:tab w:val="right" w:pos="9639"/>
      </w:tabs>
      <w:jc w:val="left"/>
    </w:pPr>
    <w:r>
      <w:tab/>
    </w:r>
    <w:r>
      <w:rPr>
        <w:rStyle w:val="54"/>
      </w:rPr>
      <w:fldChar w:fldCharType="begin"/>
    </w:r>
    <w:r>
      <w:rPr>
        <w:rStyle w:val="54"/>
      </w:rPr>
      <w:instrText xml:space="preserve"> PAGE </w:instrText>
    </w:r>
    <w:r>
      <w:rPr>
        <w:rStyle w:val="54"/>
      </w:rPr>
      <w:fldChar w:fldCharType="separate"/>
    </w:r>
    <w:r>
      <w:rPr>
        <w:rStyle w:val="54"/>
      </w:rPr>
      <w:t>1</w:t>
    </w:r>
    <w:r>
      <w:rPr>
        <w:rStyle w:val="54"/>
      </w:rPr>
      <w:fldChar w:fldCharType="end"/>
    </w:r>
    <w:r>
      <w:rPr>
        <w:rStyle w:val="54"/>
      </w:rPr>
      <w:t>/</w:t>
    </w:r>
    <w:r>
      <w:rPr>
        <w:rStyle w:val="54"/>
      </w:rPr>
      <w:fldChar w:fldCharType="begin"/>
    </w:r>
    <w:r>
      <w:rPr>
        <w:rStyle w:val="54"/>
      </w:rPr>
      <w:instrText xml:space="preserve"> NUMPAGES </w:instrText>
    </w:r>
    <w:r>
      <w:rPr>
        <w:rStyle w:val="54"/>
      </w:rPr>
      <w:fldChar w:fldCharType="separate"/>
    </w:r>
    <w:r>
      <w:rPr>
        <w:rStyle w:val="54"/>
      </w:rPr>
      <w:t>6</w:t>
    </w:r>
    <w:r>
      <w:rPr>
        <w:rStyle w:val="54"/>
      </w:rPr>
      <w:fldChar w:fldCharType="end"/>
    </w:r>
    <w:r>
      <w:rPr>
        <w:rStyle w:val="54"/>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FFFFFF7E"/>
    <w:lvl w:ilvl="0" w:tentative="0">
      <w:start w:val="1"/>
      <w:numFmt w:val="lowerRoman"/>
      <w:pStyle w:val="32"/>
      <w:lvlText w:val="%1."/>
      <w:lvlJc w:val="right"/>
      <w:pPr>
        <w:ind w:left="926" w:hanging="360"/>
      </w:pPr>
    </w:lvl>
  </w:abstractNum>
  <w:abstractNum w:abstractNumId="1">
    <w:nsid w:val="0F847706"/>
    <w:multiLevelType w:val="multilevel"/>
    <w:tmpl w:val="0F847706"/>
    <w:lvl w:ilvl="0" w:tentative="0">
      <w:start w:val="1"/>
      <w:numFmt w:val="bullet"/>
      <w:pStyle w:val="25"/>
      <w:lvlText w:val=""/>
      <w:lvlJc w:val="left"/>
      <w:pPr>
        <w:ind w:left="1854" w:hanging="360"/>
      </w:pPr>
      <w:rPr>
        <w:rFonts w:hint="default" w:ascii="Symbol" w:hAnsi="Symbol"/>
      </w:rPr>
    </w:lvl>
    <w:lvl w:ilvl="1" w:tentative="0">
      <w:start w:val="1"/>
      <w:numFmt w:val="bullet"/>
      <w:lvlText w:val="o"/>
      <w:lvlJc w:val="left"/>
      <w:pPr>
        <w:ind w:left="2574" w:hanging="360"/>
      </w:pPr>
      <w:rPr>
        <w:rFonts w:hint="default" w:ascii="Courier New" w:hAnsi="Courier New" w:cs="Courier New"/>
      </w:rPr>
    </w:lvl>
    <w:lvl w:ilvl="2" w:tentative="0">
      <w:start w:val="1"/>
      <w:numFmt w:val="bullet"/>
      <w:lvlText w:val=""/>
      <w:lvlJc w:val="left"/>
      <w:pPr>
        <w:ind w:left="3294" w:hanging="360"/>
      </w:pPr>
      <w:rPr>
        <w:rFonts w:hint="default" w:ascii="Wingdings" w:hAnsi="Wingdings"/>
      </w:rPr>
    </w:lvl>
    <w:lvl w:ilvl="3" w:tentative="0">
      <w:start w:val="1"/>
      <w:numFmt w:val="bullet"/>
      <w:lvlText w:val=""/>
      <w:lvlJc w:val="left"/>
      <w:pPr>
        <w:ind w:left="4014" w:hanging="360"/>
      </w:pPr>
      <w:rPr>
        <w:rFonts w:hint="default" w:ascii="Symbol" w:hAnsi="Symbol"/>
      </w:rPr>
    </w:lvl>
    <w:lvl w:ilvl="4" w:tentative="0">
      <w:start w:val="1"/>
      <w:numFmt w:val="bullet"/>
      <w:lvlText w:val="o"/>
      <w:lvlJc w:val="left"/>
      <w:pPr>
        <w:ind w:left="4734" w:hanging="360"/>
      </w:pPr>
      <w:rPr>
        <w:rFonts w:hint="default" w:ascii="Courier New" w:hAnsi="Courier New" w:cs="Courier New"/>
      </w:rPr>
    </w:lvl>
    <w:lvl w:ilvl="5" w:tentative="0">
      <w:start w:val="1"/>
      <w:numFmt w:val="bullet"/>
      <w:lvlText w:val=""/>
      <w:lvlJc w:val="left"/>
      <w:pPr>
        <w:ind w:left="5454" w:hanging="360"/>
      </w:pPr>
      <w:rPr>
        <w:rFonts w:hint="default" w:ascii="Wingdings" w:hAnsi="Wingdings"/>
      </w:rPr>
    </w:lvl>
    <w:lvl w:ilvl="6" w:tentative="0">
      <w:start w:val="1"/>
      <w:numFmt w:val="bullet"/>
      <w:lvlText w:val=""/>
      <w:lvlJc w:val="left"/>
      <w:pPr>
        <w:ind w:left="6174" w:hanging="360"/>
      </w:pPr>
      <w:rPr>
        <w:rFonts w:hint="default" w:ascii="Symbol" w:hAnsi="Symbol"/>
      </w:rPr>
    </w:lvl>
    <w:lvl w:ilvl="7" w:tentative="0">
      <w:start w:val="1"/>
      <w:numFmt w:val="bullet"/>
      <w:lvlText w:val="o"/>
      <w:lvlJc w:val="left"/>
      <w:pPr>
        <w:ind w:left="6894" w:hanging="360"/>
      </w:pPr>
      <w:rPr>
        <w:rFonts w:hint="default" w:ascii="Courier New" w:hAnsi="Courier New" w:cs="Courier New"/>
      </w:rPr>
    </w:lvl>
    <w:lvl w:ilvl="8" w:tentative="0">
      <w:start w:val="1"/>
      <w:numFmt w:val="bullet"/>
      <w:lvlText w:val=""/>
      <w:lvlJc w:val="left"/>
      <w:pPr>
        <w:ind w:left="7614" w:hanging="360"/>
      </w:pPr>
      <w:rPr>
        <w:rFonts w:hint="default" w:ascii="Wingdings" w:hAnsi="Wingdings"/>
      </w:rPr>
    </w:lvl>
  </w:abstractNum>
  <w:abstractNum w:abstractNumId="2">
    <w:nsid w:val="20396CDA"/>
    <w:multiLevelType w:val="multilevel"/>
    <w:tmpl w:val="20396CDA"/>
    <w:lvl w:ilvl="0" w:tentative="0">
      <w:start w:val="1"/>
      <w:numFmt w:val="bullet"/>
      <w:pStyle w:val="27"/>
      <w:lvlText w:val=""/>
      <w:lvlJc w:val="left"/>
      <w:pPr>
        <w:ind w:left="1287" w:hanging="360"/>
      </w:pPr>
      <w:rPr>
        <w:rFonts w:hint="default" w:ascii="Symbol" w:hAnsi="Symbol"/>
      </w:rPr>
    </w:lvl>
    <w:lvl w:ilvl="1" w:tentative="0">
      <w:start w:val="1"/>
      <w:numFmt w:val="bullet"/>
      <w:lvlText w:val="o"/>
      <w:lvlJc w:val="left"/>
      <w:pPr>
        <w:ind w:left="2007" w:hanging="360"/>
      </w:pPr>
      <w:rPr>
        <w:rFonts w:hint="default" w:ascii="Courier New" w:hAnsi="Courier New" w:cs="Courier New"/>
      </w:rPr>
    </w:lvl>
    <w:lvl w:ilvl="2" w:tentative="0">
      <w:start w:val="1"/>
      <w:numFmt w:val="bullet"/>
      <w:lvlText w:val=""/>
      <w:lvlJc w:val="left"/>
      <w:pPr>
        <w:ind w:left="2727" w:hanging="360"/>
      </w:pPr>
      <w:rPr>
        <w:rFonts w:hint="default" w:ascii="Wingdings" w:hAnsi="Wingdings"/>
      </w:rPr>
    </w:lvl>
    <w:lvl w:ilvl="3" w:tentative="0">
      <w:start w:val="1"/>
      <w:numFmt w:val="bullet"/>
      <w:lvlText w:val=""/>
      <w:lvlJc w:val="left"/>
      <w:pPr>
        <w:ind w:left="3447" w:hanging="360"/>
      </w:pPr>
      <w:rPr>
        <w:rFonts w:hint="default" w:ascii="Symbol" w:hAnsi="Symbol"/>
      </w:rPr>
    </w:lvl>
    <w:lvl w:ilvl="4" w:tentative="0">
      <w:start w:val="1"/>
      <w:numFmt w:val="bullet"/>
      <w:lvlText w:val="o"/>
      <w:lvlJc w:val="left"/>
      <w:pPr>
        <w:ind w:left="4167" w:hanging="360"/>
      </w:pPr>
      <w:rPr>
        <w:rFonts w:hint="default" w:ascii="Courier New" w:hAnsi="Courier New" w:cs="Courier New"/>
      </w:rPr>
    </w:lvl>
    <w:lvl w:ilvl="5" w:tentative="0">
      <w:start w:val="1"/>
      <w:numFmt w:val="bullet"/>
      <w:lvlText w:val=""/>
      <w:lvlJc w:val="left"/>
      <w:pPr>
        <w:ind w:left="4887" w:hanging="360"/>
      </w:pPr>
      <w:rPr>
        <w:rFonts w:hint="default" w:ascii="Wingdings" w:hAnsi="Wingdings"/>
      </w:rPr>
    </w:lvl>
    <w:lvl w:ilvl="6" w:tentative="0">
      <w:start w:val="1"/>
      <w:numFmt w:val="bullet"/>
      <w:lvlText w:val=""/>
      <w:lvlJc w:val="left"/>
      <w:pPr>
        <w:ind w:left="5607" w:hanging="360"/>
      </w:pPr>
      <w:rPr>
        <w:rFonts w:hint="default" w:ascii="Symbol" w:hAnsi="Symbol"/>
      </w:rPr>
    </w:lvl>
    <w:lvl w:ilvl="7" w:tentative="0">
      <w:start w:val="1"/>
      <w:numFmt w:val="bullet"/>
      <w:lvlText w:val="o"/>
      <w:lvlJc w:val="left"/>
      <w:pPr>
        <w:ind w:left="6327" w:hanging="360"/>
      </w:pPr>
      <w:rPr>
        <w:rFonts w:hint="default" w:ascii="Courier New" w:hAnsi="Courier New" w:cs="Courier New"/>
      </w:rPr>
    </w:lvl>
    <w:lvl w:ilvl="8" w:tentative="0">
      <w:start w:val="1"/>
      <w:numFmt w:val="bullet"/>
      <w:lvlText w:val=""/>
      <w:lvlJc w:val="left"/>
      <w:pPr>
        <w:ind w:left="7047" w:hanging="360"/>
      </w:pPr>
      <w:rPr>
        <w:rFonts w:hint="default" w:ascii="Wingdings" w:hAnsi="Wingdings"/>
      </w:rPr>
    </w:lvl>
  </w:abstractNum>
  <w:abstractNum w:abstractNumId="3">
    <w:nsid w:val="275A7442"/>
    <w:multiLevelType w:val="multilevel"/>
    <w:tmpl w:val="275A7442"/>
    <w:lvl w:ilvl="0" w:tentative="0">
      <w:start w:val="1"/>
      <w:numFmt w:val="bullet"/>
      <w:pStyle w:val="26"/>
      <w:lvlText w:val=""/>
      <w:lvlJc w:val="left"/>
      <w:pPr>
        <w:ind w:left="1571" w:hanging="360"/>
      </w:pPr>
      <w:rPr>
        <w:rFonts w:hint="default" w:ascii="Symbol" w:hAnsi="Symbol"/>
      </w:rPr>
    </w:lvl>
    <w:lvl w:ilvl="1" w:tentative="0">
      <w:start w:val="1"/>
      <w:numFmt w:val="bullet"/>
      <w:lvlText w:val="o"/>
      <w:lvlJc w:val="left"/>
      <w:pPr>
        <w:ind w:left="2291" w:hanging="360"/>
      </w:pPr>
      <w:rPr>
        <w:rFonts w:hint="default" w:ascii="Courier New" w:hAnsi="Courier New" w:cs="Courier New"/>
      </w:rPr>
    </w:lvl>
    <w:lvl w:ilvl="2" w:tentative="0">
      <w:start w:val="1"/>
      <w:numFmt w:val="bullet"/>
      <w:lvlText w:val=""/>
      <w:lvlJc w:val="left"/>
      <w:pPr>
        <w:ind w:left="3011" w:hanging="360"/>
      </w:pPr>
      <w:rPr>
        <w:rFonts w:hint="default" w:ascii="Wingdings" w:hAnsi="Wingdings"/>
      </w:rPr>
    </w:lvl>
    <w:lvl w:ilvl="3" w:tentative="0">
      <w:start w:val="1"/>
      <w:numFmt w:val="bullet"/>
      <w:lvlText w:val=""/>
      <w:lvlJc w:val="left"/>
      <w:pPr>
        <w:ind w:left="3731" w:hanging="360"/>
      </w:pPr>
      <w:rPr>
        <w:rFonts w:hint="default" w:ascii="Symbol" w:hAnsi="Symbol"/>
      </w:rPr>
    </w:lvl>
    <w:lvl w:ilvl="4" w:tentative="0">
      <w:start w:val="1"/>
      <w:numFmt w:val="bullet"/>
      <w:lvlText w:val="o"/>
      <w:lvlJc w:val="left"/>
      <w:pPr>
        <w:ind w:left="4451" w:hanging="360"/>
      </w:pPr>
      <w:rPr>
        <w:rFonts w:hint="default" w:ascii="Courier New" w:hAnsi="Courier New" w:cs="Courier New"/>
      </w:rPr>
    </w:lvl>
    <w:lvl w:ilvl="5" w:tentative="0">
      <w:start w:val="1"/>
      <w:numFmt w:val="bullet"/>
      <w:lvlText w:val=""/>
      <w:lvlJc w:val="left"/>
      <w:pPr>
        <w:ind w:left="5171" w:hanging="360"/>
      </w:pPr>
      <w:rPr>
        <w:rFonts w:hint="default" w:ascii="Wingdings" w:hAnsi="Wingdings"/>
      </w:rPr>
    </w:lvl>
    <w:lvl w:ilvl="6" w:tentative="0">
      <w:start w:val="1"/>
      <w:numFmt w:val="bullet"/>
      <w:lvlText w:val=""/>
      <w:lvlJc w:val="left"/>
      <w:pPr>
        <w:ind w:left="5891" w:hanging="360"/>
      </w:pPr>
      <w:rPr>
        <w:rFonts w:hint="default" w:ascii="Symbol" w:hAnsi="Symbol"/>
      </w:rPr>
    </w:lvl>
    <w:lvl w:ilvl="7" w:tentative="0">
      <w:start w:val="1"/>
      <w:numFmt w:val="bullet"/>
      <w:lvlText w:val="o"/>
      <w:lvlJc w:val="left"/>
      <w:pPr>
        <w:ind w:left="6611" w:hanging="360"/>
      </w:pPr>
      <w:rPr>
        <w:rFonts w:hint="default" w:ascii="Courier New" w:hAnsi="Courier New" w:cs="Courier New"/>
      </w:rPr>
    </w:lvl>
    <w:lvl w:ilvl="8" w:tentative="0">
      <w:start w:val="1"/>
      <w:numFmt w:val="bullet"/>
      <w:lvlText w:val=""/>
      <w:lvlJc w:val="left"/>
      <w:pPr>
        <w:ind w:left="7331" w:hanging="360"/>
      </w:pPr>
      <w:rPr>
        <w:rFonts w:hint="default" w:ascii="Wingdings" w:hAnsi="Wingdings"/>
      </w:rPr>
    </w:lvl>
  </w:abstractNum>
  <w:abstractNum w:abstractNumId="4">
    <w:nsid w:val="33EA44FF"/>
    <w:multiLevelType w:val="multilevel"/>
    <w:tmpl w:val="33EA44FF"/>
    <w:lvl w:ilvl="0" w:tentative="0">
      <w:start w:val="1"/>
      <w:numFmt w:val="decimal"/>
      <w:pStyle w:val="24"/>
      <w:lvlText w:val="%1."/>
      <w:lvlJc w:val="left"/>
      <w:pPr>
        <w:ind w:left="1004" w:hanging="360"/>
      </w:pPr>
    </w:lvl>
    <w:lvl w:ilvl="1" w:tentative="0">
      <w:start w:val="1"/>
      <w:numFmt w:val="lowerLetter"/>
      <w:lvlText w:val="%2."/>
      <w:lvlJc w:val="left"/>
      <w:pPr>
        <w:ind w:left="1724" w:hanging="360"/>
      </w:pPr>
    </w:lvl>
    <w:lvl w:ilvl="2" w:tentative="0">
      <w:start w:val="1"/>
      <w:numFmt w:val="lowerRoman"/>
      <w:lvlText w:val="%3."/>
      <w:lvlJc w:val="right"/>
      <w:pPr>
        <w:ind w:left="2444" w:hanging="180"/>
      </w:pPr>
    </w:lvl>
    <w:lvl w:ilvl="3" w:tentative="0">
      <w:start w:val="1"/>
      <w:numFmt w:val="decimal"/>
      <w:lvlText w:val="%4."/>
      <w:lvlJc w:val="left"/>
      <w:pPr>
        <w:ind w:left="3164" w:hanging="360"/>
      </w:pPr>
    </w:lvl>
    <w:lvl w:ilvl="4" w:tentative="0">
      <w:start w:val="1"/>
      <w:numFmt w:val="lowerLetter"/>
      <w:lvlText w:val="%5."/>
      <w:lvlJc w:val="left"/>
      <w:pPr>
        <w:ind w:left="3884" w:hanging="360"/>
      </w:pPr>
    </w:lvl>
    <w:lvl w:ilvl="5" w:tentative="0">
      <w:start w:val="1"/>
      <w:numFmt w:val="lowerRoman"/>
      <w:lvlText w:val="%6."/>
      <w:lvlJc w:val="right"/>
      <w:pPr>
        <w:ind w:left="4604" w:hanging="180"/>
      </w:pPr>
    </w:lvl>
    <w:lvl w:ilvl="6" w:tentative="0">
      <w:start w:val="1"/>
      <w:numFmt w:val="decimal"/>
      <w:lvlText w:val="%7."/>
      <w:lvlJc w:val="left"/>
      <w:pPr>
        <w:ind w:left="5324" w:hanging="360"/>
      </w:pPr>
    </w:lvl>
    <w:lvl w:ilvl="7" w:tentative="0">
      <w:start w:val="1"/>
      <w:numFmt w:val="lowerLetter"/>
      <w:lvlText w:val="%8."/>
      <w:lvlJc w:val="left"/>
      <w:pPr>
        <w:ind w:left="6044" w:hanging="360"/>
      </w:pPr>
    </w:lvl>
    <w:lvl w:ilvl="8" w:tentative="0">
      <w:start w:val="1"/>
      <w:numFmt w:val="lowerRoman"/>
      <w:lvlText w:val="%9."/>
      <w:lvlJc w:val="right"/>
      <w:pPr>
        <w:ind w:left="6764" w:hanging="180"/>
      </w:pPr>
    </w:lvl>
  </w:abstractNum>
  <w:abstractNum w:abstractNumId="5">
    <w:nsid w:val="3AA46647"/>
    <w:multiLevelType w:val="multilevel"/>
    <w:tmpl w:val="3AA46647"/>
    <w:lvl w:ilvl="0" w:tentative="0">
      <w:start w:val="1"/>
      <w:numFmt w:val="decimal"/>
      <w:pStyle w:val="72"/>
      <w:lvlText w:val="Proposal %1"/>
      <w:lvlJc w:val="left"/>
      <w:pPr>
        <w:tabs>
          <w:tab w:val="left" w:pos="1304"/>
        </w:tabs>
        <w:ind w:left="1304" w:hanging="1304"/>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3EC552E1"/>
    <w:multiLevelType w:val="multilevel"/>
    <w:tmpl w:val="3EC552E1"/>
    <w:lvl w:ilvl="0" w:tentative="0">
      <w:start w:val="1"/>
      <w:numFmt w:val="decimal"/>
      <w:lvlText w:val="%1)"/>
      <w:lvlJc w:val="left"/>
      <w:pPr>
        <w:ind w:left="4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4BDF65F6"/>
    <w:multiLevelType w:val="multilevel"/>
    <w:tmpl w:val="4BDF65F6"/>
    <w:lvl w:ilvl="0" w:tentative="0">
      <w:start w:val="1"/>
      <w:numFmt w:val="decimal"/>
      <w:pStyle w:val="66"/>
      <w:lvlText w:val="[%1]"/>
      <w:lvlJc w:val="left"/>
      <w:pPr>
        <w:tabs>
          <w:tab w:val="left" w:pos="567"/>
        </w:tabs>
        <w:ind w:left="567" w:hanging="567"/>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5101505E"/>
    <w:multiLevelType w:val="multilevel"/>
    <w:tmpl w:val="5101505E"/>
    <w:lvl w:ilvl="0" w:tentative="0">
      <w:start w:val="1"/>
      <w:numFmt w:val="decimal"/>
      <w:pStyle w:val="96"/>
      <w:lvlText w:val="Observation %1"/>
      <w:lvlJc w:val="left"/>
      <w:pPr>
        <w:ind w:left="3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21F44A7"/>
    <w:multiLevelType w:val="multilevel"/>
    <w:tmpl w:val="521F44A7"/>
    <w:lvl w:ilvl="0" w:tentative="0">
      <w:start w:val="1"/>
      <w:numFmt w:val="bullet"/>
      <w:pStyle w:val="117"/>
      <w:lvlText w:val=""/>
      <w:lvlJc w:val="left"/>
      <w:pPr>
        <w:tabs>
          <w:tab w:val="left" w:pos="927"/>
        </w:tabs>
        <w:ind w:left="927" w:hanging="360"/>
      </w:pPr>
      <w:rPr>
        <w:rFonts w:hint="default" w:ascii="Wingdings" w:hAnsi="Wingdings"/>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abstractNum w:abstractNumId="10">
    <w:nsid w:val="5BDE1D10"/>
    <w:multiLevelType w:val="multilevel"/>
    <w:tmpl w:val="5BDE1D10"/>
    <w:lvl w:ilvl="0" w:tentative="0">
      <w:start w:val="1"/>
      <w:numFmt w:val="bullet"/>
      <w:pStyle w:val="28"/>
      <w:lvlText w:val=""/>
      <w:lvlJc w:val="left"/>
      <w:pPr>
        <w:ind w:left="1004" w:hanging="360"/>
      </w:pPr>
      <w:rPr>
        <w:rFonts w:hint="default" w:ascii="Symbol" w:hAnsi="Symbol"/>
      </w:rPr>
    </w:lvl>
    <w:lvl w:ilvl="1" w:tentative="0">
      <w:start w:val="1"/>
      <w:numFmt w:val="bullet"/>
      <w:lvlText w:val="o"/>
      <w:lvlJc w:val="left"/>
      <w:pPr>
        <w:ind w:left="1724" w:hanging="360"/>
      </w:pPr>
      <w:rPr>
        <w:rFonts w:hint="default" w:ascii="Courier New" w:hAnsi="Courier New" w:cs="Courier New"/>
      </w:rPr>
    </w:lvl>
    <w:lvl w:ilvl="2" w:tentative="0">
      <w:start w:val="1"/>
      <w:numFmt w:val="bullet"/>
      <w:lvlText w:val=""/>
      <w:lvlJc w:val="left"/>
      <w:pPr>
        <w:ind w:left="2444" w:hanging="360"/>
      </w:pPr>
      <w:rPr>
        <w:rFonts w:hint="default" w:ascii="Wingdings" w:hAnsi="Wingdings"/>
      </w:rPr>
    </w:lvl>
    <w:lvl w:ilvl="3" w:tentative="0">
      <w:start w:val="1"/>
      <w:numFmt w:val="bullet"/>
      <w:lvlText w:val=""/>
      <w:lvlJc w:val="left"/>
      <w:pPr>
        <w:ind w:left="3164" w:hanging="360"/>
      </w:pPr>
      <w:rPr>
        <w:rFonts w:hint="default" w:ascii="Symbol" w:hAnsi="Symbol"/>
      </w:rPr>
    </w:lvl>
    <w:lvl w:ilvl="4" w:tentative="0">
      <w:start w:val="1"/>
      <w:numFmt w:val="bullet"/>
      <w:lvlText w:val="o"/>
      <w:lvlJc w:val="left"/>
      <w:pPr>
        <w:ind w:left="3884" w:hanging="360"/>
      </w:pPr>
      <w:rPr>
        <w:rFonts w:hint="default" w:ascii="Courier New" w:hAnsi="Courier New" w:cs="Courier New"/>
      </w:rPr>
    </w:lvl>
    <w:lvl w:ilvl="5" w:tentative="0">
      <w:start w:val="1"/>
      <w:numFmt w:val="bullet"/>
      <w:lvlText w:val=""/>
      <w:lvlJc w:val="left"/>
      <w:pPr>
        <w:ind w:left="4604" w:hanging="360"/>
      </w:pPr>
      <w:rPr>
        <w:rFonts w:hint="default" w:ascii="Wingdings" w:hAnsi="Wingdings"/>
      </w:rPr>
    </w:lvl>
    <w:lvl w:ilvl="6" w:tentative="0">
      <w:start w:val="1"/>
      <w:numFmt w:val="bullet"/>
      <w:lvlText w:val=""/>
      <w:lvlJc w:val="left"/>
      <w:pPr>
        <w:ind w:left="5324" w:hanging="360"/>
      </w:pPr>
      <w:rPr>
        <w:rFonts w:hint="default" w:ascii="Symbol" w:hAnsi="Symbol"/>
      </w:rPr>
    </w:lvl>
    <w:lvl w:ilvl="7" w:tentative="0">
      <w:start w:val="1"/>
      <w:numFmt w:val="bullet"/>
      <w:lvlText w:val="o"/>
      <w:lvlJc w:val="left"/>
      <w:pPr>
        <w:ind w:left="6044" w:hanging="360"/>
      </w:pPr>
      <w:rPr>
        <w:rFonts w:hint="default" w:ascii="Courier New" w:hAnsi="Courier New" w:cs="Courier New"/>
      </w:rPr>
    </w:lvl>
    <w:lvl w:ilvl="8" w:tentative="0">
      <w:start w:val="1"/>
      <w:numFmt w:val="bullet"/>
      <w:lvlText w:val=""/>
      <w:lvlJc w:val="left"/>
      <w:pPr>
        <w:ind w:left="6764" w:hanging="360"/>
      </w:pPr>
      <w:rPr>
        <w:rFonts w:hint="default" w:ascii="Wingdings" w:hAnsi="Wingdings"/>
      </w:rPr>
    </w:lvl>
  </w:abstractNum>
  <w:abstractNum w:abstractNumId="11">
    <w:nsid w:val="6E4C234E"/>
    <w:multiLevelType w:val="multilevel"/>
    <w:tmpl w:val="6E4C234E"/>
    <w:lvl w:ilvl="0" w:tentative="0">
      <w:start w:val="1"/>
      <w:numFmt w:val="lowerLetter"/>
      <w:pStyle w:val="23"/>
      <w:lvlText w:val="%1."/>
      <w:lvlJc w:val="left"/>
      <w:pPr>
        <w:ind w:left="1287" w:hanging="360"/>
      </w:pPr>
    </w:lvl>
    <w:lvl w:ilvl="1" w:tentative="0">
      <w:start w:val="1"/>
      <w:numFmt w:val="lowerLetter"/>
      <w:lvlText w:val="%2."/>
      <w:lvlJc w:val="left"/>
      <w:pPr>
        <w:ind w:left="2007" w:hanging="360"/>
      </w:pPr>
    </w:lvl>
    <w:lvl w:ilvl="2" w:tentative="0">
      <w:start w:val="1"/>
      <w:numFmt w:val="lowerRoman"/>
      <w:lvlText w:val="%3."/>
      <w:lvlJc w:val="right"/>
      <w:pPr>
        <w:ind w:left="2727" w:hanging="180"/>
      </w:pPr>
    </w:lvl>
    <w:lvl w:ilvl="3" w:tentative="0">
      <w:start w:val="1"/>
      <w:numFmt w:val="decimal"/>
      <w:lvlText w:val="%4."/>
      <w:lvlJc w:val="left"/>
      <w:pPr>
        <w:ind w:left="3447" w:hanging="360"/>
      </w:pPr>
    </w:lvl>
    <w:lvl w:ilvl="4" w:tentative="0">
      <w:start w:val="1"/>
      <w:numFmt w:val="lowerLetter"/>
      <w:lvlText w:val="%5."/>
      <w:lvlJc w:val="left"/>
      <w:pPr>
        <w:ind w:left="4167" w:hanging="360"/>
      </w:pPr>
    </w:lvl>
    <w:lvl w:ilvl="5" w:tentative="0">
      <w:start w:val="1"/>
      <w:numFmt w:val="lowerRoman"/>
      <w:lvlText w:val="%6."/>
      <w:lvlJc w:val="right"/>
      <w:pPr>
        <w:ind w:left="4887" w:hanging="180"/>
      </w:pPr>
    </w:lvl>
    <w:lvl w:ilvl="6" w:tentative="0">
      <w:start w:val="1"/>
      <w:numFmt w:val="decimal"/>
      <w:lvlText w:val="%7."/>
      <w:lvlJc w:val="left"/>
      <w:pPr>
        <w:ind w:left="5607" w:hanging="360"/>
      </w:pPr>
    </w:lvl>
    <w:lvl w:ilvl="7" w:tentative="0">
      <w:start w:val="1"/>
      <w:numFmt w:val="lowerLetter"/>
      <w:lvlText w:val="%8."/>
      <w:lvlJc w:val="left"/>
      <w:pPr>
        <w:ind w:left="6327" w:hanging="360"/>
      </w:pPr>
    </w:lvl>
    <w:lvl w:ilvl="8" w:tentative="0">
      <w:start w:val="1"/>
      <w:numFmt w:val="lowerRoman"/>
      <w:lvlText w:val="%9."/>
      <w:lvlJc w:val="right"/>
      <w:pPr>
        <w:ind w:left="7047" w:hanging="180"/>
      </w:pPr>
    </w:lvl>
  </w:abstractNum>
  <w:abstractNum w:abstractNumId="12">
    <w:nsid w:val="71324986"/>
    <w:multiLevelType w:val="multilevel"/>
    <w:tmpl w:val="71324986"/>
    <w:lvl w:ilvl="0" w:tentative="0">
      <w:start w:val="1"/>
      <w:numFmt w:val="decimal"/>
      <w:lvlText w:val="%1)"/>
      <w:lvlJc w:val="left"/>
      <w:pPr>
        <w:ind w:left="4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4FF1CEA"/>
    <w:multiLevelType w:val="multilevel"/>
    <w:tmpl w:val="74FF1CEA"/>
    <w:lvl w:ilvl="0" w:tentative="0">
      <w:start w:val="1"/>
      <w:numFmt w:val="bullet"/>
      <w:pStyle w:val="35"/>
      <w:lvlText w:val=""/>
      <w:lvlJc w:val="left"/>
      <w:pPr>
        <w:ind w:left="2138" w:hanging="360"/>
      </w:pPr>
      <w:rPr>
        <w:rFonts w:hint="default" w:ascii="Symbol" w:hAnsi="Symbol"/>
      </w:rPr>
    </w:lvl>
    <w:lvl w:ilvl="1" w:tentative="0">
      <w:start w:val="1"/>
      <w:numFmt w:val="bullet"/>
      <w:lvlText w:val="o"/>
      <w:lvlJc w:val="left"/>
      <w:pPr>
        <w:ind w:left="2858" w:hanging="360"/>
      </w:pPr>
      <w:rPr>
        <w:rFonts w:hint="default" w:ascii="Courier New" w:hAnsi="Courier New" w:cs="Courier New"/>
      </w:rPr>
    </w:lvl>
    <w:lvl w:ilvl="2" w:tentative="0">
      <w:start w:val="1"/>
      <w:numFmt w:val="bullet"/>
      <w:lvlText w:val=""/>
      <w:lvlJc w:val="left"/>
      <w:pPr>
        <w:ind w:left="3578" w:hanging="360"/>
      </w:pPr>
      <w:rPr>
        <w:rFonts w:hint="default" w:ascii="Wingdings" w:hAnsi="Wingdings"/>
      </w:rPr>
    </w:lvl>
    <w:lvl w:ilvl="3" w:tentative="0">
      <w:start w:val="1"/>
      <w:numFmt w:val="bullet"/>
      <w:lvlText w:val=""/>
      <w:lvlJc w:val="left"/>
      <w:pPr>
        <w:ind w:left="4298" w:hanging="360"/>
      </w:pPr>
      <w:rPr>
        <w:rFonts w:hint="default" w:ascii="Symbol" w:hAnsi="Symbol"/>
      </w:rPr>
    </w:lvl>
    <w:lvl w:ilvl="4" w:tentative="0">
      <w:start w:val="1"/>
      <w:numFmt w:val="bullet"/>
      <w:lvlText w:val="o"/>
      <w:lvlJc w:val="left"/>
      <w:pPr>
        <w:ind w:left="5018" w:hanging="360"/>
      </w:pPr>
      <w:rPr>
        <w:rFonts w:hint="default" w:ascii="Courier New" w:hAnsi="Courier New" w:cs="Courier New"/>
      </w:rPr>
    </w:lvl>
    <w:lvl w:ilvl="5" w:tentative="0">
      <w:start w:val="1"/>
      <w:numFmt w:val="bullet"/>
      <w:lvlText w:val=""/>
      <w:lvlJc w:val="left"/>
      <w:pPr>
        <w:ind w:left="5738" w:hanging="360"/>
      </w:pPr>
      <w:rPr>
        <w:rFonts w:hint="default" w:ascii="Wingdings" w:hAnsi="Wingdings"/>
      </w:rPr>
    </w:lvl>
    <w:lvl w:ilvl="6" w:tentative="0">
      <w:start w:val="1"/>
      <w:numFmt w:val="bullet"/>
      <w:lvlText w:val=""/>
      <w:lvlJc w:val="left"/>
      <w:pPr>
        <w:ind w:left="6458" w:hanging="360"/>
      </w:pPr>
      <w:rPr>
        <w:rFonts w:hint="default" w:ascii="Symbol" w:hAnsi="Symbol"/>
      </w:rPr>
    </w:lvl>
    <w:lvl w:ilvl="7" w:tentative="0">
      <w:start w:val="1"/>
      <w:numFmt w:val="bullet"/>
      <w:lvlText w:val="o"/>
      <w:lvlJc w:val="left"/>
      <w:pPr>
        <w:ind w:left="7178" w:hanging="360"/>
      </w:pPr>
      <w:rPr>
        <w:rFonts w:hint="default" w:ascii="Courier New" w:hAnsi="Courier New" w:cs="Courier New"/>
      </w:rPr>
    </w:lvl>
    <w:lvl w:ilvl="8" w:tentative="0">
      <w:start w:val="1"/>
      <w:numFmt w:val="bullet"/>
      <w:lvlText w:val=""/>
      <w:lvlJc w:val="left"/>
      <w:pPr>
        <w:ind w:left="7898" w:hanging="360"/>
      </w:pPr>
      <w:rPr>
        <w:rFonts w:hint="default" w:ascii="Wingdings" w:hAnsi="Wingdings"/>
      </w:rPr>
    </w:lvl>
  </w:abstractNum>
  <w:num w:numId="1">
    <w:abstractNumId w:val="11"/>
  </w:num>
  <w:num w:numId="2">
    <w:abstractNumId w:val="4"/>
  </w:num>
  <w:num w:numId="3">
    <w:abstractNumId w:val="1"/>
  </w:num>
  <w:num w:numId="4">
    <w:abstractNumId w:val="3"/>
  </w:num>
  <w:num w:numId="5">
    <w:abstractNumId w:val="2"/>
  </w:num>
  <w:num w:numId="6">
    <w:abstractNumId w:val="10"/>
  </w:num>
  <w:num w:numId="7">
    <w:abstractNumId w:val="0"/>
  </w:num>
  <w:num w:numId="8">
    <w:abstractNumId w:val="13"/>
  </w:num>
  <w:num w:numId="9">
    <w:abstractNumId w:val="7"/>
  </w:num>
  <w:num w:numId="10">
    <w:abstractNumId w:val="5"/>
  </w:num>
  <w:num w:numId="11">
    <w:abstractNumId w:val="8"/>
  </w:num>
  <w:num w:numId="12">
    <w:abstractNumId w:val="9"/>
  </w:num>
  <w:num w:numId="13">
    <w:abstractNumId w:val="12"/>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cumentProtection w:enforcement="0"/>
  <w:defaultTabStop w:val="567"/>
  <w:hyphenationZone w:val="425"/>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10F"/>
    <w:rsid w:val="000006E1"/>
    <w:rsid w:val="00002A37"/>
    <w:rsid w:val="00002E9C"/>
    <w:rsid w:val="0000564C"/>
    <w:rsid w:val="00006446"/>
    <w:rsid w:val="00006896"/>
    <w:rsid w:val="00007CDC"/>
    <w:rsid w:val="00011B28"/>
    <w:rsid w:val="00015D15"/>
    <w:rsid w:val="0002564D"/>
    <w:rsid w:val="00025ECA"/>
    <w:rsid w:val="000325B8"/>
    <w:rsid w:val="00032FB0"/>
    <w:rsid w:val="0003322A"/>
    <w:rsid w:val="00034C15"/>
    <w:rsid w:val="00036BA1"/>
    <w:rsid w:val="00041E28"/>
    <w:rsid w:val="000422E2"/>
    <w:rsid w:val="00042F22"/>
    <w:rsid w:val="000444EF"/>
    <w:rsid w:val="00050302"/>
    <w:rsid w:val="00052A07"/>
    <w:rsid w:val="000534E3"/>
    <w:rsid w:val="0005606A"/>
    <w:rsid w:val="00057117"/>
    <w:rsid w:val="000616E7"/>
    <w:rsid w:val="0006487E"/>
    <w:rsid w:val="00065E1A"/>
    <w:rsid w:val="00077E5F"/>
    <w:rsid w:val="0008036A"/>
    <w:rsid w:val="00081AE6"/>
    <w:rsid w:val="000855EB"/>
    <w:rsid w:val="00085B52"/>
    <w:rsid w:val="000866F2"/>
    <w:rsid w:val="0009009F"/>
    <w:rsid w:val="00091557"/>
    <w:rsid w:val="000924C1"/>
    <w:rsid w:val="000924F0"/>
    <w:rsid w:val="00093474"/>
    <w:rsid w:val="0009510F"/>
    <w:rsid w:val="000A1B28"/>
    <w:rsid w:val="000A1B7B"/>
    <w:rsid w:val="000A56F2"/>
    <w:rsid w:val="000B2719"/>
    <w:rsid w:val="000B3A8F"/>
    <w:rsid w:val="000B4AB9"/>
    <w:rsid w:val="000B58C3"/>
    <w:rsid w:val="000B61E9"/>
    <w:rsid w:val="000C125F"/>
    <w:rsid w:val="000C165A"/>
    <w:rsid w:val="000C2E19"/>
    <w:rsid w:val="000D0D07"/>
    <w:rsid w:val="000D1421"/>
    <w:rsid w:val="000D4797"/>
    <w:rsid w:val="000E0527"/>
    <w:rsid w:val="000E1E92"/>
    <w:rsid w:val="000E7133"/>
    <w:rsid w:val="000F06D6"/>
    <w:rsid w:val="000F0EB1"/>
    <w:rsid w:val="000F1106"/>
    <w:rsid w:val="000F1BEC"/>
    <w:rsid w:val="000F2E77"/>
    <w:rsid w:val="000F3BE9"/>
    <w:rsid w:val="000F3F6C"/>
    <w:rsid w:val="000F6DF3"/>
    <w:rsid w:val="000F7126"/>
    <w:rsid w:val="001005FF"/>
    <w:rsid w:val="0010386D"/>
    <w:rsid w:val="001062FB"/>
    <w:rsid w:val="001063E6"/>
    <w:rsid w:val="00110CEE"/>
    <w:rsid w:val="00113CF4"/>
    <w:rsid w:val="001153EA"/>
    <w:rsid w:val="00115643"/>
    <w:rsid w:val="00116765"/>
    <w:rsid w:val="00120092"/>
    <w:rsid w:val="001219F5"/>
    <w:rsid w:val="00121A20"/>
    <w:rsid w:val="0012377F"/>
    <w:rsid w:val="00124314"/>
    <w:rsid w:val="001243B6"/>
    <w:rsid w:val="00126B4A"/>
    <w:rsid w:val="00132FD0"/>
    <w:rsid w:val="001344C0"/>
    <w:rsid w:val="001346FA"/>
    <w:rsid w:val="00135252"/>
    <w:rsid w:val="00137AB5"/>
    <w:rsid w:val="00137F0B"/>
    <w:rsid w:val="001503E4"/>
    <w:rsid w:val="00151611"/>
    <w:rsid w:val="00151E23"/>
    <w:rsid w:val="001526E0"/>
    <w:rsid w:val="00152772"/>
    <w:rsid w:val="001551B5"/>
    <w:rsid w:val="00163F99"/>
    <w:rsid w:val="001659C1"/>
    <w:rsid w:val="00170034"/>
    <w:rsid w:val="00172A1C"/>
    <w:rsid w:val="00173A8E"/>
    <w:rsid w:val="0017502C"/>
    <w:rsid w:val="0018143F"/>
    <w:rsid w:val="00181FF8"/>
    <w:rsid w:val="0018247A"/>
    <w:rsid w:val="00186E7C"/>
    <w:rsid w:val="00190AC1"/>
    <w:rsid w:val="0019341A"/>
    <w:rsid w:val="00197DF9"/>
    <w:rsid w:val="001A0655"/>
    <w:rsid w:val="001A1987"/>
    <w:rsid w:val="001A2564"/>
    <w:rsid w:val="001A564F"/>
    <w:rsid w:val="001A6173"/>
    <w:rsid w:val="001A6CBA"/>
    <w:rsid w:val="001B0D97"/>
    <w:rsid w:val="001B5A5D"/>
    <w:rsid w:val="001C1CE5"/>
    <w:rsid w:val="001C3D2A"/>
    <w:rsid w:val="001D4ACE"/>
    <w:rsid w:val="001D51BA"/>
    <w:rsid w:val="001D53E7"/>
    <w:rsid w:val="001D6342"/>
    <w:rsid w:val="001D63C7"/>
    <w:rsid w:val="001D6D53"/>
    <w:rsid w:val="001E26B8"/>
    <w:rsid w:val="001E58E2"/>
    <w:rsid w:val="001E7AED"/>
    <w:rsid w:val="001F3916"/>
    <w:rsid w:val="001F54C5"/>
    <w:rsid w:val="001F5693"/>
    <w:rsid w:val="001F6502"/>
    <w:rsid w:val="001F662C"/>
    <w:rsid w:val="001F7074"/>
    <w:rsid w:val="00200490"/>
    <w:rsid w:val="00201F3A"/>
    <w:rsid w:val="00203F96"/>
    <w:rsid w:val="00204D71"/>
    <w:rsid w:val="002069B2"/>
    <w:rsid w:val="00207FA3"/>
    <w:rsid w:val="00214DA8"/>
    <w:rsid w:val="00215423"/>
    <w:rsid w:val="002158FA"/>
    <w:rsid w:val="00220600"/>
    <w:rsid w:val="002224DB"/>
    <w:rsid w:val="00223FCB"/>
    <w:rsid w:val="002252C3"/>
    <w:rsid w:val="00225C54"/>
    <w:rsid w:val="00230765"/>
    <w:rsid w:val="00230D18"/>
    <w:rsid w:val="002319E4"/>
    <w:rsid w:val="00234789"/>
    <w:rsid w:val="00235632"/>
    <w:rsid w:val="00235872"/>
    <w:rsid w:val="00241559"/>
    <w:rsid w:val="002435B3"/>
    <w:rsid w:val="002458EB"/>
    <w:rsid w:val="002500C8"/>
    <w:rsid w:val="00254091"/>
    <w:rsid w:val="0025550B"/>
    <w:rsid w:val="00257543"/>
    <w:rsid w:val="002617E7"/>
    <w:rsid w:val="00264228"/>
    <w:rsid w:val="00264334"/>
    <w:rsid w:val="0026473E"/>
    <w:rsid w:val="002647F8"/>
    <w:rsid w:val="00266214"/>
    <w:rsid w:val="00267C83"/>
    <w:rsid w:val="0027144F"/>
    <w:rsid w:val="00271813"/>
    <w:rsid w:val="00271F3A"/>
    <w:rsid w:val="00271FF0"/>
    <w:rsid w:val="00273278"/>
    <w:rsid w:val="002737F4"/>
    <w:rsid w:val="002805F5"/>
    <w:rsid w:val="00280751"/>
    <w:rsid w:val="0028280A"/>
    <w:rsid w:val="00286ACD"/>
    <w:rsid w:val="0028725F"/>
    <w:rsid w:val="00287838"/>
    <w:rsid w:val="002907B5"/>
    <w:rsid w:val="00292EB7"/>
    <w:rsid w:val="00296227"/>
    <w:rsid w:val="00296F44"/>
    <w:rsid w:val="0029777D"/>
    <w:rsid w:val="002A055E"/>
    <w:rsid w:val="002A1D4E"/>
    <w:rsid w:val="002A248E"/>
    <w:rsid w:val="002A2869"/>
    <w:rsid w:val="002B0414"/>
    <w:rsid w:val="002B24D6"/>
    <w:rsid w:val="002C41E6"/>
    <w:rsid w:val="002D002A"/>
    <w:rsid w:val="002D071A"/>
    <w:rsid w:val="002D34B2"/>
    <w:rsid w:val="002D48B0"/>
    <w:rsid w:val="002D5B37"/>
    <w:rsid w:val="002D7637"/>
    <w:rsid w:val="002E17F2"/>
    <w:rsid w:val="002E7CAE"/>
    <w:rsid w:val="002F01B8"/>
    <w:rsid w:val="002F2771"/>
    <w:rsid w:val="002F37A9"/>
    <w:rsid w:val="002F40B3"/>
    <w:rsid w:val="00301CE6"/>
    <w:rsid w:val="0030256B"/>
    <w:rsid w:val="0030501F"/>
    <w:rsid w:val="00307B74"/>
    <w:rsid w:val="00307BA1"/>
    <w:rsid w:val="00310C51"/>
    <w:rsid w:val="00311702"/>
    <w:rsid w:val="00311E82"/>
    <w:rsid w:val="00312CEC"/>
    <w:rsid w:val="00313FD6"/>
    <w:rsid w:val="003143BD"/>
    <w:rsid w:val="00315363"/>
    <w:rsid w:val="003203ED"/>
    <w:rsid w:val="00322C9F"/>
    <w:rsid w:val="00324D23"/>
    <w:rsid w:val="00331751"/>
    <w:rsid w:val="00334579"/>
    <w:rsid w:val="00335858"/>
    <w:rsid w:val="00336BDA"/>
    <w:rsid w:val="00342BD7"/>
    <w:rsid w:val="00346DB5"/>
    <w:rsid w:val="003477B1"/>
    <w:rsid w:val="00347C00"/>
    <w:rsid w:val="00357327"/>
    <w:rsid w:val="00357380"/>
    <w:rsid w:val="003602D9"/>
    <w:rsid w:val="003604CE"/>
    <w:rsid w:val="0036627B"/>
    <w:rsid w:val="00370E47"/>
    <w:rsid w:val="003742AC"/>
    <w:rsid w:val="00377796"/>
    <w:rsid w:val="00377CE1"/>
    <w:rsid w:val="00385BF0"/>
    <w:rsid w:val="003939FF"/>
    <w:rsid w:val="003A2223"/>
    <w:rsid w:val="003A2A0F"/>
    <w:rsid w:val="003A45A1"/>
    <w:rsid w:val="003A5B0A"/>
    <w:rsid w:val="003A6BAC"/>
    <w:rsid w:val="003A70A4"/>
    <w:rsid w:val="003A720E"/>
    <w:rsid w:val="003A7EF3"/>
    <w:rsid w:val="003B159C"/>
    <w:rsid w:val="003B369F"/>
    <w:rsid w:val="003B36A3"/>
    <w:rsid w:val="003B64BB"/>
    <w:rsid w:val="003B7D4B"/>
    <w:rsid w:val="003B7FE5"/>
    <w:rsid w:val="003C11C8"/>
    <w:rsid w:val="003C2702"/>
    <w:rsid w:val="003C4947"/>
    <w:rsid w:val="003C6CBC"/>
    <w:rsid w:val="003C74CF"/>
    <w:rsid w:val="003C7806"/>
    <w:rsid w:val="003D109F"/>
    <w:rsid w:val="003D2478"/>
    <w:rsid w:val="003D3C45"/>
    <w:rsid w:val="003D5B1F"/>
    <w:rsid w:val="003D7B23"/>
    <w:rsid w:val="003E15FA"/>
    <w:rsid w:val="003E2234"/>
    <w:rsid w:val="003E55E4"/>
    <w:rsid w:val="003E74E3"/>
    <w:rsid w:val="003F05C7"/>
    <w:rsid w:val="003F2CD4"/>
    <w:rsid w:val="003F50C3"/>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4EED"/>
    <w:rsid w:val="00427248"/>
    <w:rsid w:val="00437447"/>
    <w:rsid w:val="00441A92"/>
    <w:rsid w:val="004431DC"/>
    <w:rsid w:val="00444F56"/>
    <w:rsid w:val="00446488"/>
    <w:rsid w:val="004517AA"/>
    <w:rsid w:val="00452CAC"/>
    <w:rsid w:val="00452E6F"/>
    <w:rsid w:val="00457565"/>
    <w:rsid w:val="00457B71"/>
    <w:rsid w:val="004669E2"/>
    <w:rsid w:val="0047063D"/>
    <w:rsid w:val="00470C31"/>
    <w:rsid w:val="00471DE0"/>
    <w:rsid w:val="004734D0"/>
    <w:rsid w:val="00474D6A"/>
    <w:rsid w:val="0047556B"/>
    <w:rsid w:val="0047709B"/>
    <w:rsid w:val="00477768"/>
    <w:rsid w:val="00492BC5"/>
    <w:rsid w:val="004964F1"/>
    <w:rsid w:val="004A0D1D"/>
    <w:rsid w:val="004A16BC"/>
    <w:rsid w:val="004A2B94"/>
    <w:rsid w:val="004B57FD"/>
    <w:rsid w:val="004B6F6A"/>
    <w:rsid w:val="004B7C0C"/>
    <w:rsid w:val="004C3898"/>
    <w:rsid w:val="004D12AC"/>
    <w:rsid w:val="004D30D6"/>
    <w:rsid w:val="004D36B1"/>
    <w:rsid w:val="004D5E0E"/>
    <w:rsid w:val="004D7EBD"/>
    <w:rsid w:val="004E2680"/>
    <w:rsid w:val="004E28F9"/>
    <w:rsid w:val="004E462E"/>
    <w:rsid w:val="004E4965"/>
    <w:rsid w:val="004E56DC"/>
    <w:rsid w:val="004E76F4"/>
    <w:rsid w:val="004F0B4E"/>
    <w:rsid w:val="004F0B6C"/>
    <w:rsid w:val="004F2078"/>
    <w:rsid w:val="004F4DA3"/>
    <w:rsid w:val="004F5E21"/>
    <w:rsid w:val="00500562"/>
    <w:rsid w:val="00506557"/>
    <w:rsid w:val="0050677A"/>
    <w:rsid w:val="005108D8"/>
    <w:rsid w:val="005116F9"/>
    <w:rsid w:val="005153A7"/>
    <w:rsid w:val="005219CF"/>
    <w:rsid w:val="00534B59"/>
    <w:rsid w:val="00536759"/>
    <w:rsid w:val="00537C62"/>
    <w:rsid w:val="00544E84"/>
    <w:rsid w:val="0054615F"/>
    <w:rsid w:val="00546970"/>
    <w:rsid w:val="00554E19"/>
    <w:rsid w:val="0056121F"/>
    <w:rsid w:val="005640C9"/>
    <w:rsid w:val="00572505"/>
    <w:rsid w:val="005752EA"/>
    <w:rsid w:val="00582809"/>
    <w:rsid w:val="00582AAD"/>
    <w:rsid w:val="00587007"/>
    <w:rsid w:val="0058798C"/>
    <w:rsid w:val="005900FA"/>
    <w:rsid w:val="00591197"/>
    <w:rsid w:val="0059289E"/>
    <w:rsid w:val="005935A4"/>
    <w:rsid w:val="005948C2"/>
    <w:rsid w:val="00595DCA"/>
    <w:rsid w:val="0059779B"/>
    <w:rsid w:val="005A118C"/>
    <w:rsid w:val="005A209A"/>
    <w:rsid w:val="005A3C02"/>
    <w:rsid w:val="005A56E9"/>
    <w:rsid w:val="005A662D"/>
    <w:rsid w:val="005B1409"/>
    <w:rsid w:val="005B35D7"/>
    <w:rsid w:val="005B392A"/>
    <w:rsid w:val="005B3AA3"/>
    <w:rsid w:val="005B6DF2"/>
    <w:rsid w:val="005B6F83"/>
    <w:rsid w:val="005C1819"/>
    <w:rsid w:val="005C5A40"/>
    <w:rsid w:val="005C74FB"/>
    <w:rsid w:val="005D1602"/>
    <w:rsid w:val="005E385F"/>
    <w:rsid w:val="005E4BD9"/>
    <w:rsid w:val="005E5547"/>
    <w:rsid w:val="005E5B81"/>
    <w:rsid w:val="005E6C69"/>
    <w:rsid w:val="005F2CB1"/>
    <w:rsid w:val="005F3025"/>
    <w:rsid w:val="005F618C"/>
    <w:rsid w:val="005F70BD"/>
    <w:rsid w:val="006007C6"/>
    <w:rsid w:val="0060283C"/>
    <w:rsid w:val="00604F14"/>
    <w:rsid w:val="00606AE5"/>
    <w:rsid w:val="00611B83"/>
    <w:rsid w:val="00613257"/>
    <w:rsid w:val="00620A71"/>
    <w:rsid w:val="00620D80"/>
    <w:rsid w:val="00623153"/>
    <w:rsid w:val="006234A6"/>
    <w:rsid w:val="00625DB2"/>
    <w:rsid w:val="00630001"/>
    <w:rsid w:val="006311B3"/>
    <w:rsid w:val="00632744"/>
    <w:rsid w:val="0063284C"/>
    <w:rsid w:val="00636398"/>
    <w:rsid w:val="006368D3"/>
    <w:rsid w:val="00636F09"/>
    <w:rsid w:val="006377EC"/>
    <w:rsid w:val="0064151F"/>
    <w:rsid w:val="00641533"/>
    <w:rsid w:val="006419D1"/>
    <w:rsid w:val="00641CEF"/>
    <w:rsid w:val="0064208D"/>
    <w:rsid w:val="00643475"/>
    <w:rsid w:val="0064396A"/>
    <w:rsid w:val="0064624E"/>
    <w:rsid w:val="00650AB9"/>
    <w:rsid w:val="00654D89"/>
    <w:rsid w:val="00655733"/>
    <w:rsid w:val="00655ACD"/>
    <w:rsid w:val="00656A92"/>
    <w:rsid w:val="00656B89"/>
    <w:rsid w:val="00656DDE"/>
    <w:rsid w:val="0066011D"/>
    <w:rsid w:val="006607C0"/>
    <w:rsid w:val="006613A6"/>
    <w:rsid w:val="006627A2"/>
    <w:rsid w:val="006634E6"/>
    <w:rsid w:val="006655EE"/>
    <w:rsid w:val="00667EE7"/>
    <w:rsid w:val="00670922"/>
    <w:rsid w:val="00670BE1"/>
    <w:rsid w:val="00671FD5"/>
    <w:rsid w:val="0067218F"/>
    <w:rsid w:val="006741F2"/>
    <w:rsid w:val="00674CC3"/>
    <w:rsid w:val="00675C72"/>
    <w:rsid w:val="00676A83"/>
    <w:rsid w:val="006771F9"/>
    <w:rsid w:val="006776D7"/>
    <w:rsid w:val="00681003"/>
    <w:rsid w:val="006817C9"/>
    <w:rsid w:val="00683ECE"/>
    <w:rsid w:val="0068710C"/>
    <w:rsid w:val="006875C9"/>
    <w:rsid w:val="00695FC2"/>
    <w:rsid w:val="00696949"/>
    <w:rsid w:val="00697052"/>
    <w:rsid w:val="006A46FB"/>
    <w:rsid w:val="006A5E28"/>
    <w:rsid w:val="006A697B"/>
    <w:rsid w:val="006A7AFF"/>
    <w:rsid w:val="006B1816"/>
    <w:rsid w:val="006B1C2C"/>
    <w:rsid w:val="006B2099"/>
    <w:rsid w:val="006B50CF"/>
    <w:rsid w:val="006B6473"/>
    <w:rsid w:val="006C03B8"/>
    <w:rsid w:val="006C3E33"/>
    <w:rsid w:val="006C5EC9"/>
    <w:rsid w:val="006C6059"/>
    <w:rsid w:val="006C7522"/>
    <w:rsid w:val="006D6F08"/>
    <w:rsid w:val="006D7F4D"/>
    <w:rsid w:val="006E062C"/>
    <w:rsid w:val="006E1C82"/>
    <w:rsid w:val="006E28B7"/>
    <w:rsid w:val="006E2A9B"/>
    <w:rsid w:val="006E3310"/>
    <w:rsid w:val="006E4E39"/>
    <w:rsid w:val="006E565E"/>
    <w:rsid w:val="006E673D"/>
    <w:rsid w:val="006E6FC0"/>
    <w:rsid w:val="006E7D3B"/>
    <w:rsid w:val="006F12DB"/>
    <w:rsid w:val="006F1B70"/>
    <w:rsid w:val="006F341D"/>
    <w:rsid w:val="006F3CDE"/>
    <w:rsid w:val="006F58D4"/>
    <w:rsid w:val="006F6582"/>
    <w:rsid w:val="0070346E"/>
    <w:rsid w:val="007039BE"/>
    <w:rsid w:val="00704EDB"/>
    <w:rsid w:val="00706101"/>
    <w:rsid w:val="00707072"/>
    <w:rsid w:val="00707281"/>
    <w:rsid w:val="00707D61"/>
    <w:rsid w:val="00712287"/>
    <w:rsid w:val="00712772"/>
    <w:rsid w:val="007148D3"/>
    <w:rsid w:val="00715B9A"/>
    <w:rsid w:val="00717A6B"/>
    <w:rsid w:val="00720572"/>
    <w:rsid w:val="007257D0"/>
    <w:rsid w:val="007267A0"/>
    <w:rsid w:val="00726EA6"/>
    <w:rsid w:val="00727208"/>
    <w:rsid w:val="00727680"/>
    <w:rsid w:val="007348B1"/>
    <w:rsid w:val="007362A6"/>
    <w:rsid w:val="00736D7D"/>
    <w:rsid w:val="00740E58"/>
    <w:rsid w:val="007445A0"/>
    <w:rsid w:val="007446F8"/>
    <w:rsid w:val="0074524B"/>
    <w:rsid w:val="00747D8B"/>
    <w:rsid w:val="007509C1"/>
    <w:rsid w:val="00751228"/>
    <w:rsid w:val="00752788"/>
    <w:rsid w:val="007571E1"/>
    <w:rsid w:val="00757239"/>
    <w:rsid w:val="00757A16"/>
    <w:rsid w:val="007604B2"/>
    <w:rsid w:val="00765281"/>
    <w:rsid w:val="00766BAD"/>
    <w:rsid w:val="007717AE"/>
    <w:rsid w:val="007729A2"/>
    <w:rsid w:val="00774619"/>
    <w:rsid w:val="007755F2"/>
    <w:rsid w:val="00776971"/>
    <w:rsid w:val="00780A80"/>
    <w:rsid w:val="0078177E"/>
    <w:rsid w:val="0078304C"/>
    <w:rsid w:val="00783673"/>
    <w:rsid w:val="00785490"/>
    <w:rsid w:val="00791415"/>
    <w:rsid w:val="007919B6"/>
    <w:rsid w:val="007925EA"/>
    <w:rsid w:val="00793CD8"/>
    <w:rsid w:val="00795C92"/>
    <w:rsid w:val="00796231"/>
    <w:rsid w:val="007A1CB3"/>
    <w:rsid w:val="007A306F"/>
    <w:rsid w:val="007A43A6"/>
    <w:rsid w:val="007A58A6"/>
    <w:rsid w:val="007A7083"/>
    <w:rsid w:val="007B3D2D"/>
    <w:rsid w:val="007B50AE"/>
    <w:rsid w:val="007B51DF"/>
    <w:rsid w:val="007B6C90"/>
    <w:rsid w:val="007C05DD"/>
    <w:rsid w:val="007C3D18"/>
    <w:rsid w:val="007C5440"/>
    <w:rsid w:val="007C5E7B"/>
    <w:rsid w:val="007C60BF"/>
    <w:rsid w:val="007C6A07"/>
    <w:rsid w:val="007C75A1"/>
    <w:rsid w:val="007C77A5"/>
    <w:rsid w:val="007D04E5"/>
    <w:rsid w:val="007D5901"/>
    <w:rsid w:val="007D7526"/>
    <w:rsid w:val="007E0C18"/>
    <w:rsid w:val="007E4610"/>
    <w:rsid w:val="007E4715"/>
    <w:rsid w:val="007E505B"/>
    <w:rsid w:val="007E7091"/>
    <w:rsid w:val="00800EE6"/>
    <w:rsid w:val="0080153F"/>
    <w:rsid w:val="00803FAE"/>
    <w:rsid w:val="0080401C"/>
    <w:rsid w:val="0080605F"/>
    <w:rsid w:val="00807786"/>
    <w:rsid w:val="00811FCB"/>
    <w:rsid w:val="008158D6"/>
    <w:rsid w:val="00815D1C"/>
    <w:rsid w:val="00817196"/>
    <w:rsid w:val="008235DB"/>
    <w:rsid w:val="00824AB4"/>
    <w:rsid w:val="00825B4E"/>
    <w:rsid w:val="00825C42"/>
    <w:rsid w:val="00825D25"/>
    <w:rsid w:val="00827D6F"/>
    <w:rsid w:val="008376AC"/>
    <w:rsid w:val="008444E8"/>
    <w:rsid w:val="00844E80"/>
    <w:rsid w:val="00846FE7"/>
    <w:rsid w:val="00850621"/>
    <w:rsid w:val="0085142E"/>
    <w:rsid w:val="00854958"/>
    <w:rsid w:val="00856911"/>
    <w:rsid w:val="00861869"/>
    <w:rsid w:val="008677FD"/>
    <w:rsid w:val="008706D4"/>
    <w:rsid w:val="00870F8A"/>
    <w:rsid w:val="008719A4"/>
    <w:rsid w:val="00871D23"/>
    <w:rsid w:val="00874312"/>
    <w:rsid w:val="0087437C"/>
    <w:rsid w:val="00875CD7"/>
    <w:rsid w:val="00876B4D"/>
    <w:rsid w:val="00877F18"/>
    <w:rsid w:val="00884FF8"/>
    <w:rsid w:val="00890FAD"/>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996"/>
    <w:rsid w:val="008C4BAA"/>
    <w:rsid w:val="008C6AE8"/>
    <w:rsid w:val="008C7573"/>
    <w:rsid w:val="008D00A5"/>
    <w:rsid w:val="008D34F1"/>
    <w:rsid w:val="008D39D8"/>
    <w:rsid w:val="008D6D1A"/>
    <w:rsid w:val="008E065E"/>
    <w:rsid w:val="008E0927"/>
    <w:rsid w:val="008E1909"/>
    <w:rsid w:val="008E70FE"/>
    <w:rsid w:val="008E7304"/>
    <w:rsid w:val="008F086F"/>
    <w:rsid w:val="008F1EAB"/>
    <w:rsid w:val="008F33DC"/>
    <w:rsid w:val="008F477F"/>
    <w:rsid w:val="00900349"/>
    <w:rsid w:val="00902350"/>
    <w:rsid w:val="0090336B"/>
    <w:rsid w:val="009053AA"/>
    <w:rsid w:val="00906939"/>
    <w:rsid w:val="00910B7D"/>
    <w:rsid w:val="00911DFB"/>
    <w:rsid w:val="009139D9"/>
    <w:rsid w:val="00914AD8"/>
    <w:rsid w:val="00916079"/>
    <w:rsid w:val="00917CE9"/>
    <w:rsid w:val="00920BF2"/>
    <w:rsid w:val="00922010"/>
    <w:rsid w:val="009235D1"/>
    <w:rsid w:val="00931BD9"/>
    <w:rsid w:val="009368F3"/>
    <w:rsid w:val="00941636"/>
    <w:rsid w:val="00943742"/>
    <w:rsid w:val="00944C8F"/>
    <w:rsid w:val="00945C05"/>
    <w:rsid w:val="00946945"/>
    <w:rsid w:val="00947713"/>
    <w:rsid w:val="00950DE7"/>
    <w:rsid w:val="00953920"/>
    <w:rsid w:val="00953D47"/>
    <w:rsid w:val="0095681E"/>
    <w:rsid w:val="009572D4"/>
    <w:rsid w:val="009604A6"/>
    <w:rsid w:val="00961921"/>
    <w:rsid w:val="00963D14"/>
    <w:rsid w:val="0096430A"/>
    <w:rsid w:val="0096554B"/>
    <w:rsid w:val="0096584A"/>
    <w:rsid w:val="00965CD6"/>
    <w:rsid w:val="00971F08"/>
    <w:rsid w:val="00973E40"/>
    <w:rsid w:val="00975C17"/>
    <w:rsid w:val="0097603D"/>
    <w:rsid w:val="00976949"/>
    <w:rsid w:val="00976A26"/>
    <w:rsid w:val="00976F0D"/>
    <w:rsid w:val="00976F8A"/>
    <w:rsid w:val="00980477"/>
    <w:rsid w:val="00982D88"/>
    <w:rsid w:val="00985253"/>
    <w:rsid w:val="009853B3"/>
    <w:rsid w:val="00990630"/>
    <w:rsid w:val="00991761"/>
    <w:rsid w:val="00994DCA"/>
    <w:rsid w:val="009960EC"/>
    <w:rsid w:val="009970DD"/>
    <w:rsid w:val="009A0062"/>
    <w:rsid w:val="009A0FBA"/>
    <w:rsid w:val="009A1601"/>
    <w:rsid w:val="009A18F5"/>
    <w:rsid w:val="009A3BB6"/>
    <w:rsid w:val="009A462D"/>
    <w:rsid w:val="009A5CBA"/>
    <w:rsid w:val="009B1F30"/>
    <w:rsid w:val="009B3AC2"/>
    <w:rsid w:val="009B4D5C"/>
    <w:rsid w:val="009B4DF4"/>
    <w:rsid w:val="009B564E"/>
    <w:rsid w:val="009B7E87"/>
    <w:rsid w:val="009C0169"/>
    <w:rsid w:val="009C20FD"/>
    <w:rsid w:val="009C403E"/>
    <w:rsid w:val="009D43AF"/>
    <w:rsid w:val="009D4FF0"/>
    <w:rsid w:val="009D703C"/>
    <w:rsid w:val="009D718F"/>
    <w:rsid w:val="009E068F"/>
    <w:rsid w:val="009E14E0"/>
    <w:rsid w:val="009E35DB"/>
    <w:rsid w:val="009E47A3"/>
    <w:rsid w:val="009F0311"/>
    <w:rsid w:val="009F08F3"/>
    <w:rsid w:val="009F344F"/>
    <w:rsid w:val="009F6C56"/>
    <w:rsid w:val="00A031D8"/>
    <w:rsid w:val="00A03F8A"/>
    <w:rsid w:val="00A048A8"/>
    <w:rsid w:val="00A04F49"/>
    <w:rsid w:val="00A10281"/>
    <w:rsid w:val="00A124B0"/>
    <w:rsid w:val="00A13E54"/>
    <w:rsid w:val="00A17F63"/>
    <w:rsid w:val="00A2193B"/>
    <w:rsid w:val="00A2351A"/>
    <w:rsid w:val="00A2458B"/>
    <w:rsid w:val="00A264A9"/>
    <w:rsid w:val="00A26DCF"/>
    <w:rsid w:val="00A27785"/>
    <w:rsid w:val="00A30187"/>
    <w:rsid w:val="00A33264"/>
    <w:rsid w:val="00A3448A"/>
    <w:rsid w:val="00A36297"/>
    <w:rsid w:val="00A41E2B"/>
    <w:rsid w:val="00A45B74"/>
    <w:rsid w:val="00A52E1D"/>
    <w:rsid w:val="00A61499"/>
    <w:rsid w:val="00A62A77"/>
    <w:rsid w:val="00A63483"/>
    <w:rsid w:val="00A63B0E"/>
    <w:rsid w:val="00A64128"/>
    <w:rsid w:val="00A657D7"/>
    <w:rsid w:val="00A660AC"/>
    <w:rsid w:val="00A67E6C"/>
    <w:rsid w:val="00A71B99"/>
    <w:rsid w:val="00A722BE"/>
    <w:rsid w:val="00A739D0"/>
    <w:rsid w:val="00A761D4"/>
    <w:rsid w:val="00A77EC4"/>
    <w:rsid w:val="00A92879"/>
    <w:rsid w:val="00A9442A"/>
    <w:rsid w:val="00A9745F"/>
    <w:rsid w:val="00AA016F"/>
    <w:rsid w:val="00AA1ED6"/>
    <w:rsid w:val="00AA428B"/>
    <w:rsid w:val="00AA51D6"/>
    <w:rsid w:val="00AA6D44"/>
    <w:rsid w:val="00AB0BC8"/>
    <w:rsid w:val="00AB11CA"/>
    <w:rsid w:val="00AB14D9"/>
    <w:rsid w:val="00AB1903"/>
    <w:rsid w:val="00AB4AB8"/>
    <w:rsid w:val="00AB655E"/>
    <w:rsid w:val="00AC007F"/>
    <w:rsid w:val="00AC2383"/>
    <w:rsid w:val="00AC260A"/>
    <w:rsid w:val="00AC2ECD"/>
    <w:rsid w:val="00AC3119"/>
    <w:rsid w:val="00AC49FB"/>
    <w:rsid w:val="00AC5A10"/>
    <w:rsid w:val="00AD0AA3"/>
    <w:rsid w:val="00AD3F94"/>
    <w:rsid w:val="00AD4A5A"/>
    <w:rsid w:val="00AD72F7"/>
    <w:rsid w:val="00AE27AC"/>
    <w:rsid w:val="00AE40E0"/>
    <w:rsid w:val="00AE4DBA"/>
    <w:rsid w:val="00AE4F07"/>
    <w:rsid w:val="00AF1C5D"/>
    <w:rsid w:val="00AF42D7"/>
    <w:rsid w:val="00AF44C1"/>
    <w:rsid w:val="00AF4B00"/>
    <w:rsid w:val="00B006FE"/>
    <w:rsid w:val="00B007CB"/>
    <w:rsid w:val="00B02AA9"/>
    <w:rsid w:val="00B02FA3"/>
    <w:rsid w:val="00B05084"/>
    <w:rsid w:val="00B1109F"/>
    <w:rsid w:val="00B15540"/>
    <w:rsid w:val="00B157F9"/>
    <w:rsid w:val="00B20256"/>
    <w:rsid w:val="00B20D09"/>
    <w:rsid w:val="00B2551F"/>
    <w:rsid w:val="00B2763F"/>
    <w:rsid w:val="00B27AAC"/>
    <w:rsid w:val="00B30929"/>
    <w:rsid w:val="00B31FDD"/>
    <w:rsid w:val="00B34A50"/>
    <w:rsid w:val="00B36464"/>
    <w:rsid w:val="00B372AA"/>
    <w:rsid w:val="00B37F1E"/>
    <w:rsid w:val="00B40445"/>
    <w:rsid w:val="00B409E0"/>
    <w:rsid w:val="00B41888"/>
    <w:rsid w:val="00B45A52"/>
    <w:rsid w:val="00B46175"/>
    <w:rsid w:val="00B548B7"/>
    <w:rsid w:val="00B57D1B"/>
    <w:rsid w:val="00B65C0D"/>
    <w:rsid w:val="00B664C7"/>
    <w:rsid w:val="00B739F6"/>
    <w:rsid w:val="00B81A6C"/>
    <w:rsid w:val="00B85DE5"/>
    <w:rsid w:val="00B9063B"/>
    <w:rsid w:val="00B90F73"/>
    <w:rsid w:val="00B93B59"/>
    <w:rsid w:val="00B9406A"/>
    <w:rsid w:val="00BA0129"/>
    <w:rsid w:val="00BA16C0"/>
    <w:rsid w:val="00BA2280"/>
    <w:rsid w:val="00BA2A08"/>
    <w:rsid w:val="00BA56D2"/>
    <w:rsid w:val="00BA76E0"/>
    <w:rsid w:val="00BB2A25"/>
    <w:rsid w:val="00BB51E9"/>
    <w:rsid w:val="00BC0FDC"/>
    <w:rsid w:val="00BC3053"/>
    <w:rsid w:val="00BC4D2E"/>
    <w:rsid w:val="00BD48AC"/>
    <w:rsid w:val="00BD5F1A"/>
    <w:rsid w:val="00BE1234"/>
    <w:rsid w:val="00BE2FA6"/>
    <w:rsid w:val="00BE333F"/>
    <w:rsid w:val="00BE376C"/>
    <w:rsid w:val="00BE6F8E"/>
    <w:rsid w:val="00BE7406"/>
    <w:rsid w:val="00BE7603"/>
    <w:rsid w:val="00BF3279"/>
    <w:rsid w:val="00BF72A1"/>
    <w:rsid w:val="00BF74C7"/>
    <w:rsid w:val="00C015F1"/>
    <w:rsid w:val="00C01F33"/>
    <w:rsid w:val="00C02CC6"/>
    <w:rsid w:val="00C039F4"/>
    <w:rsid w:val="00C040F7"/>
    <w:rsid w:val="00C044AB"/>
    <w:rsid w:val="00C05706"/>
    <w:rsid w:val="00C067FF"/>
    <w:rsid w:val="00C07377"/>
    <w:rsid w:val="00C10478"/>
    <w:rsid w:val="00C12107"/>
    <w:rsid w:val="00C14D4B"/>
    <w:rsid w:val="00C154BB"/>
    <w:rsid w:val="00C25493"/>
    <w:rsid w:val="00C268E6"/>
    <w:rsid w:val="00C279B5"/>
    <w:rsid w:val="00C27C45"/>
    <w:rsid w:val="00C3719D"/>
    <w:rsid w:val="00C37CB2"/>
    <w:rsid w:val="00C37FA6"/>
    <w:rsid w:val="00C409EA"/>
    <w:rsid w:val="00C473A5"/>
    <w:rsid w:val="00C54995"/>
    <w:rsid w:val="00C54D41"/>
    <w:rsid w:val="00C54E5F"/>
    <w:rsid w:val="00C56088"/>
    <w:rsid w:val="00C56CD2"/>
    <w:rsid w:val="00C60783"/>
    <w:rsid w:val="00C64672"/>
    <w:rsid w:val="00C64CA0"/>
    <w:rsid w:val="00C65C64"/>
    <w:rsid w:val="00C70697"/>
    <w:rsid w:val="00C72093"/>
    <w:rsid w:val="00C72EF4"/>
    <w:rsid w:val="00C744FE"/>
    <w:rsid w:val="00C75D2F"/>
    <w:rsid w:val="00C767BE"/>
    <w:rsid w:val="00C76E3C"/>
    <w:rsid w:val="00C81568"/>
    <w:rsid w:val="00C8156B"/>
    <w:rsid w:val="00C84DFD"/>
    <w:rsid w:val="00C9027A"/>
    <w:rsid w:val="00C9068E"/>
    <w:rsid w:val="00C93814"/>
    <w:rsid w:val="00C93C4B"/>
    <w:rsid w:val="00C944AB"/>
    <w:rsid w:val="00C95B40"/>
    <w:rsid w:val="00C968E2"/>
    <w:rsid w:val="00C97217"/>
    <w:rsid w:val="00CA04D1"/>
    <w:rsid w:val="00CA1ED8"/>
    <w:rsid w:val="00CA5D4C"/>
    <w:rsid w:val="00CB09AC"/>
    <w:rsid w:val="00CB10DE"/>
    <w:rsid w:val="00CB1F63"/>
    <w:rsid w:val="00CB2D09"/>
    <w:rsid w:val="00CB7170"/>
    <w:rsid w:val="00CC040E"/>
    <w:rsid w:val="00CC111F"/>
    <w:rsid w:val="00CC2011"/>
    <w:rsid w:val="00CC3EA0"/>
    <w:rsid w:val="00CC5696"/>
    <w:rsid w:val="00CC7B45"/>
    <w:rsid w:val="00CD1188"/>
    <w:rsid w:val="00CD2ED1"/>
    <w:rsid w:val="00CD337B"/>
    <w:rsid w:val="00CE0424"/>
    <w:rsid w:val="00CE18B4"/>
    <w:rsid w:val="00CE7561"/>
    <w:rsid w:val="00CF1354"/>
    <w:rsid w:val="00CF3B1F"/>
    <w:rsid w:val="00CF3BF6"/>
    <w:rsid w:val="00CF625B"/>
    <w:rsid w:val="00CF687E"/>
    <w:rsid w:val="00D01AC7"/>
    <w:rsid w:val="00D0349B"/>
    <w:rsid w:val="00D07683"/>
    <w:rsid w:val="00D10249"/>
    <w:rsid w:val="00D115C3"/>
    <w:rsid w:val="00D11897"/>
    <w:rsid w:val="00D13135"/>
    <w:rsid w:val="00D13E4E"/>
    <w:rsid w:val="00D179CE"/>
    <w:rsid w:val="00D22B05"/>
    <w:rsid w:val="00D239A7"/>
    <w:rsid w:val="00D23F47"/>
    <w:rsid w:val="00D36E71"/>
    <w:rsid w:val="00D37D87"/>
    <w:rsid w:val="00D40B33"/>
    <w:rsid w:val="00D4318F"/>
    <w:rsid w:val="00D438BF"/>
    <w:rsid w:val="00D440F8"/>
    <w:rsid w:val="00D54295"/>
    <w:rsid w:val="00D546FF"/>
    <w:rsid w:val="00D55AD5"/>
    <w:rsid w:val="00D576CA"/>
    <w:rsid w:val="00D61AF5"/>
    <w:rsid w:val="00D6426C"/>
    <w:rsid w:val="00D652B5"/>
    <w:rsid w:val="00D66155"/>
    <w:rsid w:val="00D67302"/>
    <w:rsid w:val="00D708B0"/>
    <w:rsid w:val="00D77B1D"/>
    <w:rsid w:val="00D8021F"/>
    <w:rsid w:val="00D80383"/>
    <w:rsid w:val="00D823C6"/>
    <w:rsid w:val="00D8327F"/>
    <w:rsid w:val="00D86CA3"/>
    <w:rsid w:val="00D871CE"/>
    <w:rsid w:val="00D9196D"/>
    <w:rsid w:val="00D91E76"/>
    <w:rsid w:val="00D91EBD"/>
    <w:rsid w:val="00D92982"/>
    <w:rsid w:val="00D9310F"/>
    <w:rsid w:val="00D94FDE"/>
    <w:rsid w:val="00D96941"/>
    <w:rsid w:val="00DA305E"/>
    <w:rsid w:val="00DA5417"/>
    <w:rsid w:val="00DA56E8"/>
    <w:rsid w:val="00DB0A9F"/>
    <w:rsid w:val="00DB28ED"/>
    <w:rsid w:val="00DB377D"/>
    <w:rsid w:val="00DC2D36"/>
    <w:rsid w:val="00DC4F7C"/>
    <w:rsid w:val="00DC53EF"/>
    <w:rsid w:val="00DD2FE7"/>
    <w:rsid w:val="00DE3BF9"/>
    <w:rsid w:val="00DE465E"/>
    <w:rsid w:val="00DE5608"/>
    <w:rsid w:val="00DE58D0"/>
    <w:rsid w:val="00DE654F"/>
    <w:rsid w:val="00DF0B6E"/>
    <w:rsid w:val="00DF15E0"/>
    <w:rsid w:val="00DF202E"/>
    <w:rsid w:val="00DF37A0"/>
    <w:rsid w:val="00E04211"/>
    <w:rsid w:val="00E10378"/>
    <w:rsid w:val="00E110E7"/>
    <w:rsid w:val="00E11B20"/>
    <w:rsid w:val="00E124FE"/>
    <w:rsid w:val="00E17FA2"/>
    <w:rsid w:val="00E22330"/>
    <w:rsid w:val="00E269F1"/>
    <w:rsid w:val="00E30B5A"/>
    <w:rsid w:val="00E3123D"/>
    <w:rsid w:val="00E31461"/>
    <w:rsid w:val="00E31D43"/>
    <w:rsid w:val="00E32608"/>
    <w:rsid w:val="00E34188"/>
    <w:rsid w:val="00E34B6E"/>
    <w:rsid w:val="00E35559"/>
    <w:rsid w:val="00E3723A"/>
    <w:rsid w:val="00E37860"/>
    <w:rsid w:val="00E446F1"/>
    <w:rsid w:val="00E46886"/>
    <w:rsid w:val="00E47AEF"/>
    <w:rsid w:val="00E52BFA"/>
    <w:rsid w:val="00E53B75"/>
    <w:rsid w:val="00E548AA"/>
    <w:rsid w:val="00E54E3B"/>
    <w:rsid w:val="00E57565"/>
    <w:rsid w:val="00E6091D"/>
    <w:rsid w:val="00E634A8"/>
    <w:rsid w:val="00E63838"/>
    <w:rsid w:val="00E64434"/>
    <w:rsid w:val="00E67C51"/>
    <w:rsid w:val="00E72EFC"/>
    <w:rsid w:val="00E758EC"/>
    <w:rsid w:val="00E8234C"/>
    <w:rsid w:val="00E83AA9"/>
    <w:rsid w:val="00E85928"/>
    <w:rsid w:val="00E87822"/>
    <w:rsid w:val="00E87F9D"/>
    <w:rsid w:val="00E90395"/>
    <w:rsid w:val="00E903AD"/>
    <w:rsid w:val="00E90E49"/>
    <w:rsid w:val="00E917F9"/>
    <w:rsid w:val="00E9291C"/>
    <w:rsid w:val="00E93FFE"/>
    <w:rsid w:val="00E94F8A"/>
    <w:rsid w:val="00EA12FF"/>
    <w:rsid w:val="00EA2606"/>
    <w:rsid w:val="00EA6BFA"/>
    <w:rsid w:val="00EA7A41"/>
    <w:rsid w:val="00EB077B"/>
    <w:rsid w:val="00EB273D"/>
    <w:rsid w:val="00EB4EA2"/>
    <w:rsid w:val="00EC24D5"/>
    <w:rsid w:val="00EC27C6"/>
    <w:rsid w:val="00EC4207"/>
    <w:rsid w:val="00EC5653"/>
    <w:rsid w:val="00EC602E"/>
    <w:rsid w:val="00EC71CE"/>
    <w:rsid w:val="00EC7D5B"/>
    <w:rsid w:val="00ED1006"/>
    <w:rsid w:val="00EE2449"/>
    <w:rsid w:val="00EE4B27"/>
    <w:rsid w:val="00EF18FE"/>
    <w:rsid w:val="00EF1F18"/>
    <w:rsid w:val="00EF5787"/>
    <w:rsid w:val="00EF60D0"/>
    <w:rsid w:val="00F0528D"/>
    <w:rsid w:val="00F06C67"/>
    <w:rsid w:val="00F06DFD"/>
    <w:rsid w:val="00F071D1"/>
    <w:rsid w:val="00F07533"/>
    <w:rsid w:val="00F10629"/>
    <w:rsid w:val="00F1287F"/>
    <w:rsid w:val="00F15FA5"/>
    <w:rsid w:val="00F209B7"/>
    <w:rsid w:val="00F20F5C"/>
    <w:rsid w:val="00F2376F"/>
    <w:rsid w:val="00F243D8"/>
    <w:rsid w:val="00F30828"/>
    <w:rsid w:val="00F313D6"/>
    <w:rsid w:val="00F40F0C"/>
    <w:rsid w:val="00F471CF"/>
    <w:rsid w:val="00F4766C"/>
    <w:rsid w:val="00F5060E"/>
    <w:rsid w:val="00F507D1"/>
    <w:rsid w:val="00F519CE"/>
    <w:rsid w:val="00F51ADA"/>
    <w:rsid w:val="00F554AC"/>
    <w:rsid w:val="00F5553F"/>
    <w:rsid w:val="00F60203"/>
    <w:rsid w:val="00F607C5"/>
    <w:rsid w:val="00F60DEA"/>
    <w:rsid w:val="00F6302A"/>
    <w:rsid w:val="00F63950"/>
    <w:rsid w:val="00F64C2B"/>
    <w:rsid w:val="00F651BE"/>
    <w:rsid w:val="00F67F53"/>
    <w:rsid w:val="00F703BE"/>
    <w:rsid w:val="00F70BCA"/>
    <w:rsid w:val="00F71F69"/>
    <w:rsid w:val="00F72B72"/>
    <w:rsid w:val="00F74BB9"/>
    <w:rsid w:val="00F75582"/>
    <w:rsid w:val="00F76561"/>
    <w:rsid w:val="00F76EFA"/>
    <w:rsid w:val="00F804BE"/>
    <w:rsid w:val="00F817CE"/>
    <w:rsid w:val="00F81F7C"/>
    <w:rsid w:val="00F8456C"/>
    <w:rsid w:val="00F859D8"/>
    <w:rsid w:val="00F868F5"/>
    <w:rsid w:val="00F9056A"/>
    <w:rsid w:val="00F90F8D"/>
    <w:rsid w:val="00F92782"/>
    <w:rsid w:val="00F93AA9"/>
    <w:rsid w:val="00F960C4"/>
    <w:rsid w:val="00F96985"/>
    <w:rsid w:val="00F97838"/>
    <w:rsid w:val="00F97DB3"/>
    <w:rsid w:val="00FA2BB3"/>
    <w:rsid w:val="00FB4C80"/>
    <w:rsid w:val="00FB6A6A"/>
    <w:rsid w:val="00FC0998"/>
    <w:rsid w:val="00FC7429"/>
    <w:rsid w:val="00FD0514"/>
    <w:rsid w:val="00FD07F6"/>
    <w:rsid w:val="00FD1EC8"/>
    <w:rsid w:val="00FD47ED"/>
    <w:rsid w:val="00FD74DB"/>
    <w:rsid w:val="00FD7660"/>
    <w:rsid w:val="00FE0655"/>
    <w:rsid w:val="00FE21FD"/>
    <w:rsid w:val="00FE2365"/>
    <w:rsid w:val="00FE37D7"/>
    <w:rsid w:val="00FE4C7B"/>
    <w:rsid w:val="00FE7336"/>
    <w:rsid w:val="00FE787C"/>
    <w:rsid w:val="00FF45A5"/>
    <w:rsid w:val="00FF5247"/>
    <w:rsid w:val="00FF5C91"/>
    <w:rsid w:val="00FF7B43"/>
    <w:rsid w:val="2BD26F55"/>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39" w:semiHidden="0" w:name="toc 4"/>
    <w:lsdException w:unhideWhenUsed="0" w:uiPriority="39" w:semiHidden="0" w:name="toc 5"/>
    <w:lsdException w:unhideWhenUsed="0" w:uiPriority="39" w:semiHidden="0" w:name="toc 6"/>
    <w:lsdException w:qFormat="1" w:unhideWhenUsed="0" w:uiPriority="39" w:semiHidden="0" w:name="toc 7"/>
    <w:lsdException w:unhideWhenUsed="0" w:uiPriority="39" w:semiHidden="0" w:name="toc 8"/>
    <w:lsdException w:unhideWhenUsed="0" w:uiPriority="39" w:semiHidden="0" w:name="toc 9"/>
    <w:lsdException w:unhideWhenUsed="0" w:uiPriority="0" w:semiHidden="0" w:name="Normal Indent"/>
    <w:lsdException w:qFormat="1" w:unhideWhenUsed="0" w:uiPriority="0" w:semiHidden="0" w:name="footnote text"/>
    <w:lsdException w:qFormat="1" w:unhideWhenUsed="0" w:uiPriority="99"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99"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qFormat="1"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iPriority="99"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80"/>
      <w:textAlignment w:val="baseline"/>
    </w:pPr>
    <w:rPr>
      <w:rFonts w:ascii="Times New Roman" w:hAnsi="Times New Roman" w:cs="Times New Roman" w:eastAsiaTheme="minorEastAsia"/>
      <w:lang w:val="en-GB" w:eastAsia="ja-JP" w:bidi="ar-SA"/>
    </w:rPr>
  </w:style>
  <w:style w:type="paragraph" w:styleId="2">
    <w:name w:val="heading 1"/>
    <w:next w:val="1"/>
    <w:link w:val="67"/>
    <w:qFormat/>
    <w:uiPriority w:val="0"/>
    <w:pPr>
      <w:keepNext/>
      <w:keepLines/>
      <w:pBdr>
        <w:top w:val="single" w:color="auto" w:sz="12" w:space="3"/>
      </w:pBdr>
      <w:overflowPunct w:val="0"/>
      <w:autoSpaceDE w:val="0"/>
      <w:autoSpaceDN w:val="0"/>
      <w:adjustRightInd w:val="0"/>
      <w:spacing w:before="240" w:after="180"/>
      <w:ind w:left="1134" w:hanging="1134"/>
      <w:textAlignment w:val="baseline"/>
      <w:outlineLvl w:val="0"/>
    </w:pPr>
    <w:rPr>
      <w:rFonts w:ascii="Arial" w:hAnsi="Arial" w:cs="Times New Roman" w:eastAsiaTheme="minorEastAsia"/>
      <w:sz w:val="36"/>
      <w:lang w:val="en-GB" w:eastAsia="ja-JP" w:bidi="ar-SA"/>
    </w:rPr>
  </w:style>
  <w:style w:type="paragraph" w:styleId="3">
    <w:name w:val="heading 2"/>
    <w:basedOn w:val="2"/>
    <w:next w:val="1"/>
    <w:link w:val="123"/>
    <w:qFormat/>
    <w:uiPriority w:val="0"/>
    <w:pPr>
      <w:pBdr>
        <w:top w:val="none" w:color="auto" w:sz="0" w:space="0"/>
      </w:pBdr>
      <w:spacing w:before="180"/>
      <w:outlineLvl w:val="1"/>
    </w:pPr>
    <w:rPr>
      <w:sz w:val="32"/>
    </w:rPr>
  </w:style>
  <w:style w:type="paragraph" w:styleId="4">
    <w:name w:val="heading 3"/>
    <w:basedOn w:val="3"/>
    <w:next w:val="1"/>
    <w:link w:val="124"/>
    <w:qFormat/>
    <w:uiPriority w:val="0"/>
    <w:pPr>
      <w:spacing w:before="120"/>
      <w:outlineLvl w:val="2"/>
    </w:pPr>
    <w:rPr>
      <w:sz w:val="28"/>
    </w:rPr>
  </w:style>
  <w:style w:type="paragraph" w:styleId="5">
    <w:name w:val="heading 4"/>
    <w:basedOn w:val="4"/>
    <w:next w:val="1"/>
    <w:link w:val="125"/>
    <w:qFormat/>
    <w:uiPriority w:val="0"/>
    <w:pPr>
      <w:ind w:left="1418" w:hanging="1418"/>
      <w:outlineLvl w:val="3"/>
    </w:pPr>
    <w:rPr>
      <w:sz w:val="24"/>
    </w:rPr>
  </w:style>
  <w:style w:type="paragraph" w:styleId="6">
    <w:name w:val="heading 5"/>
    <w:basedOn w:val="5"/>
    <w:next w:val="1"/>
    <w:link w:val="126"/>
    <w:qFormat/>
    <w:uiPriority w:val="0"/>
    <w:pPr>
      <w:ind w:left="1701" w:hanging="1701"/>
      <w:outlineLvl w:val="4"/>
    </w:pPr>
    <w:rPr>
      <w:sz w:val="22"/>
    </w:rPr>
  </w:style>
  <w:style w:type="paragraph" w:styleId="7">
    <w:name w:val="heading 6"/>
    <w:basedOn w:val="8"/>
    <w:next w:val="1"/>
    <w:link w:val="127"/>
    <w:qFormat/>
    <w:uiPriority w:val="0"/>
    <w:pPr>
      <w:outlineLvl w:val="5"/>
    </w:pPr>
  </w:style>
  <w:style w:type="paragraph" w:styleId="9">
    <w:name w:val="heading 7"/>
    <w:basedOn w:val="8"/>
    <w:next w:val="1"/>
    <w:link w:val="128"/>
    <w:qFormat/>
    <w:uiPriority w:val="0"/>
    <w:pPr>
      <w:outlineLvl w:val="6"/>
    </w:pPr>
  </w:style>
  <w:style w:type="paragraph" w:styleId="10">
    <w:name w:val="heading 8"/>
    <w:basedOn w:val="2"/>
    <w:next w:val="1"/>
    <w:link w:val="129"/>
    <w:qFormat/>
    <w:uiPriority w:val="0"/>
    <w:pPr>
      <w:ind w:left="0" w:firstLine="0"/>
      <w:outlineLvl w:val="7"/>
    </w:pPr>
  </w:style>
  <w:style w:type="paragraph" w:styleId="11">
    <w:name w:val="heading 9"/>
    <w:basedOn w:val="10"/>
    <w:next w:val="1"/>
    <w:link w:val="130"/>
    <w:qFormat/>
    <w:uiPriority w:val="0"/>
    <w:pPr>
      <w:outlineLvl w:val="8"/>
    </w:pPr>
  </w:style>
  <w:style w:type="character" w:default="1" w:styleId="52">
    <w:name w:val="Default Paragraph Font"/>
    <w:semiHidden/>
    <w:unhideWhenUsed/>
    <w:uiPriority w:val="1"/>
  </w:style>
  <w:style w:type="table" w:default="1" w:styleId="50">
    <w:name w:val="Normal Table"/>
    <w:semiHidden/>
    <w:unhideWhenUsed/>
    <w:uiPriority w:val="99"/>
    <w:tblPr>
      <w:tblLayout w:type="fixed"/>
      <w:tblCellMar>
        <w:top w:w="0" w:type="dxa"/>
        <w:left w:w="108" w:type="dxa"/>
        <w:bottom w:w="0" w:type="dxa"/>
        <w:right w:w="108" w:type="dxa"/>
      </w:tblCellMar>
    </w:tblPr>
  </w:style>
  <w:style w:type="paragraph" w:customStyle="1" w:styleId="8">
    <w:name w:val="H6"/>
    <w:basedOn w:val="6"/>
    <w:next w:val="1"/>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uiPriority w:val="0"/>
    <w:pPr>
      <w:ind w:left="851"/>
    </w:pPr>
    <w:rPr>
      <w:lang w:eastAsia="ja-JP"/>
    </w:rPr>
  </w:style>
  <w:style w:type="paragraph" w:styleId="14">
    <w:name w:val="List"/>
    <w:basedOn w:val="15"/>
    <w:uiPriority w:val="0"/>
    <w:pPr>
      <w:ind w:left="568" w:hanging="284"/>
    </w:pPr>
  </w:style>
  <w:style w:type="paragraph" w:styleId="15">
    <w:name w:val="Body Text"/>
    <w:basedOn w:val="1"/>
    <w:link w:val="73"/>
    <w:qFormat/>
    <w:uiPriority w:val="0"/>
    <w:pPr>
      <w:spacing w:after="120"/>
      <w:jc w:val="both"/>
    </w:pPr>
    <w:rPr>
      <w:rFonts w:ascii="Arial" w:hAnsi="Arial"/>
      <w:lang w:eastAsia="zh-CN"/>
    </w:rPr>
  </w:style>
  <w:style w:type="paragraph" w:styleId="16">
    <w:name w:val="toc 7"/>
    <w:basedOn w:val="17"/>
    <w:next w:val="1"/>
    <w:qFormat/>
    <w:uiPriority w:val="39"/>
    <w:pPr>
      <w:tabs>
        <w:tab w:val="right" w:leader="dot" w:pos="9639"/>
      </w:tabs>
      <w:ind w:left="2268" w:hanging="2268"/>
    </w:pPr>
  </w:style>
  <w:style w:type="paragraph" w:styleId="17">
    <w:name w:val="toc 6"/>
    <w:basedOn w:val="18"/>
    <w:next w:val="1"/>
    <w:uiPriority w:val="39"/>
    <w:pPr>
      <w:tabs>
        <w:tab w:val="right" w:leader="dot" w:pos="9639"/>
      </w:tabs>
      <w:ind w:left="1985" w:hanging="1985"/>
    </w:pPr>
  </w:style>
  <w:style w:type="paragraph" w:styleId="18">
    <w:name w:val="toc 5"/>
    <w:basedOn w:val="19"/>
    <w:next w:val="1"/>
    <w:uiPriority w:val="39"/>
    <w:pPr>
      <w:tabs>
        <w:tab w:val="right" w:leader="dot" w:pos="9639"/>
      </w:tabs>
      <w:ind w:left="1701" w:hanging="1701"/>
    </w:pPr>
  </w:style>
  <w:style w:type="paragraph" w:styleId="19">
    <w:name w:val="toc 4"/>
    <w:basedOn w:val="20"/>
    <w:next w:val="1"/>
    <w:uiPriority w:val="39"/>
    <w:pPr>
      <w:tabs>
        <w:tab w:val="right" w:leader="dot" w:pos="9639"/>
      </w:tabs>
      <w:ind w:left="1418" w:hanging="1418"/>
    </w:pPr>
  </w:style>
  <w:style w:type="paragraph" w:styleId="20">
    <w:name w:val="toc 3"/>
    <w:basedOn w:val="21"/>
    <w:next w:val="1"/>
    <w:qFormat/>
    <w:uiPriority w:val="39"/>
    <w:pPr>
      <w:tabs>
        <w:tab w:val="right" w:leader="dot" w:pos="9639"/>
      </w:tabs>
      <w:ind w:left="1134" w:hanging="1134"/>
    </w:pPr>
  </w:style>
  <w:style w:type="paragraph" w:styleId="21">
    <w:name w:val="toc 2"/>
    <w:basedOn w:val="22"/>
    <w:next w:val="1"/>
    <w:qFormat/>
    <w:uiPriority w:val="39"/>
    <w:pPr>
      <w:keepNext w:val="0"/>
      <w:tabs>
        <w:tab w:val="right" w:leader="dot" w:pos="9639"/>
      </w:tabs>
      <w:spacing w:before="0"/>
      <w:ind w:left="851" w:hanging="851"/>
    </w:pPr>
    <w:rPr>
      <w:sz w:val="20"/>
    </w:rPr>
  </w:style>
  <w:style w:type="paragraph" w:styleId="22">
    <w:name w:val="toc 1"/>
    <w:next w:val="1"/>
    <w:qFormat/>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cs="Times New Roman" w:eastAsiaTheme="minorEastAsia"/>
      <w:sz w:val="22"/>
      <w:lang w:val="en-GB" w:eastAsia="ja-JP" w:bidi="ar-SA"/>
    </w:rPr>
  </w:style>
  <w:style w:type="paragraph" w:styleId="23">
    <w:name w:val="List Number 2"/>
    <w:basedOn w:val="24"/>
    <w:qFormat/>
    <w:uiPriority w:val="0"/>
    <w:pPr>
      <w:numPr>
        <w:ilvl w:val="0"/>
        <w:numId w:val="1"/>
      </w:numPr>
    </w:pPr>
  </w:style>
  <w:style w:type="paragraph" w:styleId="24">
    <w:name w:val="List Number"/>
    <w:basedOn w:val="14"/>
    <w:qFormat/>
    <w:uiPriority w:val="0"/>
    <w:pPr>
      <w:numPr>
        <w:ilvl w:val="0"/>
        <w:numId w:val="2"/>
      </w:numPr>
    </w:pPr>
    <w:rPr>
      <w:lang w:eastAsia="ja-JP"/>
    </w:rPr>
  </w:style>
  <w:style w:type="paragraph" w:styleId="25">
    <w:name w:val="List Bullet 4"/>
    <w:basedOn w:val="26"/>
    <w:qFormat/>
    <w:uiPriority w:val="0"/>
    <w:pPr>
      <w:numPr>
        <w:numId w:val="3"/>
      </w:numPr>
    </w:pPr>
  </w:style>
  <w:style w:type="paragraph" w:styleId="26">
    <w:name w:val="List Bullet 3"/>
    <w:basedOn w:val="27"/>
    <w:qFormat/>
    <w:uiPriority w:val="0"/>
    <w:pPr>
      <w:numPr>
        <w:numId w:val="4"/>
      </w:numPr>
    </w:pPr>
  </w:style>
  <w:style w:type="paragraph" w:styleId="27">
    <w:name w:val="List Bullet 2"/>
    <w:basedOn w:val="28"/>
    <w:qFormat/>
    <w:uiPriority w:val="0"/>
    <w:pPr>
      <w:numPr>
        <w:ilvl w:val="0"/>
        <w:numId w:val="5"/>
      </w:numPr>
    </w:pPr>
  </w:style>
  <w:style w:type="paragraph" w:styleId="28">
    <w:name w:val="List Bullet"/>
    <w:basedOn w:val="14"/>
    <w:qFormat/>
    <w:uiPriority w:val="0"/>
    <w:pPr>
      <w:numPr>
        <w:ilvl w:val="0"/>
        <w:numId w:val="6"/>
      </w:numPr>
    </w:pPr>
    <w:rPr>
      <w:lang w:eastAsia="ja-JP"/>
    </w:rPr>
  </w:style>
  <w:style w:type="paragraph" w:styleId="29">
    <w:name w:val="caption"/>
    <w:basedOn w:val="1"/>
    <w:next w:val="1"/>
    <w:qFormat/>
    <w:uiPriority w:val="0"/>
    <w:pPr>
      <w:spacing w:before="120" w:after="120"/>
    </w:pPr>
    <w:rPr>
      <w:b/>
      <w:lang w:eastAsia="en-GB"/>
    </w:rPr>
  </w:style>
  <w:style w:type="paragraph" w:styleId="30">
    <w:name w:val="Document Map"/>
    <w:basedOn w:val="1"/>
    <w:link w:val="114"/>
    <w:qFormat/>
    <w:uiPriority w:val="0"/>
    <w:pPr>
      <w:shd w:val="clear" w:color="auto" w:fill="000080"/>
    </w:pPr>
    <w:rPr>
      <w:rFonts w:ascii="Tahoma" w:hAnsi="Tahoma" w:cs="Tahoma"/>
    </w:rPr>
  </w:style>
  <w:style w:type="paragraph" w:styleId="31">
    <w:name w:val="annotation text"/>
    <w:basedOn w:val="1"/>
    <w:link w:val="108"/>
    <w:qFormat/>
    <w:uiPriority w:val="99"/>
  </w:style>
  <w:style w:type="paragraph" w:styleId="32">
    <w:name w:val="List Number 3"/>
    <w:basedOn w:val="23"/>
    <w:qFormat/>
    <w:uiPriority w:val="0"/>
    <w:pPr>
      <w:numPr>
        <w:numId w:val="7"/>
      </w:numPr>
      <w:contextualSpacing/>
    </w:pPr>
  </w:style>
  <w:style w:type="paragraph" w:styleId="33">
    <w:name w:val="List Continue"/>
    <w:basedOn w:val="1"/>
    <w:qFormat/>
    <w:uiPriority w:val="0"/>
    <w:pPr>
      <w:spacing w:after="120"/>
      <w:ind w:left="283"/>
      <w:contextualSpacing/>
    </w:pPr>
    <w:rPr>
      <w:rFonts w:ascii="Arial" w:hAnsi="Arial"/>
    </w:rPr>
  </w:style>
  <w:style w:type="paragraph" w:styleId="34">
    <w:name w:val="Plain Text"/>
    <w:basedOn w:val="1"/>
    <w:link w:val="138"/>
    <w:qFormat/>
    <w:uiPriority w:val="0"/>
    <w:rPr>
      <w:rFonts w:ascii="Courier New" w:hAnsi="Courier New"/>
      <w:lang w:val="nb-NO"/>
    </w:rPr>
  </w:style>
  <w:style w:type="paragraph" w:styleId="35">
    <w:name w:val="List Bullet 5"/>
    <w:basedOn w:val="25"/>
    <w:qFormat/>
    <w:uiPriority w:val="0"/>
    <w:pPr>
      <w:numPr>
        <w:numId w:val="8"/>
      </w:numPr>
    </w:pPr>
  </w:style>
  <w:style w:type="paragraph" w:styleId="36">
    <w:name w:val="toc 8"/>
    <w:basedOn w:val="22"/>
    <w:next w:val="1"/>
    <w:uiPriority w:val="39"/>
    <w:pPr>
      <w:spacing w:before="180"/>
      <w:ind w:left="2693" w:hanging="2693"/>
    </w:pPr>
    <w:rPr>
      <w:b/>
    </w:rPr>
  </w:style>
  <w:style w:type="paragraph" w:styleId="37">
    <w:name w:val="Balloon Text"/>
    <w:basedOn w:val="1"/>
    <w:link w:val="107"/>
    <w:qFormat/>
    <w:uiPriority w:val="0"/>
    <w:pPr>
      <w:spacing w:after="0"/>
    </w:pPr>
    <w:rPr>
      <w:rFonts w:ascii="Segoe UI" w:hAnsi="Segoe UI" w:cs="Segoe UI"/>
      <w:sz w:val="18"/>
      <w:szCs w:val="18"/>
    </w:rPr>
  </w:style>
  <w:style w:type="paragraph" w:styleId="38">
    <w:name w:val="footer"/>
    <w:basedOn w:val="39"/>
    <w:link w:val="120"/>
    <w:qFormat/>
    <w:uiPriority w:val="0"/>
    <w:pPr>
      <w:jc w:val="center"/>
    </w:pPr>
    <w:rPr>
      <w:i/>
    </w:rPr>
  </w:style>
  <w:style w:type="paragraph" w:styleId="39">
    <w:name w:val="header"/>
    <w:link w:val="119"/>
    <w:uiPriority w:val="0"/>
    <w:pPr>
      <w:widowControl w:val="0"/>
      <w:overflowPunct w:val="0"/>
      <w:autoSpaceDE w:val="0"/>
      <w:autoSpaceDN w:val="0"/>
      <w:adjustRightInd w:val="0"/>
      <w:textAlignment w:val="baseline"/>
    </w:pPr>
    <w:rPr>
      <w:rFonts w:ascii="Arial" w:hAnsi="Arial" w:cs="Times New Roman" w:eastAsiaTheme="minorEastAsia"/>
      <w:b/>
      <w:sz w:val="18"/>
      <w:lang w:val="en-GB" w:eastAsia="ja-JP" w:bidi="ar-SA"/>
    </w:rPr>
  </w:style>
  <w:style w:type="paragraph" w:styleId="40">
    <w:name w:val="index heading"/>
    <w:basedOn w:val="1"/>
    <w:next w:val="1"/>
    <w:qFormat/>
    <w:uiPriority w:val="0"/>
    <w:pPr>
      <w:pBdr>
        <w:top w:val="single" w:color="auto" w:sz="12" w:space="0"/>
      </w:pBdr>
      <w:spacing w:before="360" w:after="240"/>
    </w:pPr>
    <w:rPr>
      <w:b/>
      <w:i/>
      <w:sz w:val="26"/>
      <w:lang w:eastAsia="en-GB"/>
    </w:rPr>
  </w:style>
  <w:style w:type="paragraph" w:styleId="41">
    <w:name w:val="footnote text"/>
    <w:basedOn w:val="1"/>
    <w:link w:val="121"/>
    <w:qFormat/>
    <w:uiPriority w:val="0"/>
    <w:pPr>
      <w:keepLines/>
      <w:spacing w:after="0"/>
      <w:ind w:left="454" w:hanging="454"/>
    </w:pPr>
    <w:rPr>
      <w:sz w:val="16"/>
    </w:rPr>
  </w:style>
  <w:style w:type="paragraph" w:styleId="42">
    <w:name w:val="List 5"/>
    <w:basedOn w:val="43"/>
    <w:qFormat/>
    <w:uiPriority w:val="0"/>
    <w:pPr>
      <w:ind w:left="1702"/>
    </w:pPr>
  </w:style>
  <w:style w:type="paragraph" w:styleId="43">
    <w:name w:val="List 4"/>
    <w:basedOn w:val="12"/>
    <w:uiPriority w:val="0"/>
    <w:pPr>
      <w:ind w:left="1418"/>
    </w:pPr>
  </w:style>
  <w:style w:type="paragraph" w:styleId="44">
    <w:name w:val="table of figures"/>
    <w:basedOn w:val="15"/>
    <w:next w:val="1"/>
    <w:uiPriority w:val="99"/>
    <w:pPr>
      <w:ind w:left="1701" w:hanging="1701"/>
      <w:jc w:val="left"/>
    </w:pPr>
    <w:rPr>
      <w:b/>
    </w:rPr>
  </w:style>
  <w:style w:type="paragraph" w:styleId="45">
    <w:name w:val="toc 9"/>
    <w:basedOn w:val="36"/>
    <w:next w:val="1"/>
    <w:uiPriority w:val="39"/>
    <w:pPr>
      <w:ind w:left="1418" w:hanging="1418"/>
    </w:pPr>
  </w:style>
  <w:style w:type="paragraph" w:styleId="46">
    <w:name w:val="List Continue 2"/>
    <w:basedOn w:val="1"/>
    <w:qFormat/>
    <w:uiPriority w:val="0"/>
    <w:pPr>
      <w:spacing w:after="120"/>
      <w:ind w:left="566"/>
      <w:contextualSpacing/>
    </w:pPr>
    <w:rPr>
      <w:rFonts w:ascii="Arial" w:hAnsi="Arial"/>
    </w:rPr>
  </w:style>
  <w:style w:type="paragraph" w:styleId="47">
    <w:name w:val="index 1"/>
    <w:basedOn w:val="1"/>
    <w:next w:val="1"/>
    <w:qFormat/>
    <w:uiPriority w:val="0"/>
    <w:pPr>
      <w:keepLines/>
      <w:spacing w:after="0"/>
    </w:pPr>
  </w:style>
  <w:style w:type="paragraph" w:styleId="48">
    <w:name w:val="index 2"/>
    <w:basedOn w:val="47"/>
    <w:next w:val="1"/>
    <w:qFormat/>
    <w:uiPriority w:val="0"/>
    <w:pPr>
      <w:ind w:left="284"/>
    </w:pPr>
  </w:style>
  <w:style w:type="paragraph" w:styleId="49">
    <w:name w:val="annotation subject"/>
    <w:basedOn w:val="31"/>
    <w:next w:val="31"/>
    <w:link w:val="109"/>
    <w:qFormat/>
    <w:uiPriority w:val="0"/>
    <w:rPr>
      <w:b/>
      <w:bCs/>
    </w:rPr>
  </w:style>
  <w:style w:type="table" w:styleId="51">
    <w:name w:val="Table Grid"/>
    <w:basedOn w:val="50"/>
    <w:qFormat/>
    <w:uiPriority w:val="39"/>
    <w:rPr>
      <w:rFonts w:ascii="Calibri" w:hAnsi="Calibri" w:eastAsia="Calibri"/>
      <w:sz w:val="22"/>
      <w:szCs w:val="22"/>
      <w:lang w:val="de-DE"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3">
    <w:name w:val="Strong"/>
    <w:qFormat/>
    <w:uiPriority w:val="22"/>
    <w:rPr>
      <w:b/>
      <w:bCs/>
    </w:rPr>
  </w:style>
  <w:style w:type="character" w:styleId="54">
    <w:name w:val="page number"/>
    <w:basedOn w:val="52"/>
    <w:qFormat/>
    <w:uiPriority w:val="0"/>
  </w:style>
  <w:style w:type="character" w:styleId="55">
    <w:name w:val="FollowedHyperlink"/>
    <w:unhideWhenUsed/>
    <w:qFormat/>
    <w:uiPriority w:val="0"/>
    <w:rPr>
      <w:color w:val="800080"/>
      <w:u w:val="single"/>
    </w:rPr>
  </w:style>
  <w:style w:type="character" w:styleId="56">
    <w:name w:val="Emphasis"/>
    <w:qFormat/>
    <w:uiPriority w:val="0"/>
    <w:rPr>
      <w:i/>
      <w:iCs/>
    </w:rPr>
  </w:style>
  <w:style w:type="character" w:styleId="57">
    <w:name w:val="Hyperlink"/>
    <w:qFormat/>
    <w:uiPriority w:val="99"/>
    <w:rPr>
      <w:color w:val="0000FF"/>
      <w:u w:val="single"/>
    </w:rPr>
  </w:style>
  <w:style w:type="character" w:styleId="58">
    <w:name w:val="HTML Code"/>
    <w:unhideWhenUsed/>
    <w:qFormat/>
    <w:uiPriority w:val="99"/>
    <w:rPr>
      <w:rFonts w:ascii="Courier New" w:hAnsi="Courier New" w:eastAsia="Times New Roman" w:cs="Courier New"/>
      <w:sz w:val="20"/>
      <w:szCs w:val="20"/>
    </w:rPr>
  </w:style>
  <w:style w:type="character" w:styleId="59">
    <w:name w:val="annotation reference"/>
    <w:qFormat/>
    <w:uiPriority w:val="0"/>
    <w:rPr>
      <w:sz w:val="16"/>
      <w:szCs w:val="16"/>
    </w:rPr>
  </w:style>
  <w:style w:type="character" w:styleId="60">
    <w:name w:val="footnote reference"/>
    <w:qFormat/>
    <w:uiPriority w:val="0"/>
    <w:rPr>
      <w:b/>
      <w:position w:val="6"/>
      <w:sz w:val="16"/>
    </w:rPr>
  </w:style>
  <w:style w:type="paragraph" w:customStyle="1" w:styleId="61">
    <w:name w:val="Figure"/>
    <w:basedOn w:val="1"/>
    <w:next w:val="29"/>
    <w:uiPriority w:val="0"/>
    <w:pPr>
      <w:keepNext/>
      <w:keepLines/>
      <w:spacing w:before="180"/>
      <w:jc w:val="center"/>
    </w:pPr>
  </w:style>
  <w:style w:type="paragraph" w:customStyle="1" w:styleId="62">
    <w:name w:val="3GPP_Header"/>
    <w:basedOn w:val="15"/>
    <w:qFormat/>
    <w:uiPriority w:val="0"/>
    <w:pPr>
      <w:tabs>
        <w:tab w:val="left" w:pos="1701"/>
        <w:tab w:val="right" w:pos="9639"/>
      </w:tabs>
      <w:spacing w:after="240"/>
    </w:pPr>
    <w:rPr>
      <w:b/>
      <w:sz w:val="24"/>
    </w:rPr>
  </w:style>
  <w:style w:type="paragraph" w:customStyle="1" w:styleId="63">
    <w:name w:val="EQ"/>
    <w:basedOn w:val="1"/>
    <w:next w:val="1"/>
    <w:qFormat/>
    <w:uiPriority w:val="0"/>
    <w:pPr>
      <w:keepLines/>
      <w:tabs>
        <w:tab w:val="center" w:pos="4536"/>
        <w:tab w:val="right" w:pos="9072"/>
      </w:tabs>
    </w:pPr>
  </w:style>
  <w:style w:type="paragraph" w:customStyle="1" w:styleId="64">
    <w:name w:val="Editor's Note"/>
    <w:basedOn w:val="65"/>
    <w:link w:val="116"/>
    <w:qFormat/>
    <w:uiPriority w:val="0"/>
    <w:rPr>
      <w:color w:val="FF0000"/>
      <w:lang w:val="zh-CN" w:eastAsia="zh-CN"/>
    </w:rPr>
  </w:style>
  <w:style w:type="paragraph" w:customStyle="1" w:styleId="65">
    <w:name w:val="NO"/>
    <w:basedOn w:val="1"/>
    <w:link w:val="115"/>
    <w:qFormat/>
    <w:uiPriority w:val="0"/>
    <w:pPr>
      <w:keepLines/>
      <w:ind w:left="1135" w:hanging="851"/>
    </w:pPr>
  </w:style>
  <w:style w:type="paragraph" w:customStyle="1" w:styleId="66">
    <w:name w:val="Reference"/>
    <w:basedOn w:val="15"/>
    <w:qFormat/>
    <w:uiPriority w:val="0"/>
    <w:pPr>
      <w:numPr>
        <w:ilvl w:val="0"/>
        <w:numId w:val="9"/>
      </w:numPr>
    </w:pPr>
  </w:style>
  <w:style w:type="character" w:customStyle="1" w:styleId="67">
    <w:name w:val="标题 1 字符"/>
    <w:link w:val="2"/>
    <w:qFormat/>
    <w:uiPriority w:val="0"/>
    <w:rPr>
      <w:rFonts w:ascii="Arial" w:hAnsi="Arial"/>
      <w:sz w:val="36"/>
      <w:lang w:eastAsia="ja-JP"/>
    </w:rPr>
  </w:style>
  <w:style w:type="paragraph" w:customStyle="1" w:styleId="68">
    <w:name w:val="B1"/>
    <w:basedOn w:val="14"/>
    <w:link w:val="97"/>
    <w:qFormat/>
    <w:uiPriority w:val="0"/>
    <w:rPr>
      <w:rFonts w:ascii="Times New Roman" w:hAnsi="Times New Roman"/>
    </w:rPr>
  </w:style>
  <w:style w:type="paragraph" w:customStyle="1" w:styleId="69">
    <w:name w:val="B2"/>
    <w:basedOn w:val="13"/>
    <w:link w:val="98"/>
    <w:qFormat/>
    <w:uiPriority w:val="0"/>
    <w:rPr>
      <w:rFonts w:ascii="Times New Roman" w:hAnsi="Times New Roman"/>
    </w:rPr>
  </w:style>
  <w:style w:type="paragraph" w:customStyle="1" w:styleId="70">
    <w:name w:val="B3"/>
    <w:basedOn w:val="12"/>
    <w:link w:val="99"/>
    <w:qFormat/>
    <w:uiPriority w:val="0"/>
    <w:rPr>
      <w:rFonts w:ascii="Times New Roman" w:hAnsi="Times New Roman"/>
    </w:rPr>
  </w:style>
  <w:style w:type="paragraph" w:customStyle="1" w:styleId="71">
    <w:name w:val="B4"/>
    <w:basedOn w:val="43"/>
    <w:link w:val="100"/>
    <w:uiPriority w:val="0"/>
    <w:rPr>
      <w:rFonts w:ascii="Times New Roman" w:hAnsi="Times New Roman"/>
    </w:rPr>
  </w:style>
  <w:style w:type="paragraph" w:customStyle="1" w:styleId="72">
    <w:name w:val="Proposal"/>
    <w:basedOn w:val="15"/>
    <w:uiPriority w:val="0"/>
    <w:pPr>
      <w:numPr>
        <w:ilvl w:val="0"/>
        <w:numId w:val="10"/>
      </w:numPr>
      <w:tabs>
        <w:tab w:val="left" w:pos="1701"/>
        <w:tab w:val="clear" w:pos="1304"/>
      </w:tabs>
      <w:ind w:left="1701" w:hanging="1701"/>
    </w:pPr>
    <w:rPr>
      <w:b/>
      <w:bCs/>
    </w:rPr>
  </w:style>
  <w:style w:type="character" w:customStyle="1" w:styleId="73">
    <w:name w:val="正文文本 字符"/>
    <w:link w:val="15"/>
    <w:qFormat/>
    <w:uiPriority w:val="0"/>
    <w:rPr>
      <w:rFonts w:ascii="Arial" w:hAnsi="Arial"/>
      <w:lang w:eastAsia="zh-CN"/>
    </w:rPr>
  </w:style>
  <w:style w:type="paragraph" w:customStyle="1" w:styleId="74">
    <w:name w:val="B5"/>
    <w:basedOn w:val="42"/>
    <w:link w:val="101"/>
    <w:qFormat/>
    <w:uiPriority w:val="0"/>
    <w:rPr>
      <w:rFonts w:ascii="Times New Roman" w:hAnsi="Times New Roman"/>
    </w:rPr>
  </w:style>
  <w:style w:type="paragraph" w:customStyle="1" w:styleId="75">
    <w:name w:val="EX"/>
    <w:basedOn w:val="1"/>
    <w:qFormat/>
    <w:uiPriority w:val="0"/>
    <w:pPr>
      <w:keepLines/>
      <w:ind w:left="1702" w:hanging="1418"/>
    </w:pPr>
  </w:style>
  <w:style w:type="paragraph" w:customStyle="1" w:styleId="76">
    <w:name w:val="EW"/>
    <w:basedOn w:val="75"/>
    <w:qFormat/>
    <w:uiPriority w:val="0"/>
    <w:pPr>
      <w:spacing w:after="0"/>
    </w:pPr>
  </w:style>
  <w:style w:type="paragraph" w:customStyle="1" w:styleId="77">
    <w:name w:val="TAL"/>
    <w:basedOn w:val="1"/>
    <w:link w:val="139"/>
    <w:qFormat/>
    <w:uiPriority w:val="0"/>
    <w:pPr>
      <w:keepNext/>
      <w:keepLines/>
      <w:spacing w:after="0"/>
    </w:pPr>
    <w:rPr>
      <w:rFonts w:ascii="Arial" w:hAnsi="Arial"/>
      <w:sz w:val="18"/>
      <w:lang w:val="zh-CN" w:eastAsia="zh-CN"/>
    </w:rPr>
  </w:style>
  <w:style w:type="paragraph" w:customStyle="1" w:styleId="78">
    <w:name w:val="TAC"/>
    <w:basedOn w:val="77"/>
    <w:uiPriority w:val="0"/>
    <w:pPr>
      <w:jc w:val="center"/>
    </w:pPr>
  </w:style>
  <w:style w:type="paragraph" w:customStyle="1" w:styleId="79">
    <w:name w:val="TAH"/>
    <w:basedOn w:val="78"/>
    <w:link w:val="140"/>
    <w:uiPriority w:val="0"/>
    <w:rPr>
      <w:b/>
    </w:rPr>
  </w:style>
  <w:style w:type="paragraph" w:customStyle="1" w:styleId="80">
    <w:name w:val="TAN"/>
    <w:basedOn w:val="77"/>
    <w:qFormat/>
    <w:uiPriority w:val="0"/>
    <w:pPr>
      <w:ind w:left="851" w:hanging="851"/>
    </w:pPr>
  </w:style>
  <w:style w:type="paragraph" w:customStyle="1" w:styleId="81">
    <w:name w:val="TAR"/>
    <w:basedOn w:val="77"/>
    <w:uiPriority w:val="0"/>
    <w:pPr>
      <w:jc w:val="right"/>
    </w:pPr>
  </w:style>
  <w:style w:type="paragraph" w:customStyle="1" w:styleId="82">
    <w:name w:val="TH"/>
    <w:basedOn w:val="1"/>
    <w:link w:val="141"/>
    <w:uiPriority w:val="0"/>
    <w:pPr>
      <w:keepNext/>
      <w:keepLines/>
      <w:spacing w:before="60"/>
      <w:jc w:val="center"/>
    </w:pPr>
    <w:rPr>
      <w:rFonts w:ascii="Arial" w:hAnsi="Arial"/>
      <w:b/>
      <w:lang w:val="zh-CN" w:eastAsia="zh-CN"/>
    </w:rPr>
  </w:style>
  <w:style w:type="paragraph" w:customStyle="1" w:styleId="83">
    <w:name w:val="TF"/>
    <w:basedOn w:val="82"/>
    <w:link w:val="145"/>
    <w:uiPriority w:val="0"/>
    <w:pPr>
      <w:keepNext w:val="0"/>
      <w:spacing w:before="0" w:after="240"/>
    </w:pPr>
  </w:style>
  <w:style w:type="paragraph" w:customStyle="1" w:styleId="84">
    <w:name w:val="TT"/>
    <w:basedOn w:val="2"/>
    <w:next w:val="1"/>
    <w:uiPriority w:val="0"/>
    <w:pPr>
      <w:outlineLvl w:val="9"/>
    </w:pPr>
  </w:style>
  <w:style w:type="paragraph" w:customStyle="1" w:styleId="85">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cs="Times New Roman" w:eastAsiaTheme="minorEastAsia"/>
      <w:sz w:val="40"/>
      <w:lang w:val="en-GB" w:eastAsia="ja-JP" w:bidi="ar-SA"/>
    </w:rPr>
  </w:style>
  <w:style w:type="paragraph" w:customStyle="1" w:styleId="86">
    <w:name w:val="ZB"/>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cs="Times New Roman" w:eastAsiaTheme="minorEastAsia"/>
      <w:i/>
      <w:lang w:val="en-GB" w:eastAsia="ja-JP" w:bidi="ar-SA"/>
    </w:rPr>
  </w:style>
  <w:style w:type="paragraph" w:customStyle="1" w:styleId="87">
    <w:name w:val="ZD"/>
    <w:uiPriority w:val="0"/>
    <w:pPr>
      <w:framePr w:wrap="notBeside" w:vAnchor="page" w:hAnchor="margin" w:y="15764"/>
      <w:widowControl w:val="0"/>
      <w:overflowPunct w:val="0"/>
      <w:autoSpaceDE w:val="0"/>
      <w:autoSpaceDN w:val="0"/>
      <w:adjustRightInd w:val="0"/>
      <w:textAlignment w:val="baseline"/>
    </w:pPr>
    <w:rPr>
      <w:rFonts w:ascii="Arial" w:hAnsi="Arial" w:cs="Times New Roman" w:eastAsiaTheme="minorEastAsia"/>
      <w:sz w:val="32"/>
      <w:lang w:val="en-GB" w:eastAsia="ja-JP" w:bidi="ar-SA"/>
    </w:rPr>
  </w:style>
  <w:style w:type="paragraph" w:customStyle="1" w:styleId="88">
    <w:name w:val="ZG"/>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cs="Times New Roman" w:eastAsiaTheme="minorEastAsia"/>
      <w:lang w:val="en-GB" w:eastAsia="ja-JP" w:bidi="ar-SA"/>
    </w:rPr>
  </w:style>
  <w:style w:type="character" w:customStyle="1" w:styleId="89">
    <w:name w:val="ZGSM"/>
    <w:uiPriority w:val="0"/>
  </w:style>
  <w:style w:type="paragraph" w:customStyle="1" w:styleId="90">
    <w:name w:val="ZH"/>
    <w:uiPriority w:val="0"/>
    <w:pPr>
      <w:framePr w:wrap="notBeside" w:vAnchor="page" w:hAnchor="margin" w:xAlign="center" w:y="6805"/>
      <w:widowControl w:val="0"/>
      <w:overflowPunct w:val="0"/>
      <w:autoSpaceDE w:val="0"/>
      <w:autoSpaceDN w:val="0"/>
      <w:adjustRightInd w:val="0"/>
      <w:textAlignment w:val="baseline"/>
    </w:pPr>
    <w:rPr>
      <w:rFonts w:ascii="Arial" w:hAnsi="Arial" w:cs="Times New Roman" w:eastAsiaTheme="minorEastAsia"/>
      <w:lang w:val="en-GB" w:eastAsia="ja-JP" w:bidi="ar-SA"/>
    </w:rPr>
  </w:style>
  <w:style w:type="paragraph" w:customStyle="1" w:styleId="91">
    <w:name w:val="Z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cs="Times New Roman" w:eastAsiaTheme="minorEastAsia"/>
      <w:b/>
      <w:sz w:val="34"/>
      <w:lang w:val="en-GB" w:eastAsia="ja-JP" w:bidi="ar-SA"/>
    </w:rPr>
  </w:style>
  <w:style w:type="paragraph" w:customStyle="1" w:styleId="92">
    <w:name w:val="ZTD"/>
    <w:basedOn w:val="86"/>
    <w:qFormat/>
    <w:uiPriority w:val="0"/>
    <w:pPr>
      <w:framePr w:hRule="auto" w:y="852"/>
    </w:pPr>
    <w:rPr>
      <w:i w:val="0"/>
      <w:sz w:val="40"/>
    </w:rPr>
  </w:style>
  <w:style w:type="paragraph" w:customStyle="1" w:styleId="93">
    <w:name w:val="ZU"/>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cs="Times New Roman" w:eastAsiaTheme="minorEastAsia"/>
      <w:lang w:val="en-GB" w:eastAsia="ja-JP" w:bidi="ar-SA"/>
    </w:rPr>
  </w:style>
  <w:style w:type="paragraph" w:customStyle="1" w:styleId="94">
    <w:name w:val="ZV"/>
    <w:basedOn w:val="93"/>
    <w:qFormat/>
    <w:uiPriority w:val="0"/>
    <w:pPr>
      <w:framePr w:y="16161"/>
    </w:pPr>
  </w:style>
  <w:style w:type="paragraph" w:customStyle="1" w:styleId="95">
    <w:name w:val="FP"/>
    <w:basedOn w:val="1"/>
    <w:uiPriority w:val="0"/>
    <w:pPr>
      <w:spacing w:after="0"/>
    </w:pPr>
  </w:style>
  <w:style w:type="paragraph" w:customStyle="1" w:styleId="96">
    <w:name w:val="Observation"/>
    <w:basedOn w:val="72"/>
    <w:qFormat/>
    <w:uiPriority w:val="0"/>
    <w:pPr>
      <w:numPr>
        <w:ilvl w:val="0"/>
        <w:numId w:val="11"/>
      </w:numPr>
      <w:ind w:left="1701" w:hanging="1701"/>
    </w:pPr>
    <w:rPr>
      <w:lang w:eastAsia="ja-JP"/>
    </w:rPr>
  </w:style>
  <w:style w:type="character" w:customStyle="1" w:styleId="97">
    <w:name w:val="B1 Char1"/>
    <w:link w:val="68"/>
    <w:qFormat/>
    <w:uiPriority w:val="0"/>
    <w:rPr>
      <w:rFonts w:ascii="Times New Roman" w:hAnsi="Times New Roman"/>
      <w:lang w:eastAsia="zh-CN"/>
    </w:rPr>
  </w:style>
  <w:style w:type="character" w:customStyle="1" w:styleId="98">
    <w:name w:val="B2 Char"/>
    <w:link w:val="69"/>
    <w:qFormat/>
    <w:uiPriority w:val="0"/>
    <w:rPr>
      <w:rFonts w:ascii="Times New Roman" w:hAnsi="Times New Roman"/>
      <w:lang w:eastAsia="ja-JP"/>
    </w:rPr>
  </w:style>
  <w:style w:type="character" w:customStyle="1" w:styleId="99">
    <w:name w:val="B3 Char2"/>
    <w:link w:val="70"/>
    <w:qFormat/>
    <w:uiPriority w:val="0"/>
    <w:rPr>
      <w:rFonts w:ascii="Times New Roman" w:hAnsi="Times New Roman"/>
      <w:lang w:eastAsia="ja-JP"/>
    </w:rPr>
  </w:style>
  <w:style w:type="character" w:customStyle="1" w:styleId="100">
    <w:name w:val="B4 Char"/>
    <w:link w:val="71"/>
    <w:qFormat/>
    <w:uiPriority w:val="0"/>
    <w:rPr>
      <w:rFonts w:ascii="Times New Roman" w:hAnsi="Times New Roman"/>
      <w:lang w:eastAsia="ja-JP"/>
    </w:rPr>
  </w:style>
  <w:style w:type="character" w:customStyle="1" w:styleId="101">
    <w:name w:val="B5 Char"/>
    <w:link w:val="74"/>
    <w:qFormat/>
    <w:uiPriority w:val="0"/>
    <w:rPr>
      <w:rFonts w:ascii="Times New Roman" w:hAnsi="Times New Roman"/>
      <w:lang w:eastAsia="ja-JP"/>
    </w:rPr>
  </w:style>
  <w:style w:type="paragraph" w:customStyle="1" w:styleId="102">
    <w:name w:val="B6"/>
    <w:basedOn w:val="74"/>
    <w:link w:val="103"/>
    <w:qFormat/>
    <w:uiPriority w:val="0"/>
    <w:pPr>
      <w:ind w:left="1985"/>
    </w:pPr>
  </w:style>
  <w:style w:type="character" w:customStyle="1" w:styleId="103">
    <w:name w:val="B6 Char"/>
    <w:link w:val="102"/>
    <w:qFormat/>
    <w:uiPriority w:val="0"/>
    <w:rPr>
      <w:rFonts w:ascii="Times New Roman" w:hAnsi="Times New Roman"/>
      <w:lang w:eastAsia="ja-JP"/>
    </w:rPr>
  </w:style>
  <w:style w:type="paragraph" w:customStyle="1" w:styleId="104">
    <w:name w:val="B7"/>
    <w:basedOn w:val="102"/>
    <w:link w:val="105"/>
    <w:qFormat/>
    <w:uiPriority w:val="0"/>
    <w:pPr>
      <w:ind w:left="2269"/>
    </w:pPr>
  </w:style>
  <w:style w:type="character" w:customStyle="1" w:styleId="105">
    <w:name w:val="B7 Char"/>
    <w:link w:val="104"/>
    <w:qFormat/>
    <w:uiPriority w:val="0"/>
    <w:rPr>
      <w:rFonts w:ascii="Times New Roman" w:hAnsi="Times New Roman"/>
      <w:lang w:eastAsia="ja-JP"/>
    </w:rPr>
  </w:style>
  <w:style w:type="paragraph" w:customStyle="1" w:styleId="106">
    <w:name w:val="B8"/>
    <w:basedOn w:val="104"/>
    <w:qFormat/>
    <w:uiPriority w:val="0"/>
    <w:pPr>
      <w:ind w:left="2552"/>
    </w:pPr>
  </w:style>
  <w:style w:type="character" w:customStyle="1" w:styleId="107">
    <w:name w:val="批注框文本 字符"/>
    <w:link w:val="37"/>
    <w:uiPriority w:val="0"/>
    <w:rPr>
      <w:rFonts w:ascii="Segoe UI" w:hAnsi="Segoe UI" w:cs="Segoe UI"/>
      <w:sz w:val="18"/>
      <w:szCs w:val="18"/>
      <w:lang w:eastAsia="ja-JP"/>
    </w:rPr>
  </w:style>
  <w:style w:type="character" w:customStyle="1" w:styleId="108">
    <w:name w:val="批注文字 字符"/>
    <w:link w:val="31"/>
    <w:qFormat/>
    <w:uiPriority w:val="99"/>
    <w:rPr>
      <w:rFonts w:ascii="Times New Roman" w:hAnsi="Times New Roman"/>
      <w:lang w:eastAsia="ja-JP"/>
    </w:rPr>
  </w:style>
  <w:style w:type="character" w:customStyle="1" w:styleId="109">
    <w:name w:val="批注主题 字符"/>
    <w:link w:val="49"/>
    <w:qFormat/>
    <w:uiPriority w:val="0"/>
    <w:rPr>
      <w:rFonts w:ascii="Times New Roman" w:hAnsi="Times New Roman"/>
      <w:b/>
      <w:bCs/>
      <w:lang w:eastAsia="ja-JP"/>
    </w:rPr>
  </w:style>
  <w:style w:type="paragraph" w:customStyle="1" w:styleId="110">
    <w:name w:val="CR Cover Page"/>
    <w:link w:val="111"/>
    <w:qFormat/>
    <w:uiPriority w:val="0"/>
    <w:pPr>
      <w:spacing w:after="120"/>
    </w:pPr>
    <w:rPr>
      <w:rFonts w:ascii="Arial" w:hAnsi="Arial" w:cs="Times New Roman" w:eastAsiaTheme="minorEastAsia"/>
      <w:lang w:val="en-GB" w:eastAsia="ko-KR" w:bidi="ar-SA"/>
    </w:rPr>
  </w:style>
  <w:style w:type="character" w:customStyle="1" w:styleId="111">
    <w:name w:val="CR Cover Page Zchn"/>
    <w:link w:val="110"/>
    <w:qFormat/>
    <w:uiPriority w:val="0"/>
    <w:rPr>
      <w:rFonts w:ascii="Arial" w:hAnsi="Arial"/>
      <w:lang w:eastAsia="ko-KR"/>
    </w:rPr>
  </w:style>
  <w:style w:type="paragraph" w:customStyle="1" w:styleId="112">
    <w:name w:val="Doc-text2"/>
    <w:basedOn w:val="1"/>
    <w:link w:val="113"/>
    <w:qFormat/>
    <w:uiPriority w:val="0"/>
    <w:pPr>
      <w:tabs>
        <w:tab w:val="left" w:pos="1622"/>
      </w:tabs>
      <w:spacing w:after="0"/>
      <w:ind w:left="1622" w:hanging="363"/>
    </w:pPr>
    <w:rPr>
      <w:rFonts w:ascii="Arial" w:hAnsi="Arial" w:eastAsia="MS Mincho"/>
      <w:szCs w:val="24"/>
      <w:lang w:val="zh-CN" w:eastAsia="zh-CN"/>
    </w:rPr>
  </w:style>
  <w:style w:type="character" w:customStyle="1" w:styleId="113">
    <w:name w:val="Doc-text2 Char"/>
    <w:link w:val="112"/>
    <w:qFormat/>
    <w:locked/>
    <w:uiPriority w:val="0"/>
    <w:rPr>
      <w:rFonts w:ascii="Arial" w:hAnsi="Arial" w:eastAsia="MS Mincho"/>
      <w:szCs w:val="24"/>
      <w:lang w:val="zh-CN" w:eastAsia="zh-CN"/>
    </w:rPr>
  </w:style>
  <w:style w:type="character" w:customStyle="1" w:styleId="114">
    <w:name w:val="文档结构图 字符"/>
    <w:link w:val="30"/>
    <w:qFormat/>
    <w:uiPriority w:val="0"/>
    <w:rPr>
      <w:rFonts w:ascii="Tahoma" w:hAnsi="Tahoma" w:cs="Tahoma"/>
      <w:shd w:val="clear" w:color="auto" w:fill="000080"/>
      <w:lang w:eastAsia="ja-JP"/>
    </w:rPr>
  </w:style>
  <w:style w:type="character" w:customStyle="1" w:styleId="115">
    <w:name w:val="NO Char"/>
    <w:link w:val="65"/>
    <w:qFormat/>
    <w:uiPriority w:val="0"/>
    <w:rPr>
      <w:rFonts w:ascii="Times New Roman" w:hAnsi="Times New Roman"/>
      <w:lang w:eastAsia="ja-JP"/>
    </w:rPr>
  </w:style>
  <w:style w:type="character" w:customStyle="1" w:styleId="116">
    <w:name w:val="Editor's Note Char"/>
    <w:link w:val="64"/>
    <w:qFormat/>
    <w:uiPriority w:val="0"/>
    <w:rPr>
      <w:rFonts w:ascii="Times New Roman" w:hAnsi="Times New Roman"/>
      <w:color w:val="FF0000"/>
      <w:lang w:val="zh-CN" w:eastAsia="zh-CN"/>
    </w:rPr>
  </w:style>
  <w:style w:type="paragraph" w:customStyle="1" w:styleId="117">
    <w:name w:val="EmailDiscussion"/>
    <w:basedOn w:val="1"/>
    <w:next w:val="1"/>
    <w:link w:val="149"/>
    <w:qFormat/>
    <w:uiPriority w:val="0"/>
    <w:pPr>
      <w:numPr>
        <w:ilvl w:val="0"/>
        <w:numId w:val="12"/>
      </w:numPr>
      <w:spacing w:before="40" w:after="0"/>
    </w:pPr>
    <w:rPr>
      <w:rFonts w:ascii="Arial" w:hAnsi="Arial" w:eastAsia="MS Mincho"/>
      <w:b/>
      <w:szCs w:val="24"/>
      <w:lang w:eastAsia="en-GB"/>
    </w:rPr>
  </w:style>
  <w:style w:type="paragraph" w:customStyle="1" w:styleId="118">
    <w:name w:val="Figure_Title"/>
    <w:basedOn w:val="1"/>
    <w:next w:val="1"/>
    <w:qFormat/>
    <w:uiPriority w:val="0"/>
    <w:pPr>
      <w:keepLines/>
      <w:tabs>
        <w:tab w:val="left" w:pos="794"/>
        <w:tab w:val="left" w:pos="1191"/>
        <w:tab w:val="left" w:pos="1588"/>
        <w:tab w:val="left" w:pos="1985"/>
      </w:tabs>
      <w:spacing w:before="120" w:after="480"/>
      <w:jc w:val="center"/>
    </w:pPr>
    <w:rPr>
      <w:b/>
      <w:sz w:val="24"/>
      <w:lang w:eastAsia="en-GB"/>
    </w:rPr>
  </w:style>
  <w:style w:type="character" w:customStyle="1" w:styleId="119">
    <w:name w:val="页眉 字符"/>
    <w:link w:val="39"/>
    <w:qFormat/>
    <w:uiPriority w:val="0"/>
    <w:rPr>
      <w:rFonts w:ascii="Arial" w:hAnsi="Arial"/>
      <w:b/>
      <w:sz w:val="18"/>
      <w:lang w:eastAsia="ja-JP"/>
    </w:rPr>
  </w:style>
  <w:style w:type="character" w:customStyle="1" w:styleId="120">
    <w:name w:val="页脚 字符"/>
    <w:link w:val="38"/>
    <w:qFormat/>
    <w:uiPriority w:val="0"/>
    <w:rPr>
      <w:rFonts w:ascii="Arial" w:hAnsi="Arial"/>
      <w:b/>
      <w:i/>
      <w:sz w:val="18"/>
      <w:lang w:eastAsia="ja-JP"/>
    </w:rPr>
  </w:style>
  <w:style w:type="character" w:customStyle="1" w:styleId="121">
    <w:name w:val="脚注文本 字符"/>
    <w:link w:val="41"/>
    <w:qFormat/>
    <w:uiPriority w:val="0"/>
    <w:rPr>
      <w:rFonts w:ascii="Times New Roman" w:hAnsi="Times New Roman"/>
      <w:sz w:val="16"/>
      <w:lang w:eastAsia="ja-JP"/>
    </w:rPr>
  </w:style>
  <w:style w:type="paragraph" w:customStyle="1" w:styleId="122">
    <w:name w:val="Guidance"/>
    <w:basedOn w:val="1"/>
    <w:qFormat/>
    <w:uiPriority w:val="0"/>
    <w:rPr>
      <w:i/>
      <w:color w:val="0000FF"/>
    </w:rPr>
  </w:style>
  <w:style w:type="character" w:customStyle="1" w:styleId="123">
    <w:name w:val="标题 2 字符"/>
    <w:link w:val="3"/>
    <w:qFormat/>
    <w:uiPriority w:val="0"/>
    <w:rPr>
      <w:rFonts w:ascii="Arial" w:hAnsi="Arial"/>
      <w:sz w:val="32"/>
      <w:lang w:eastAsia="ja-JP"/>
    </w:rPr>
  </w:style>
  <w:style w:type="character" w:customStyle="1" w:styleId="124">
    <w:name w:val="标题 3 字符"/>
    <w:link w:val="4"/>
    <w:qFormat/>
    <w:uiPriority w:val="0"/>
    <w:rPr>
      <w:rFonts w:ascii="Arial" w:hAnsi="Arial"/>
      <w:sz w:val="28"/>
      <w:lang w:eastAsia="ja-JP"/>
    </w:rPr>
  </w:style>
  <w:style w:type="character" w:customStyle="1" w:styleId="125">
    <w:name w:val="标题 4 字符"/>
    <w:link w:val="5"/>
    <w:qFormat/>
    <w:uiPriority w:val="0"/>
    <w:rPr>
      <w:rFonts w:ascii="Arial" w:hAnsi="Arial"/>
      <w:sz w:val="24"/>
      <w:lang w:eastAsia="ja-JP"/>
    </w:rPr>
  </w:style>
  <w:style w:type="character" w:customStyle="1" w:styleId="126">
    <w:name w:val="标题 5 字符"/>
    <w:link w:val="6"/>
    <w:qFormat/>
    <w:uiPriority w:val="0"/>
    <w:rPr>
      <w:rFonts w:ascii="Arial" w:hAnsi="Arial"/>
      <w:sz w:val="22"/>
      <w:lang w:eastAsia="ja-JP"/>
    </w:rPr>
  </w:style>
  <w:style w:type="character" w:customStyle="1" w:styleId="127">
    <w:name w:val="标题 6 字符"/>
    <w:link w:val="7"/>
    <w:qFormat/>
    <w:uiPriority w:val="0"/>
    <w:rPr>
      <w:rFonts w:ascii="Arial" w:hAnsi="Arial"/>
      <w:lang w:eastAsia="ja-JP"/>
    </w:rPr>
  </w:style>
  <w:style w:type="character" w:customStyle="1" w:styleId="128">
    <w:name w:val="标题 7 字符"/>
    <w:link w:val="9"/>
    <w:qFormat/>
    <w:uiPriority w:val="0"/>
    <w:rPr>
      <w:rFonts w:ascii="Arial" w:hAnsi="Arial"/>
      <w:lang w:eastAsia="ja-JP"/>
    </w:rPr>
  </w:style>
  <w:style w:type="character" w:customStyle="1" w:styleId="129">
    <w:name w:val="标题 8 字符"/>
    <w:link w:val="10"/>
    <w:qFormat/>
    <w:uiPriority w:val="0"/>
    <w:rPr>
      <w:rFonts w:ascii="Arial" w:hAnsi="Arial"/>
      <w:sz w:val="36"/>
      <w:lang w:eastAsia="ja-JP"/>
    </w:rPr>
  </w:style>
  <w:style w:type="character" w:customStyle="1" w:styleId="130">
    <w:name w:val="标题 9 字符"/>
    <w:link w:val="11"/>
    <w:qFormat/>
    <w:uiPriority w:val="0"/>
    <w:rPr>
      <w:rFonts w:ascii="Arial" w:hAnsi="Arial"/>
      <w:sz w:val="36"/>
      <w:lang w:eastAsia="ja-JP"/>
    </w:rPr>
  </w:style>
  <w:style w:type="paragraph" w:customStyle="1" w:styleId="131">
    <w:name w:val="LD"/>
    <w:qFormat/>
    <w:uiPriority w:val="0"/>
    <w:pPr>
      <w:keepNext/>
      <w:keepLines/>
      <w:overflowPunct w:val="0"/>
      <w:autoSpaceDE w:val="0"/>
      <w:autoSpaceDN w:val="0"/>
      <w:adjustRightInd w:val="0"/>
      <w:spacing w:line="180" w:lineRule="exact"/>
      <w:textAlignment w:val="baseline"/>
    </w:pPr>
    <w:rPr>
      <w:rFonts w:ascii="Courier New" w:hAnsi="Courier New" w:cs="Times New Roman" w:eastAsiaTheme="minorEastAsia"/>
      <w:lang w:val="en-GB" w:eastAsia="ja-JP" w:bidi="ar-SA"/>
    </w:rPr>
  </w:style>
  <w:style w:type="paragraph" w:styleId="132">
    <w:name w:val="List Paragraph"/>
    <w:basedOn w:val="1"/>
    <w:link w:val="133"/>
    <w:qFormat/>
    <w:uiPriority w:val="34"/>
    <w:pPr>
      <w:spacing w:after="0"/>
      <w:ind w:left="720"/>
    </w:pPr>
    <w:rPr>
      <w:rFonts w:ascii="Calibri" w:hAnsi="Calibri" w:eastAsia="Calibri"/>
      <w:sz w:val="22"/>
      <w:szCs w:val="22"/>
      <w:lang w:val="zh-CN" w:eastAsia="en-US"/>
    </w:rPr>
  </w:style>
  <w:style w:type="character" w:customStyle="1" w:styleId="133">
    <w:name w:val="列出段落 字符"/>
    <w:link w:val="132"/>
    <w:qFormat/>
    <w:locked/>
    <w:uiPriority w:val="34"/>
    <w:rPr>
      <w:rFonts w:ascii="Calibri" w:hAnsi="Calibri" w:eastAsia="Calibri"/>
      <w:sz w:val="22"/>
      <w:szCs w:val="22"/>
      <w:lang w:val="zh-CN" w:eastAsia="en-US"/>
    </w:rPr>
  </w:style>
  <w:style w:type="paragraph" w:customStyle="1" w:styleId="134">
    <w:name w:val="NF"/>
    <w:basedOn w:val="65"/>
    <w:qFormat/>
    <w:uiPriority w:val="0"/>
    <w:pPr>
      <w:keepNext/>
      <w:spacing w:after="0"/>
    </w:pPr>
    <w:rPr>
      <w:rFonts w:ascii="Arial" w:hAnsi="Arial"/>
      <w:sz w:val="18"/>
    </w:rPr>
  </w:style>
  <w:style w:type="paragraph" w:customStyle="1" w:styleId="135">
    <w:name w:val="NW"/>
    <w:basedOn w:val="65"/>
    <w:qFormat/>
    <w:uiPriority w:val="0"/>
    <w:pPr>
      <w:spacing w:after="0"/>
    </w:pPr>
  </w:style>
  <w:style w:type="paragraph" w:customStyle="1" w:styleId="136">
    <w:name w:val="PL"/>
    <w:link w:val="137"/>
    <w:qFormat/>
    <w:uiPriority w:val="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hAnsi="Courier New" w:eastAsia="Batang" w:cs="Times New Roman"/>
      <w:sz w:val="16"/>
      <w:lang w:val="en-GB" w:eastAsia="sv-SE" w:bidi="ar-SA"/>
    </w:rPr>
  </w:style>
  <w:style w:type="character" w:customStyle="1" w:styleId="137">
    <w:name w:val="PL Char"/>
    <w:link w:val="136"/>
    <w:qFormat/>
    <w:uiPriority w:val="0"/>
    <w:rPr>
      <w:rFonts w:ascii="Courier New" w:hAnsi="Courier New" w:eastAsia="Batang"/>
      <w:sz w:val="16"/>
      <w:shd w:val="clear" w:color="auto" w:fill="E6E6E6"/>
      <w:lang w:eastAsia="sv-SE"/>
    </w:rPr>
  </w:style>
  <w:style w:type="character" w:customStyle="1" w:styleId="138">
    <w:name w:val="纯文本 字符"/>
    <w:link w:val="34"/>
    <w:qFormat/>
    <w:uiPriority w:val="0"/>
    <w:rPr>
      <w:rFonts w:ascii="Courier New" w:hAnsi="Courier New"/>
      <w:lang w:val="nb-NO" w:eastAsia="ja-JP"/>
    </w:rPr>
  </w:style>
  <w:style w:type="character" w:customStyle="1" w:styleId="139">
    <w:name w:val="TAL Car"/>
    <w:link w:val="77"/>
    <w:qFormat/>
    <w:uiPriority w:val="0"/>
    <w:rPr>
      <w:rFonts w:ascii="Arial" w:hAnsi="Arial"/>
      <w:sz w:val="18"/>
      <w:lang w:val="zh-CN" w:eastAsia="zh-CN"/>
    </w:rPr>
  </w:style>
  <w:style w:type="character" w:customStyle="1" w:styleId="140">
    <w:name w:val="TAH Car"/>
    <w:link w:val="79"/>
    <w:qFormat/>
    <w:locked/>
    <w:uiPriority w:val="0"/>
    <w:rPr>
      <w:rFonts w:ascii="Arial" w:hAnsi="Arial"/>
      <w:b/>
      <w:sz w:val="18"/>
      <w:lang w:val="zh-CN" w:eastAsia="zh-CN"/>
    </w:rPr>
  </w:style>
  <w:style w:type="character" w:customStyle="1" w:styleId="141">
    <w:name w:val="TH Char"/>
    <w:link w:val="82"/>
    <w:qFormat/>
    <w:uiPriority w:val="0"/>
    <w:rPr>
      <w:rFonts w:ascii="Arial" w:hAnsi="Arial"/>
      <w:b/>
      <w:lang w:val="zh-CN" w:eastAsia="zh-CN"/>
    </w:rPr>
  </w:style>
  <w:style w:type="paragraph" w:customStyle="1" w:styleId="142">
    <w:name w:val="TAJ"/>
    <w:basedOn w:val="82"/>
    <w:qFormat/>
    <w:uiPriority w:val="0"/>
  </w:style>
  <w:style w:type="paragraph" w:customStyle="1" w:styleId="143">
    <w:name w:val="TAL Char Char"/>
    <w:basedOn w:val="1"/>
    <w:link w:val="144"/>
    <w:qFormat/>
    <w:uiPriority w:val="0"/>
    <w:pPr>
      <w:keepNext/>
      <w:keepLines/>
      <w:spacing w:after="0"/>
    </w:pPr>
    <w:rPr>
      <w:rFonts w:ascii="Arial" w:hAnsi="Arial" w:eastAsia="Malgun Gothic"/>
      <w:sz w:val="18"/>
      <w:lang w:val="zh-CN" w:eastAsia="zh-CN"/>
    </w:rPr>
  </w:style>
  <w:style w:type="character" w:customStyle="1" w:styleId="144">
    <w:name w:val="TAL Char Char Char"/>
    <w:link w:val="143"/>
    <w:qFormat/>
    <w:uiPriority w:val="0"/>
    <w:rPr>
      <w:rFonts w:ascii="Arial" w:hAnsi="Arial" w:eastAsia="Malgun Gothic"/>
      <w:sz w:val="18"/>
      <w:lang w:val="zh-CN" w:eastAsia="zh-CN"/>
    </w:rPr>
  </w:style>
  <w:style w:type="character" w:customStyle="1" w:styleId="145">
    <w:name w:val="TF Char"/>
    <w:link w:val="83"/>
    <w:qFormat/>
    <w:uiPriority w:val="0"/>
    <w:rPr>
      <w:rFonts w:ascii="Arial" w:hAnsi="Arial"/>
      <w:b/>
      <w:lang w:val="zh-CN" w:eastAsia="zh-CN"/>
    </w:rPr>
  </w:style>
  <w:style w:type="character" w:customStyle="1" w:styleId="146">
    <w:name w:val="未处理的提及1"/>
    <w:semiHidden/>
    <w:unhideWhenUsed/>
    <w:qFormat/>
    <w:uiPriority w:val="99"/>
    <w:rPr>
      <w:color w:val="808080"/>
      <w:shd w:val="clear" w:color="auto" w:fill="E6E6E6"/>
    </w:rPr>
  </w:style>
  <w:style w:type="paragraph" w:customStyle="1" w:styleId="147">
    <w:name w:val="Agreement"/>
    <w:basedOn w:val="1"/>
    <w:next w:val="1"/>
    <w:qFormat/>
    <w:uiPriority w:val="0"/>
    <w:pPr>
      <w:overflowPunct/>
      <w:autoSpaceDE/>
      <w:autoSpaceDN/>
      <w:adjustRightInd/>
      <w:spacing w:before="60" w:after="0"/>
      <w:textAlignment w:val="auto"/>
    </w:pPr>
    <w:rPr>
      <w:rFonts w:ascii="Arial" w:hAnsi="Arial" w:eastAsia="MS Mincho"/>
      <w:b/>
      <w:szCs w:val="24"/>
      <w:lang w:eastAsia="en-GB"/>
    </w:rPr>
  </w:style>
  <w:style w:type="character" w:customStyle="1" w:styleId="148">
    <w:name w:val="B1 Char"/>
    <w:qFormat/>
    <w:locked/>
    <w:uiPriority w:val="0"/>
    <w:rPr>
      <w:rFonts w:ascii="Times New Roman" w:hAnsi="Times New Roman"/>
    </w:rPr>
  </w:style>
  <w:style w:type="character" w:customStyle="1" w:styleId="149">
    <w:name w:val="EmailDiscussion Char"/>
    <w:link w:val="117"/>
    <w:qFormat/>
    <w:uiPriority w:val="0"/>
    <w:rPr>
      <w:rFonts w:ascii="Arial" w:hAnsi="Arial" w:eastAsia="MS Mincho"/>
      <w:b/>
      <w:szCs w:val="24"/>
      <w:lang w:val="en-GB" w:eastAsia="en-GB"/>
    </w:rPr>
  </w:style>
  <w:style w:type="paragraph" w:customStyle="1" w:styleId="150">
    <w:name w:val="EmailDiscussion2"/>
    <w:basedOn w:val="112"/>
    <w:qFormat/>
    <w:uiPriority w:val="99"/>
    <w:pPr>
      <w:overflowPunct/>
      <w:autoSpaceDE/>
      <w:autoSpaceDN/>
      <w:adjustRightInd/>
      <w:textAlignment w:val="auto"/>
    </w:pPr>
    <w:rPr>
      <w:lang w:val="en-GB" w:eastAsia="en-GB"/>
    </w:rPr>
  </w:style>
  <w:style w:type="character" w:customStyle="1" w:styleId="151">
    <w:name w:val="B3 Char"/>
    <w:qFormat/>
    <w:uiPriority w:val="0"/>
    <w:rPr>
      <w:rFonts w:ascii="Times New Roman" w:hAnsi="Times New Roman"/>
      <w:lang w:val="en-GB" w:eastAsia="en-US"/>
    </w:rPr>
  </w:style>
  <w:style w:type="paragraph" w:customStyle="1" w:styleId="152">
    <w:name w:val="Revision"/>
    <w:hidden/>
    <w:semiHidden/>
    <w:qFormat/>
    <w:uiPriority w:val="99"/>
    <w:rPr>
      <w:rFonts w:ascii="Times New Roman" w:hAnsi="Times New Roman" w:cs="Times New Roman" w:eastAsiaTheme="minorEastAsia"/>
      <w:lang w:val="en-GB" w:eastAsia="ja-JP"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703781-FD20-424F-B4B7-A0889FFFF297}">
  <ds:schemaRefs/>
</ds:datastoreItem>
</file>

<file path=customXml/itemProps3.xml><?xml version="1.0" encoding="utf-8"?>
<ds:datastoreItem xmlns:ds="http://schemas.openxmlformats.org/officeDocument/2006/customXml" ds:itemID="{942E955E-868B-492E-8514-8AB414D2E2F2}">
  <ds:schemaRefs/>
</ds:datastoreItem>
</file>

<file path=customXml/itemProps4.xml><?xml version="1.0" encoding="utf-8"?>
<ds:datastoreItem xmlns:ds="http://schemas.openxmlformats.org/officeDocument/2006/customXml" ds:itemID="{456CE812-83DC-43E8-86D6-7C46DB359E16}">
  <ds:schemaRefs/>
</ds:datastoreItem>
</file>

<file path=customXml/itemProps5.xml><?xml version="1.0" encoding="utf-8"?>
<ds:datastoreItem xmlns:ds="http://schemas.openxmlformats.org/officeDocument/2006/customXml" ds:itemID="{21F1F2EA-2CC2-486E-A085-90B25694DFF3}">
  <ds:schemaRefs/>
</ds:datastoreItem>
</file>

<file path=docProps/app.xml><?xml version="1.0" encoding="utf-8"?>
<Properties xmlns="http://schemas.openxmlformats.org/officeDocument/2006/extended-properties" xmlns:vt="http://schemas.openxmlformats.org/officeDocument/2006/docPropsVTypes">
  <Template>Normal</Template>
  <Company>Ericsson</Company>
  <Pages>6</Pages>
  <Words>1790</Words>
  <Characters>10208</Characters>
  <Lines>85</Lines>
  <Paragraphs>23</Paragraphs>
  <TotalTime>1</TotalTime>
  <ScaleCrop>false</ScaleCrop>
  <LinksUpToDate>false</LinksUpToDate>
  <CharactersWithSpaces>11975</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2022-05-12T08:57:00Z</dcterms:created>
  <dc:creator>Mattias</dc:creator>
  <cp:keywords>3GPP; Ericsson; TDoc</cp:keywords>
  <cp:lastModifiedBy>WEN.WU5</cp:lastModifiedBy>
  <cp:lastPrinted>2008-01-31T07:09:00Z</cp:lastPrinted>
  <dcterms:modified xsi:type="dcterms:W3CDTF">2022-05-12T10:28:19Z</dcterms:modified>
  <dc:title>Ericsson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1652250957</vt:lpwstr>
  </property>
  <property fmtid="{D5CDD505-2E9C-101B-9397-08002B2CF9AE}" pid="8" name="KSOProductBuildVer">
    <vt:lpwstr>2052-11.8.2.8696</vt:lpwstr>
  </property>
</Properties>
</file>