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5771" w14:textId="77777777" w:rsidR="008C7C46" w:rsidRDefault="008C7C46" w:rsidP="008C7C46">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t>Tdocs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11F57594" w:rsidR="00BA038E" w:rsidRDefault="003852A7">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49FAAC43" w:rsidR="00BA038E" w:rsidRDefault="003852A7">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733AB9D3" w:rsidR="00BA038E" w:rsidRDefault="003852A7">
            <w:pPr>
              <w:spacing w:after="0"/>
              <w:rPr>
                <w:sz w:val="20"/>
                <w:szCs w:val="20"/>
                <w:lang w:eastAsia="zh-CN"/>
              </w:rPr>
            </w:pPr>
            <w:r>
              <w:rPr>
                <w:rFonts w:hint="eastAsia"/>
                <w:sz w:val="20"/>
                <w:szCs w:val="20"/>
                <w:lang w:eastAsia="zh-CN"/>
              </w:rPr>
              <w:t>y</w:t>
            </w:r>
            <w:r>
              <w:rPr>
                <w:sz w:val="20"/>
                <w:szCs w:val="20"/>
                <w:lang w:eastAsia="zh-CN"/>
              </w:rPr>
              <w:t>inghaoguo@huawei.com</w:t>
            </w:r>
          </w:p>
        </w:tc>
      </w:tr>
      <w:tr w:rsidR="00BA038E" w14:paraId="7FF0A8C5" w14:textId="77777777">
        <w:tc>
          <w:tcPr>
            <w:tcW w:w="1760" w:type="dxa"/>
          </w:tcPr>
          <w:p w14:paraId="7A8DF2B2" w14:textId="55921F1F" w:rsidR="00BA038E" w:rsidRDefault="00C23E52">
            <w:pPr>
              <w:spacing w:after="0"/>
              <w:rPr>
                <w:sz w:val="20"/>
                <w:szCs w:val="20"/>
                <w:lang w:eastAsia="zh-CN"/>
              </w:rPr>
            </w:pPr>
            <w:r>
              <w:rPr>
                <w:rFonts w:hint="eastAsia"/>
                <w:sz w:val="20"/>
                <w:szCs w:val="20"/>
                <w:lang w:eastAsia="zh-CN"/>
              </w:rPr>
              <w:t>CATT</w:t>
            </w:r>
          </w:p>
        </w:tc>
        <w:tc>
          <w:tcPr>
            <w:tcW w:w="2687" w:type="dxa"/>
          </w:tcPr>
          <w:p w14:paraId="32A49DE9" w14:textId="61C0C09A" w:rsidR="00BA038E" w:rsidRDefault="00C23E52">
            <w:pPr>
              <w:spacing w:after="0"/>
              <w:rPr>
                <w:sz w:val="20"/>
                <w:szCs w:val="20"/>
                <w:lang w:eastAsia="zh-CN"/>
              </w:rPr>
            </w:pPr>
            <w:r>
              <w:rPr>
                <w:rFonts w:hint="eastAsia"/>
                <w:sz w:val="20"/>
                <w:szCs w:val="20"/>
                <w:lang w:eastAsia="zh-CN"/>
              </w:rPr>
              <w:t>Jianxiang Li</w:t>
            </w:r>
          </w:p>
        </w:tc>
        <w:tc>
          <w:tcPr>
            <w:tcW w:w="4903" w:type="dxa"/>
          </w:tcPr>
          <w:p w14:paraId="704AC83C" w14:textId="1B5FDF7A" w:rsidR="00BA038E" w:rsidRDefault="00C23E52">
            <w:pPr>
              <w:spacing w:after="0"/>
              <w:rPr>
                <w:sz w:val="20"/>
                <w:szCs w:val="20"/>
                <w:lang w:eastAsia="zh-CN"/>
              </w:rPr>
            </w:pPr>
            <w:r>
              <w:rPr>
                <w:rFonts w:hint="eastAsia"/>
                <w:sz w:val="20"/>
                <w:szCs w:val="20"/>
                <w:lang w:eastAsia="zh-CN"/>
              </w:rPr>
              <w:t>lijianxiang@catt.cn</w:t>
            </w:r>
          </w:p>
        </w:tc>
      </w:tr>
      <w:tr w:rsidR="00BA038E" w14:paraId="0A1B5F3F" w14:textId="77777777">
        <w:tc>
          <w:tcPr>
            <w:tcW w:w="1760" w:type="dxa"/>
          </w:tcPr>
          <w:p w14:paraId="4E877AE3" w14:textId="406EB428" w:rsidR="00BA038E" w:rsidRDefault="007A544F">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687" w:type="dxa"/>
          </w:tcPr>
          <w:p w14:paraId="3E8230E7" w14:textId="4AF9B6C7" w:rsidR="00BA038E" w:rsidRDefault="007A544F">
            <w:pPr>
              <w:spacing w:after="0"/>
              <w:rPr>
                <w:sz w:val="20"/>
                <w:szCs w:val="20"/>
                <w:lang w:eastAsia="zh-CN"/>
              </w:rPr>
            </w:pPr>
            <w:r>
              <w:rPr>
                <w:rFonts w:hint="eastAsia"/>
                <w:sz w:val="20"/>
                <w:szCs w:val="20"/>
                <w:lang w:eastAsia="zh-CN"/>
              </w:rPr>
              <w:t>X</w:t>
            </w:r>
            <w:r>
              <w:rPr>
                <w:sz w:val="20"/>
                <w:szCs w:val="20"/>
                <w:lang w:eastAsia="zh-CN"/>
              </w:rPr>
              <w:t>iaolong Li</w:t>
            </w:r>
          </w:p>
        </w:tc>
        <w:tc>
          <w:tcPr>
            <w:tcW w:w="4903" w:type="dxa"/>
          </w:tcPr>
          <w:p w14:paraId="239AF0FA" w14:textId="08EEB776" w:rsidR="00BA038E" w:rsidRDefault="007A544F">
            <w:pPr>
              <w:spacing w:after="0"/>
              <w:rPr>
                <w:sz w:val="20"/>
                <w:szCs w:val="20"/>
                <w:lang w:eastAsia="zh-CN"/>
              </w:rPr>
            </w:pPr>
            <w:r>
              <w:rPr>
                <w:sz w:val="20"/>
                <w:szCs w:val="20"/>
                <w:lang w:eastAsia="zh-CN"/>
              </w:rPr>
              <w:t>lixiaolong1@xiaomi.com</w:t>
            </w: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afe"/>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r w:rsidRPr="00986E19">
              <w:rPr>
                <w:rFonts w:eastAsia="MS PGothic"/>
                <w:b/>
                <w:i/>
                <w:iCs/>
              </w:rPr>
              <w:t>RxTx</w:t>
            </w:r>
            <w:r w:rsidRPr="00986E19">
              <w:rPr>
                <w:b/>
                <w:i/>
                <w:iCs/>
              </w:rPr>
              <w:t xml:space="preserve"> Timing Error Group (UE RxTx TEG):</w:t>
            </w:r>
            <w:r w:rsidRPr="00986E19">
              <w:rPr>
                <w:i/>
                <w:iCs/>
              </w:rPr>
              <w:t xml:space="preserve"> A UE RxTx TEG </w:t>
            </w:r>
            <w:r w:rsidRPr="00986E19">
              <w:rPr>
                <w:i/>
                <w:iCs/>
                <w:lang w:eastAsia="x-none"/>
              </w:rPr>
              <w:t xml:space="preserve">is associated with one or more UE Rx-Tx time difference measurements, which have the ‘Rx timing errors+Tx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is associated with one or more gNB Rx-Tx time difference measurements, which have the ‘Rx timing errors+Tx timing errors’ difference within a certain margin.</w:t>
            </w:r>
          </w:p>
          <w:p w14:paraId="6524B7FB" w14:textId="77777777" w:rsidR="00B5711D" w:rsidRPr="00986E19" w:rsidRDefault="00B5711D" w:rsidP="00986E19">
            <w:pPr>
              <w:rPr>
                <w:rFonts w:eastAsia="等线"/>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3680715"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61F07BCC" w14:textId="77777777" w:rsidR="00B5711D" w:rsidRDefault="00B5711D" w:rsidP="00276035">
            <w:r>
              <w:rPr>
                <w:rFonts w:hint="eastAsia"/>
                <w:lang w:eastAsia="ja-JP"/>
              </w:rPr>
              <w:t>According to RAN1 LS in R2-2200092: "It is up to RAN2 to decide how to indicate the change of the Tx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C9C639C" w14:textId="5CA7B1F0" w:rsidR="00B5711D" w:rsidRPr="00276035" w:rsidRDefault="00B5711D" w:rsidP="00276035">
            <w:pPr>
              <w:rPr>
                <w:b/>
                <w:bCs/>
                <w:sz w:val="20"/>
                <w:szCs w:val="20"/>
              </w:rPr>
            </w:pPr>
            <w:r w:rsidRPr="00276035">
              <w:rPr>
                <w:b/>
                <w:bCs/>
                <w:u w:val="single"/>
              </w:rPr>
              <w:t>Issue:</w:t>
            </w:r>
            <w:r>
              <w:t xml:space="preserve"> </w:t>
            </w:r>
            <w:bookmarkStart w:id="4" w:name="OLE_LINK37"/>
            <w:bookmarkStart w:id="5" w:name="OLE_LINK38"/>
            <w:r>
              <w:t>W</w:t>
            </w:r>
            <w:r>
              <w:rPr>
                <w:rFonts w:hint="eastAsia"/>
              </w:rPr>
              <w:t>hat is the purpose of periodically reporting the same information?</w:t>
            </w:r>
            <w:r>
              <w:t xml:space="preserve"> Or only a-periodic report is required </w:t>
            </w:r>
            <w:bookmarkEnd w:id="4"/>
            <w:bookmarkEnd w:id="5"/>
            <w:r w:rsidRPr="00276035">
              <w:t xml:space="preserve">(i.e., a report when the </w:t>
            </w:r>
            <w:r w:rsidRPr="00276035">
              <w:lastRenderedPageBreak/>
              <w:t>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The gNB may activate the pre-configurated measurement gap upon receiving the request from a UE or LMF."</w:t>
            </w:r>
          </w:p>
          <w:p w14:paraId="6935FA87" w14:textId="05BE520F"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 xml:space="preserve">Can LMF ask the gNB to </w:t>
            </w:r>
            <w:r w:rsidRPr="004F1791">
              <w:rPr>
                <w:highlight w:val="yellow"/>
                <w:lang w:eastAsia="ja-JP"/>
              </w:rPr>
              <w:t>activate</w:t>
            </w:r>
            <w:r>
              <w:rPr>
                <w:lang w:eastAsia="ja-JP"/>
              </w:rPr>
              <w:t xml:space="preserve"> the MG (e.g. via RRC) even if the gNB did not provide the preconfigured measurement gaps?</w:t>
            </w:r>
          </w:p>
          <w:p w14:paraId="744C319D" w14:textId="77777777"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6"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ins w:id="7" w:author="Intel-Yi1" w:date="2022-02-10T17:22:00Z">
              <w:r>
                <w:rPr>
                  <w:lang w:val="en-GB"/>
                </w:rPr>
                <w:t>FFS:</w:t>
              </w:r>
              <w:r w:rsidRPr="00CD7E08">
                <w:t>Whether PRS processing window configuration is provided per BWP or not is up to RAN1 to decide.</w:t>
              </w:r>
            </w:ins>
          </w:p>
          <w:p w14:paraId="65B591A3" w14:textId="0920AED6" w:rsidR="00276035" w:rsidRDefault="00276035" w:rsidP="00276035">
            <w:r>
              <w:t>FFS: Whether UE can be configured with multiple PRS processing windows should be decided by RAN1.</w:t>
            </w:r>
          </w:p>
          <w:p w14:paraId="71C5E9B1" w14:textId="1C0C51B8" w:rsidR="00276035" w:rsidRDefault="00276035" w:rsidP="00276035">
            <w:r>
              <w:t>FFS on the max number of PPW configurations (from Stage 2 discussion)</w:t>
            </w:r>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afe"/>
        <w:tblW w:w="13058" w:type="dxa"/>
        <w:tblInd w:w="118" w:type="dxa"/>
        <w:tblLook w:val="04A0" w:firstRow="1" w:lastRow="0" w:firstColumn="1" w:lastColumn="0" w:noHBand="0" w:noVBand="1"/>
      </w:tblPr>
      <w:tblGrid>
        <w:gridCol w:w="1189"/>
        <w:gridCol w:w="1116"/>
        <w:gridCol w:w="10753"/>
      </w:tblGrid>
      <w:tr w:rsidR="000E73D2" w14:paraId="78568A73" w14:textId="77777777" w:rsidTr="00C44415">
        <w:tc>
          <w:tcPr>
            <w:tcW w:w="1189"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1116"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1075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C44415">
        <w:tc>
          <w:tcPr>
            <w:tcW w:w="1189" w:type="dxa"/>
          </w:tcPr>
          <w:p w14:paraId="2B0A5464" w14:textId="6D94A885" w:rsidR="000E73D2" w:rsidRDefault="002B3F4E" w:rsidP="00196B6E">
            <w:pPr>
              <w:spacing w:after="0"/>
              <w:rPr>
                <w:sz w:val="20"/>
                <w:szCs w:val="20"/>
                <w:lang w:eastAsia="zh-CN"/>
              </w:rPr>
            </w:pPr>
            <w:r>
              <w:rPr>
                <w:rFonts w:hint="eastAsia"/>
                <w:sz w:val="20"/>
                <w:szCs w:val="20"/>
                <w:lang w:eastAsia="zh-CN"/>
              </w:rPr>
              <w:t>H</w:t>
            </w:r>
            <w:r>
              <w:rPr>
                <w:sz w:val="20"/>
                <w:szCs w:val="20"/>
                <w:lang w:eastAsia="zh-CN"/>
              </w:rPr>
              <w:t>uawei, HiIilicon</w:t>
            </w:r>
          </w:p>
        </w:tc>
        <w:tc>
          <w:tcPr>
            <w:tcW w:w="1116" w:type="dxa"/>
          </w:tcPr>
          <w:p w14:paraId="4654487C" w14:textId="53AB18B8" w:rsidR="000E73D2" w:rsidRDefault="00CF0745" w:rsidP="00196B6E">
            <w:pPr>
              <w:spacing w:after="0"/>
              <w:rPr>
                <w:lang w:eastAsia="zh-CN"/>
              </w:rPr>
            </w:pPr>
            <w:r>
              <w:rPr>
                <w:rFonts w:hint="eastAsia"/>
                <w:lang w:eastAsia="zh-CN"/>
              </w:rPr>
              <w:t>Y</w:t>
            </w:r>
            <w:r>
              <w:rPr>
                <w:lang w:eastAsia="zh-CN"/>
              </w:rPr>
              <w:t xml:space="preserve">es, </w:t>
            </w:r>
            <w:r w:rsidR="00E21EA5">
              <w:rPr>
                <w:lang w:eastAsia="zh-CN"/>
              </w:rPr>
              <w:t>Also s</w:t>
            </w:r>
            <w:r>
              <w:rPr>
                <w:lang w:eastAsia="zh-CN"/>
              </w:rPr>
              <w:t>ee com</w:t>
            </w:r>
            <w:r w:rsidR="00A3600C">
              <w:rPr>
                <w:lang w:eastAsia="zh-CN"/>
              </w:rPr>
              <w:t>ments</w:t>
            </w:r>
          </w:p>
        </w:tc>
        <w:tc>
          <w:tcPr>
            <w:tcW w:w="10753" w:type="dxa"/>
          </w:tcPr>
          <w:p w14:paraId="1F415A56" w14:textId="49AEBA45" w:rsidR="000E73D2" w:rsidRDefault="00136089" w:rsidP="00196B6E">
            <w:pPr>
              <w:spacing w:after="0"/>
              <w:rPr>
                <w:lang w:eastAsia="zh-CN"/>
              </w:rPr>
            </w:pPr>
            <w:r>
              <w:rPr>
                <w:lang w:eastAsia="zh-CN"/>
              </w:rPr>
              <w:t>On the issue below</w:t>
            </w:r>
            <w:r w:rsidR="004F1791">
              <w:rPr>
                <w:lang w:eastAsia="zh-CN"/>
              </w:rPr>
              <w:t>, note that it has already been included in the R2 discussion for latency enhancement. Also, for the highlighted part below, it should be “configured”</w:t>
            </w:r>
            <w:r w:rsidR="006E3D79">
              <w:rPr>
                <w:lang w:eastAsia="zh-CN"/>
              </w:rPr>
              <w:t xml:space="preserve"> instead of “activate”?</w:t>
            </w:r>
          </w:p>
          <w:p w14:paraId="27847AE2" w14:textId="485A2676" w:rsidR="004F1791" w:rsidRDefault="004F1791" w:rsidP="00196B6E">
            <w:pPr>
              <w:spacing w:after="0"/>
              <w:rPr>
                <w:lang w:eastAsia="zh-CN"/>
              </w:rPr>
            </w:pPr>
            <w:r>
              <w:rPr>
                <w:noProof/>
                <w:lang w:eastAsia="zh-CN"/>
              </w:rPr>
              <w:drawing>
                <wp:inline distT="0" distB="0" distL="0" distR="0" wp14:anchorId="45824852" wp14:editId="321D4842">
                  <wp:extent cx="671512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15125" cy="1828800"/>
                          </a:xfrm>
                          <a:prstGeom prst="rect">
                            <a:avLst/>
                          </a:prstGeom>
                        </pic:spPr>
                      </pic:pic>
                    </a:graphicData>
                  </a:graphic>
                </wp:inline>
              </w:drawing>
            </w:r>
          </w:p>
          <w:p w14:paraId="2A6D93D1" w14:textId="790DBE10" w:rsidR="00136089" w:rsidRDefault="00136089" w:rsidP="00196B6E">
            <w:pPr>
              <w:spacing w:after="0"/>
              <w:rPr>
                <w:lang w:eastAsia="zh-CN"/>
              </w:rPr>
            </w:pPr>
          </w:p>
        </w:tc>
      </w:tr>
      <w:tr w:rsidR="00C44415" w14:paraId="3888A1FE" w14:textId="77777777" w:rsidTr="00C44415">
        <w:tc>
          <w:tcPr>
            <w:tcW w:w="1189" w:type="dxa"/>
          </w:tcPr>
          <w:p w14:paraId="675BA696" w14:textId="4D62C501" w:rsidR="00C44415" w:rsidRDefault="00C44415" w:rsidP="00C44415">
            <w:pPr>
              <w:spacing w:after="0"/>
              <w:rPr>
                <w:sz w:val="20"/>
                <w:szCs w:val="20"/>
                <w:lang w:eastAsia="ja-JP"/>
              </w:rPr>
            </w:pPr>
            <w:r>
              <w:rPr>
                <w:sz w:val="20"/>
                <w:szCs w:val="20"/>
                <w:lang w:eastAsia="zh-CN"/>
              </w:rPr>
              <w:t>Nokia</w:t>
            </w:r>
          </w:p>
        </w:tc>
        <w:tc>
          <w:tcPr>
            <w:tcW w:w="1116" w:type="dxa"/>
          </w:tcPr>
          <w:p w14:paraId="4212ADB8" w14:textId="560D8B96" w:rsidR="00C44415" w:rsidRDefault="00C44415" w:rsidP="00C44415">
            <w:pPr>
              <w:spacing w:after="0"/>
              <w:rPr>
                <w:sz w:val="20"/>
                <w:szCs w:val="20"/>
                <w:lang w:eastAsia="ja-JP"/>
              </w:rPr>
            </w:pPr>
            <w:r>
              <w:rPr>
                <w:lang w:eastAsia="zh-CN"/>
              </w:rPr>
              <w:t>Yes</w:t>
            </w:r>
          </w:p>
        </w:tc>
        <w:tc>
          <w:tcPr>
            <w:tcW w:w="10753" w:type="dxa"/>
          </w:tcPr>
          <w:p w14:paraId="0E504EAE" w14:textId="77777777" w:rsidR="00C44415" w:rsidRDefault="00C44415" w:rsidP="00532D61">
            <w:pPr>
              <w:spacing w:after="0"/>
              <w:rPr>
                <w:lang w:eastAsia="zh-CN"/>
              </w:rPr>
            </w:pPr>
            <w:r>
              <w:rPr>
                <w:lang w:eastAsia="zh-CN"/>
              </w:rPr>
              <w:t xml:space="preserve">We are fine to send the issues in the Table to RAN1 for their </w:t>
            </w:r>
            <w:r w:rsidR="00532D61">
              <w:rPr>
                <w:lang w:eastAsia="zh-CN"/>
              </w:rPr>
              <w:t>inputs,</w:t>
            </w:r>
            <w:r>
              <w:rPr>
                <w:lang w:eastAsia="zh-CN"/>
              </w:rPr>
              <w:t xml:space="preserve"> but our understanding </w:t>
            </w:r>
            <w:r w:rsidR="00532D61">
              <w:rPr>
                <w:lang w:eastAsia="zh-CN"/>
              </w:rPr>
              <w:t>o</w:t>
            </w:r>
            <w:r>
              <w:rPr>
                <w:lang w:eastAsia="zh-CN"/>
              </w:rPr>
              <w:t>n the question of periodic or aperiodic TEG reporting</w:t>
            </w:r>
            <w:r w:rsidR="00532D61">
              <w:rPr>
                <w:lang w:eastAsia="zh-CN"/>
              </w:rPr>
              <w:t xml:space="preserve"> is</w:t>
            </w:r>
            <w:r>
              <w:rPr>
                <w:lang w:eastAsia="zh-CN"/>
              </w:rPr>
              <w:t xml:space="preserve">, RAN1 clearly agreed that periodic reporting for </w:t>
            </w:r>
            <w:r w:rsidRPr="00C44415">
              <w:rPr>
                <w:b/>
                <w:bCs/>
                <w:lang w:eastAsia="zh-CN"/>
              </w:rPr>
              <w:t>UL-TDOA</w:t>
            </w:r>
            <w:r>
              <w:rPr>
                <w:lang w:eastAsia="zh-CN"/>
              </w:rPr>
              <w:t xml:space="preserve"> should be supported.</w:t>
            </w:r>
          </w:p>
          <w:p w14:paraId="601A922E" w14:textId="77777777" w:rsidR="003B34A4" w:rsidRDefault="003B34A4" w:rsidP="00532D61">
            <w:pPr>
              <w:spacing w:after="0"/>
              <w:rPr>
                <w:sz w:val="20"/>
                <w:szCs w:val="20"/>
                <w:lang w:eastAsia="ja-JP"/>
              </w:rPr>
            </w:pPr>
          </w:p>
          <w:p w14:paraId="34594A8C" w14:textId="55A72213" w:rsidR="003B34A4" w:rsidRDefault="003B34A4" w:rsidP="00532D61">
            <w:pPr>
              <w:spacing w:after="0"/>
              <w:rPr>
                <w:sz w:val="20"/>
                <w:szCs w:val="20"/>
                <w:lang w:eastAsia="ja-JP"/>
              </w:rPr>
            </w:pPr>
            <w:r>
              <w:rPr>
                <w:sz w:val="20"/>
                <w:szCs w:val="20"/>
                <w:lang w:eastAsia="ja-JP"/>
              </w:rPr>
              <w:t xml:space="preserve">On PPW, the question 9 in </w:t>
            </w:r>
            <w:r w:rsidR="002A1429">
              <w:rPr>
                <w:sz w:val="20"/>
                <w:szCs w:val="20"/>
                <w:lang w:eastAsia="ja-JP"/>
              </w:rPr>
              <w:t xml:space="preserve">[Pre117-e][607] “whether </w:t>
            </w:r>
            <w:r w:rsidRPr="003B34A4">
              <w:rPr>
                <w:sz w:val="20"/>
                <w:szCs w:val="20"/>
                <w:lang w:eastAsia="ja-JP"/>
              </w:rPr>
              <w:t>UE should monitor PDCCH during RAR window/msgB window ot contention resolution timer for the affected symbols by PPW</w:t>
            </w:r>
            <w:r w:rsidR="002A1429">
              <w:rPr>
                <w:sz w:val="20"/>
                <w:szCs w:val="20"/>
                <w:lang w:eastAsia="ja-JP"/>
              </w:rPr>
              <w:t>” should be added to the Table above as there seems to be a majority to send this question to RAN1.</w:t>
            </w:r>
          </w:p>
          <w:p w14:paraId="07D31C55" w14:textId="48F28BCC" w:rsidR="002A1429" w:rsidRDefault="002A1429" w:rsidP="00532D61">
            <w:pPr>
              <w:spacing w:after="0"/>
              <w:rPr>
                <w:sz w:val="20"/>
                <w:szCs w:val="20"/>
                <w:lang w:eastAsia="ja-JP"/>
              </w:rPr>
            </w:pPr>
          </w:p>
          <w:p w14:paraId="1BE9DD50" w14:textId="5C2CFFE5" w:rsidR="002A1429" w:rsidRDefault="002A1429" w:rsidP="00532D61">
            <w:pPr>
              <w:spacing w:after="0"/>
              <w:rPr>
                <w:sz w:val="20"/>
                <w:szCs w:val="20"/>
                <w:lang w:eastAsia="ja-JP"/>
              </w:rPr>
            </w:pPr>
            <w:r>
              <w:rPr>
                <w:sz w:val="20"/>
                <w:szCs w:val="20"/>
                <w:lang w:eastAsia="ja-JP"/>
              </w:rPr>
              <w:t xml:space="preserve">On PRU, we are only waiting for answers from RAN1 for the questions (about antenna orientation information and need for LMF to signal the corrections to target UE for UE-based positioning) </w:t>
            </w:r>
            <w:r w:rsidR="00D0463C">
              <w:rPr>
                <w:sz w:val="20"/>
                <w:szCs w:val="20"/>
                <w:lang w:eastAsia="ja-JP"/>
              </w:rPr>
              <w:t xml:space="preserve">that </w:t>
            </w:r>
            <w:r>
              <w:rPr>
                <w:sz w:val="20"/>
                <w:szCs w:val="20"/>
                <w:lang w:eastAsia="ja-JP"/>
              </w:rPr>
              <w:t>we had already sent to them in LS</w:t>
            </w:r>
            <w:r w:rsidR="00D0463C">
              <w:rPr>
                <w:sz w:val="20"/>
                <w:szCs w:val="20"/>
                <w:lang w:eastAsia="ja-JP"/>
              </w:rPr>
              <w:t xml:space="preserve"> </w:t>
            </w:r>
            <w:r w:rsidR="00D0463C" w:rsidRPr="00D0463C">
              <w:rPr>
                <w:sz w:val="20"/>
                <w:szCs w:val="20"/>
                <w:lang w:eastAsia="ja-JP"/>
              </w:rPr>
              <w:t>R2-2111488</w:t>
            </w:r>
            <w:r>
              <w:rPr>
                <w:sz w:val="20"/>
                <w:szCs w:val="20"/>
                <w:lang w:eastAsia="ja-JP"/>
              </w:rPr>
              <w:t>. We should ask them to reply to our LS instead of asking RAN1 to decide whether PRU is supported in Rel-17.</w:t>
            </w:r>
          </w:p>
          <w:p w14:paraId="4561D5D3" w14:textId="5554CD21" w:rsidR="00D0463C" w:rsidRDefault="00D0463C" w:rsidP="00532D61">
            <w:pPr>
              <w:spacing w:after="0"/>
              <w:rPr>
                <w:sz w:val="20"/>
                <w:szCs w:val="20"/>
                <w:lang w:eastAsia="ja-JP"/>
              </w:rPr>
            </w:pPr>
          </w:p>
          <w:p w14:paraId="314E3DC9" w14:textId="257870E6" w:rsidR="00D0463C" w:rsidRDefault="00D0463C" w:rsidP="00532D61">
            <w:pPr>
              <w:spacing w:after="0"/>
              <w:rPr>
                <w:sz w:val="20"/>
                <w:szCs w:val="20"/>
                <w:lang w:eastAsia="ja-JP"/>
              </w:rPr>
            </w:pPr>
            <w:r>
              <w:rPr>
                <w:sz w:val="20"/>
                <w:szCs w:val="20"/>
                <w:lang w:eastAsia="ja-JP"/>
              </w:rPr>
              <w:t>On TEG definitions, we can see how the discussions go in RAN2 but anyway send a LS to RAN1 to either ask for clarifications on the definitions or to confirm with RAN1 our understanding of the definitions based on outcome of RAN2 discussions.</w:t>
            </w:r>
          </w:p>
          <w:p w14:paraId="619F54E4" w14:textId="352700DF" w:rsidR="002A1429" w:rsidRDefault="002A1429" w:rsidP="00532D61">
            <w:pPr>
              <w:spacing w:after="0"/>
              <w:rPr>
                <w:sz w:val="20"/>
                <w:szCs w:val="20"/>
                <w:lang w:eastAsia="ja-JP"/>
              </w:rPr>
            </w:pPr>
          </w:p>
        </w:tc>
      </w:tr>
      <w:tr w:rsidR="00C44415" w14:paraId="6A07E9F8" w14:textId="77777777" w:rsidTr="00C44415">
        <w:tc>
          <w:tcPr>
            <w:tcW w:w="1189" w:type="dxa"/>
          </w:tcPr>
          <w:p w14:paraId="6CBB6E14" w14:textId="3D7ED9C9" w:rsidR="00C44415" w:rsidRDefault="00685FC2" w:rsidP="00C44415">
            <w:pPr>
              <w:spacing w:after="0"/>
              <w:rPr>
                <w:sz w:val="20"/>
                <w:szCs w:val="20"/>
                <w:lang w:eastAsia="ja-JP"/>
              </w:rPr>
            </w:pPr>
            <w:r>
              <w:rPr>
                <w:sz w:val="20"/>
                <w:szCs w:val="20"/>
                <w:lang w:eastAsia="ja-JP"/>
              </w:rPr>
              <w:t>vivo</w:t>
            </w:r>
          </w:p>
        </w:tc>
        <w:tc>
          <w:tcPr>
            <w:tcW w:w="1116" w:type="dxa"/>
          </w:tcPr>
          <w:p w14:paraId="6D7AE92D" w14:textId="7AF02649" w:rsidR="00C44415" w:rsidRDefault="00685FC2" w:rsidP="00C44415">
            <w:pPr>
              <w:spacing w:after="0"/>
              <w:rPr>
                <w:sz w:val="20"/>
                <w:szCs w:val="20"/>
                <w:lang w:val="en-GB" w:eastAsia="zh-CN"/>
              </w:rPr>
            </w:pPr>
            <w:r>
              <w:rPr>
                <w:sz w:val="20"/>
                <w:szCs w:val="20"/>
                <w:lang w:val="en-GB" w:eastAsia="zh-CN"/>
              </w:rPr>
              <w:t>Yes</w:t>
            </w:r>
          </w:p>
        </w:tc>
        <w:tc>
          <w:tcPr>
            <w:tcW w:w="10753" w:type="dxa"/>
          </w:tcPr>
          <w:p w14:paraId="1F50638D" w14:textId="56786C61" w:rsidR="00C44415" w:rsidRPr="00685FC2" w:rsidRDefault="00685FC2" w:rsidP="00C44415">
            <w:pPr>
              <w:spacing w:after="0"/>
              <w:rPr>
                <w:sz w:val="20"/>
                <w:szCs w:val="20"/>
                <w:lang w:eastAsia="zh-CN"/>
              </w:rPr>
            </w:pPr>
            <w:r>
              <w:rPr>
                <w:sz w:val="20"/>
                <w:szCs w:val="20"/>
                <w:lang w:val="en-GB" w:eastAsia="zh-CN"/>
              </w:rPr>
              <w:t>Regarding Nokia’s comments for PRU,  except for asking them to reply to our previous LS</w:t>
            </w:r>
            <w:r>
              <w:rPr>
                <w:sz w:val="20"/>
                <w:szCs w:val="20"/>
                <w:lang w:eastAsia="zh-CN"/>
              </w:rPr>
              <w:t>, we think we can also ask them for the suggestion of whether PRU is supported in R17 or not(i.e., postpone it to R18) based on the current progress and difficulty of RAN2 and SA2.</w:t>
            </w:r>
          </w:p>
        </w:tc>
      </w:tr>
      <w:tr w:rsidR="00C44415" w14:paraId="615A81E8" w14:textId="77777777" w:rsidTr="00C44415">
        <w:tc>
          <w:tcPr>
            <w:tcW w:w="1189" w:type="dxa"/>
          </w:tcPr>
          <w:p w14:paraId="4CA7AF73" w14:textId="5DFD9E94" w:rsidR="00C44415" w:rsidRDefault="0008473D" w:rsidP="00C44415">
            <w:pPr>
              <w:spacing w:after="0"/>
              <w:rPr>
                <w:sz w:val="20"/>
                <w:szCs w:val="20"/>
                <w:lang w:eastAsia="zh-CN"/>
              </w:rPr>
            </w:pPr>
            <w:r>
              <w:rPr>
                <w:rFonts w:hint="eastAsia"/>
                <w:sz w:val="20"/>
                <w:szCs w:val="20"/>
                <w:lang w:eastAsia="zh-CN"/>
              </w:rPr>
              <w:t>CATT</w:t>
            </w:r>
          </w:p>
        </w:tc>
        <w:tc>
          <w:tcPr>
            <w:tcW w:w="1116" w:type="dxa"/>
          </w:tcPr>
          <w:p w14:paraId="5802BF3E" w14:textId="65B98A00" w:rsidR="00C44415" w:rsidRDefault="0008473D" w:rsidP="00C44415">
            <w:pPr>
              <w:spacing w:after="0"/>
              <w:rPr>
                <w:sz w:val="20"/>
                <w:szCs w:val="20"/>
                <w:lang w:eastAsia="zh-CN"/>
              </w:rPr>
            </w:pPr>
            <w:r>
              <w:rPr>
                <w:rFonts w:hint="eastAsia"/>
                <w:sz w:val="20"/>
                <w:szCs w:val="20"/>
                <w:lang w:eastAsia="zh-CN"/>
              </w:rPr>
              <w:t>Yes</w:t>
            </w:r>
          </w:p>
        </w:tc>
        <w:tc>
          <w:tcPr>
            <w:tcW w:w="10753" w:type="dxa"/>
          </w:tcPr>
          <w:p w14:paraId="409446B1" w14:textId="59EF3532" w:rsidR="00C44415" w:rsidRPr="0008473D" w:rsidRDefault="002242B1" w:rsidP="002242B1">
            <w:pPr>
              <w:spacing w:after="0"/>
              <w:rPr>
                <w:lang w:eastAsia="zh-CN"/>
              </w:rPr>
            </w:pPr>
            <w:r>
              <w:rPr>
                <w:rFonts w:hint="eastAsia"/>
                <w:lang w:eastAsia="zh-CN"/>
              </w:rPr>
              <w:t>1.</w:t>
            </w:r>
            <w:r w:rsidR="0008473D" w:rsidRPr="0008473D">
              <w:rPr>
                <w:lang w:eastAsia="zh-CN"/>
              </w:rPr>
              <w:t xml:space="preserve">The definition of TEG is captured in TS38.305 </w:t>
            </w:r>
          </w:p>
          <w:p w14:paraId="334C9C6B" w14:textId="77777777" w:rsidR="0008473D" w:rsidRDefault="0008473D" w:rsidP="002242B1">
            <w:pPr>
              <w:spacing w:after="0"/>
              <w:rPr>
                <w:lang w:eastAsia="zh-CN"/>
              </w:rPr>
            </w:pPr>
            <w:r w:rsidRPr="0008473D">
              <w:rPr>
                <w:lang w:eastAsia="zh-CN"/>
              </w:rPr>
              <w:t>RAN1 provides further c</w:t>
            </w:r>
            <w:r>
              <w:rPr>
                <w:lang w:eastAsia="zh-CN"/>
              </w:rPr>
              <w:t xml:space="preserve">larifications </w:t>
            </w:r>
            <w:r>
              <w:rPr>
                <w:rFonts w:hint="eastAsia"/>
                <w:lang w:eastAsia="zh-CN"/>
              </w:rPr>
              <w:t xml:space="preserve">and confirmation </w:t>
            </w:r>
            <w:r>
              <w:rPr>
                <w:lang w:eastAsia="zh-CN"/>
              </w:rPr>
              <w:t>on the definition</w:t>
            </w:r>
          </w:p>
          <w:p w14:paraId="39DD16A4" w14:textId="410CB7AF" w:rsidR="002242B1" w:rsidRDefault="002242B1" w:rsidP="002242B1">
            <w:pPr>
              <w:spacing w:after="0"/>
              <w:rPr>
                <w:lang w:eastAsia="zh-CN"/>
              </w:rPr>
            </w:pPr>
            <w:r>
              <w:rPr>
                <w:rFonts w:hint="eastAsia"/>
                <w:lang w:eastAsia="zh-CN"/>
              </w:rPr>
              <w:lastRenderedPageBreak/>
              <w:t>2.</w:t>
            </w:r>
            <w:r>
              <w:t xml:space="preserve"> </w:t>
            </w:r>
            <w:r w:rsidRPr="002242B1">
              <w:rPr>
                <w:lang w:eastAsia="zh-CN"/>
              </w:rPr>
              <w:t>Periodic Tx TEG reporting/TEG change procedure</w:t>
            </w:r>
          </w:p>
          <w:p w14:paraId="25741286" w14:textId="6B4E1881" w:rsidR="002242B1" w:rsidRDefault="002242B1" w:rsidP="002242B1">
            <w:pPr>
              <w:spacing w:after="0"/>
              <w:rPr>
                <w:lang w:eastAsia="zh-CN"/>
              </w:rPr>
            </w:pPr>
            <w:r>
              <w:rPr>
                <w:rFonts w:hint="eastAsia"/>
                <w:lang w:eastAsia="zh-CN"/>
              </w:rPr>
              <w:t xml:space="preserve">CATT understand that the report is </w:t>
            </w:r>
            <w:r>
              <w:rPr>
                <w:rFonts w:hint="eastAsia"/>
                <w:lang w:eastAsia="ja-JP"/>
              </w:rPr>
              <w:t>to indicate the change of the Tx TEG association during the configured period (e.g., using the timestamps)</w:t>
            </w:r>
            <w:r>
              <w:rPr>
                <w:rFonts w:hint="eastAsia"/>
                <w:lang w:eastAsia="zh-CN"/>
              </w:rPr>
              <w:t xml:space="preserve">. </w:t>
            </w:r>
            <w:r>
              <w:rPr>
                <w:lang w:eastAsia="zh-CN"/>
              </w:rPr>
              <w:t>T</w:t>
            </w:r>
            <w:r>
              <w:rPr>
                <w:rFonts w:hint="eastAsia"/>
                <w:lang w:eastAsia="zh-CN"/>
              </w:rPr>
              <w:t xml:space="preserve">he motivation of configured </w:t>
            </w:r>
            <w:r>
              <w:rPr>
                <w:lang w:eastAsia="zh-CN"/>
              </w:rPr>
              <w:t>period</w:t>
            </w:r>
            <w:r>
              <w:rPr>
                <w:rFonts w:hint="eastAsia"/>
                <w:lang w:eastAsia="zh-CN"/>
              </w:rPr>
              <w:t xml:space="preserve"> is to avoid too many RRC messages to network in case the change is too frequent. </w:t>
            </w:r>
            <w:r>
              <w:rPr>
                <w:lang w:eastAsia="zh-CN"/>
              </w:rPr>
              <w:t>S</w:t>
            </w:r>
            <w:r>
              <w:rPr>
                <w:rFonts w:hint="eastAsia"/>
                <w:lang w:eastAsia="zh-CN"/>
              </w:rPr>
              <w:t xml:space="preserve">o the report can be a-periodic report </w:t>
            </w:r>
            <w:r>
              <w:rPr>
                <w:lang w:eastAsia="zh-CN"/>
              </w:rPr>
              <w:t>which</w:t>
            </w:r>
            <w:r>
              <w:rPr>
                <w:rFonts w:hint="eastAsia"/>
                <w:lang w:eastAsia="zh-CN"/>
              </w:rPr>
              <w:t xml:space="preserve"> is configured with reportintervals to avoid too many RRC message which is something like event trigger </w:t>
            </w:r>
            <w:r>
              <w:rPr>
                <w:lang w:eastAsia="zh-CN"/>
              </w:rPr>
              <w:t>report</w:t>
            </w:r>
            <w:r>
              <w:rPr>
                <w:rFonts w:hint="eastAsia"/>
                <w:lang w:eastAsia="zh-CN"/>
              </w:rPr>
              <w:t xml:space="preserve"> in RRC.</w:t>
            </w:r>
          </w:p>
          <w:p w14:paraId="7C6FA003" w14:textId="491218CD" w:rsidR="002242B1" w:rsidRPr="0008473D" w:rsidRDefault="002242B1" w:rsidP="0008473D">
            <w:pPr>
              <w:pStyle w:val="aff6"/>
              <w:spacing w:after="0"/>
              <w:rPr>
                <w:lang w:eastAsia="zh-CN"/>
              </w:rPr>
            </w:pPr>
          </w:p>
        </w:tc>
      </w:tr>
      <w:tr w:rsidR="007A544F" w14:paraId="025D7E34" w14:textId="77777777" w:rsidTr="00C44415">
        <w:tc>
          <w:tcPr>
            <w:tcW w:w="1189" w:type="dxa"/>
          </w:tcPr>
          <w:p w14:paraId="4754647C" w14:textId="54913337" w:rsidR="007A544F" w:rsidRDefault="007A544F" w:rsidP="00C44415">
            <w:pPr>
              <w:spacing w:after="0"/>
              <w:rPr>
                <w:rFonts w:hint="eastAsia"/>
                <w:sz w:val="20"/>
                <w:szCs w:val="20"/>
                <w:lang w:eastAsia="zh-CN"/>
              </w:rPr>
            </w:pPr>
            <w:r>
              <w:rPr>
                <w:rFonts w:hint="eastAsia"/>
                <w:sz w:val="20"/>
                <w:szCs w:val="20"/>
                <w:lang w:eastAsia="zh-CN"/>
              </w:rPr>
              <w:lastRenderedPageBreak/>
              <w:t>X</w:t>
            </w:r>
            <w:r>
              <w:rPr>
                <w:sz w:val="20"/>
                <w:szCs w:val="20"/>
                <w:lang w:eastAsia="zh-CN"/>
              </w:rPr>
              <w:t>iaomi</w:t>
            </w:r>
          </w:p>
        </w:tc>
        <w:tc>
          <w:tcPr>
            <w:tcW w:w="1116" w:type="dxa"/>
          </w:tcPr>
          <w:p w14:paraId="0B9FC6F0" w14:textId="1BA2B4D2" w:rsidR="007A544F" w:rsidRDefault="007A544F" w:rsidP="00C44415">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10753" w:type="dxa"/>
          </w:tcPr>
          <w:p w14:paraId="3117F9C5" w14:textId="77777777" w:rsidR="007A544F" w:rsidRDefault="007A544F" w:rsidP="007A544F">
            <w:pPr>
              <w:spacing w:after="0"/>
              <w:rPr>
                <w:lang w:eastAsia="zh-CN"/>
              </w:rPr>
            </w:pPr>
            <w:r>
              <w:rPr>
                <w:lang w:eastAsia="zh-CN"/>
              </w:rPr>
              <w:t>When LMF provides the assistance information to gNB for pre-configured MG, the gNB decides the pre-conifigured MG but don’t send it to LMF successfully, the LMF may still can ask the gNB to activate the pre-configured MG. So we suggest to modifty the question as following:</w:t>
            </w:r>
          </w:p>
          <w:p w14:paraId="7FD5DAD8" w14:textId="77777777" w:rsidR="007A544F" w:rsidRPr="00027FDD" w:rsidRDefault="007A544F" w:rsidP="007A544F">
            <w:pPr>
              <w:spacing w:after="0"/>
              <w:rPr>
                <w:color w:val="FF0000"/>
                <w:lang w:eastAsia="zh-CN"/>
              </w:rPr>
            </w:pPr>
            <w:r>
              <w:rPr>
                <w:lang w:eastAsia="zh-CN"/>
              </w:rPr>
              <w:t xml:space="preserve">Is the LMF activation of measurement gaps only for pre-configured measurement gaps? Can LMF ask the gNB to activate the MG (e.g. via RRC) even if the gNB did not provide the preconfigured measurement gaps or </w:t>
            </w:r>
            <w:r w:rsidRPr="00027FDD">
              <w:rPr>
                <w:color w:val="FF0000"/>
                <w:lang w:eastAsia="zh-CN"/>
              </w:rPr>
              <w:t>Can LMF ask the gNB to activate the MG even if the LMF did not provide the assistance information to gNB for pre-configured MG?</w:t>
            </w:r>
          </w:p>
          <w:p w14:paraId="4A39A055" w14:textId="77777777" w:rsidR="007A544F" w:rsidRDefault="007A544F" w:rsidP="007A544F">
            <w:pPr>
              <w:spacing w:after="0"/>
              <w:rPr>
                <w:lang w:eastAsia="zh-CN"/>
              </w:rPr>
            </w:pPr>
            <w:bookmarkStart w:id="8" w:name="_GoBack"/>
            <w:bookmarkEnd w:id="8"/>
          </w:p>
          <w:p w14:paraId="0B9F8928" w14:textId="77777777" w:rsidR="007A544F" w:rsidRPr="007A544F" w:rsidRDefault="007A544F" w:rsidP="002242B1">
            <w:pPr>
              <w:spacing w:after="0"/>
              <w:rPr>
                <w:rFonts w:hint="eastAsia"/>
                <w:lang w:eastAsia="zh-CN"/>
              </w:rPr>
            </w:pPr>
          </w:p>
        </w:tc>
      </w:tr>
    </w:tbl>
    <w:p w14:paraId="359A24E2" w14:textId="70F76D80"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1"/>
        <w:rPr>
          <w:rFonts w:ascii="Times New Roman" w:hAnsi="Times New Roman"/>
        </w:rPr>
      </w:pPr>
      <w:r>
        <w:rPr>
          <w:rFonts w:ascii="Times New Roman" w:hAnsi="Times New Roman"/>
        </w:rPr>
        <w:t>Addressed open issues list</w:t>
      </w:r>
    </w:p>
    <w:tbl>
      <w:tblPr>
        <w:tblStyle w:val="afe"/>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 xml:space="preserve">The gNB may activate the pre-configurated </w:t>
            </w:r>
            <w:r w:rsidRPr="00B02CF1">
              <w:rPr>
                <w:color w:val="00B0F0"/>
              </w:rPr>
              <w:lastRenderedPageBreak/>
              <w:t>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lastRenderedPageBreak/>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lastRenderedPageBreak/>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Whether PRS processing window configuration is provided per BWP or not is up to RAN1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3 FFS on the max number of PPW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The PRS processing window configuration is provided via RRCReconfiguration message. Whether PRS processing window configuration is provided per BWP or not is up to RAN1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 xml:space="preserve">What solution should be adopted if </w:t>
            </w:r>
            <w:r w:rsidRPr="00091FA5">
              <w:rPr>
                <w:highlight w:val="lightGray"/>
                <w:lang w:val="en-GB"/>
              </w:rPr>
              <w:lastRenderedPageBreak/>
              <w:t>support PRU in Rel-17, MT-LR, MO-LR, etc</w:t>
            </w:r>
          </w:p>
        </w:tc>
        <w:tc>
          <w:tcPr>
            <w:tcW w:w="1620" w:type="dxa"/>
          </w:tcPr>
          <w:p w14:paraId="56241518" w14:textId="77777777" w:rsidR="0030486F" w:rsidRDefault="0030486F" w:rsidP="00196B6E">
            <w:r>
              <w:rPr>
                <w:lang w:val="en-GB"/>
              </w:rPr>
              <w:lastRenderedPageBreak/>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t>TEG</w:t>
            </w:r>
          </w:p>
          <w:p w14:paraId="12CD6D75"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periodic report of UE TxTEG association</w:t>
            </w:r>
            <w:r>
              <w:rPr>
                <w:lang w:eastAsia="zh-CN"/>
              </w:rPr>
              <w:t xml:space="preserve">", but what is needed seems </w:t>
            </w:r>
            <w:r>
              <w:rPr>
                <w:lang w:eastAsia="zh-CN"/>
              </w:rPr>
              <w:lastRenderedPageBreak/>
              <w:t>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lastRenderedPageBreak/>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afe"/>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1"/>
        <w:rPr>
          <w:rFonts w:ascii="Times New Roman" w:hAnsi="Times New Roman"/>
        </w:rPr>
      </w:pPr>
      <w:bookmarkStart w:id="9" w:name="_Ref434066290"/>
      <w:r>
        <w:rPr>
          <w:rFonts w:ascii="Times New Roman" w:hAnsi="Times New Roman"/>
        </w:rPr>
        <w:t>Reference</w:t>
      </w:r>
      <w:bookmarkEnd w:id="9"/>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aff6"/>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R2-2201723 Running LPP CR for NR positioning enhancements  draftCR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0C82" w14:textId="77777777" w:rsidR="004E7731" w:rsidRDefault="004E7731" w:rsidP="003852A7">
      <w:pPr>
        <w:spacing w:after="0" w:line="240" w:lineRule="auto"/>
      </w:pPr>
      <w:r>
        <w:separator/>
      </w:r>
    </w:p>
  </w:endnote>
  <w:endnote w:type="continuationSeparator" w:id="0">
    <w:p w14:paraId="16283397" w14:textId="77777777" w:rsidR="004E7731" w:rsidRDefault="004E7731" w:rsidP="0038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0B12" w14:textId="77777777" w:rsidR="004E7731" w:rsidRDefault="004E7731" w:rsidP="003852A7">
      <w:pPr>
        <w:spacing w:after="0" w:line="240" w:lineRule="auto"/>
      </w:pPr>
      <w:r>
        <w:separator/>
      </w:r>
    </w:p>
  </w:footnote>
  <w:footnote w:type="continuationSeparator" w:id="0">
    <w:p w14:paraId="5AD441AC" w14:textId="77777777" w:rsidR="004E7731" w:rsidRDefault="004E7731" w:rsidP="0038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0CE4042"/>
    <w:multiLevelType w:val="hybridMultilevel"/>
    <w:tmpl w:val="9B1C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8B5D05"/>
    <w:multiLevelType w:val="hybridMultilevel"/>
    <w:tmpl w:val="677221A4"/>
    <w:lvl w:ilvl="0" w:tplc="74FEA7A8">
      <w:start w:val="5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5E60216"/>
    <w:multiLevelType w:val="hybridMultilevel"/>
    <w:tmpl w:val="D026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33E4B"/>
    <w:multiLevelType w:val="hybridMultilevel"/>
    <w:tmpl w:val="AD123F54"/>
    <w:lvl w:ilvl="0" w:tplc="290045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8"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9"/>
  </w:num>
  <w:num w:numId="3">
    <w:abstractNumId w:val="8"/>
  </w:num>
  <w:num w:numId="4">
    <w:abstractNumId w:val="13"/>
  </w:num>
  <w:num w:numId="5">
    <w:abstractNumId w:val="19"/>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
  </w:num>
  <w:num w:numId="15">
    <w:abstractNumId w:val="16"/>
  </w:num>
  <w:num w:numId="16">
    <w:abstractNumId w:val="17"/>
  </w:num>
  <w:num w:numId="17">
    <w:abstractNumId w:val="18"/>
  </w:num>
  <w:num w:numId="18">
    <w:abstractNumId w:val="4"/>
  </w:num>
  <w:num w:numId="19">
    <w:abstractNumId w:val="2"/>
  </w:num>
  <w:num w:numId="20">
    <w:abstractNumId w:val="7"/>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Ua1AJXl1vI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27FDD"/>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560"/>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473D"/>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089"/>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2B1"/>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429"/>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3F4E"/>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2A7"/>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34A4"/>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589A"/>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6CDD"/>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E7731"/>
    <w:rsid w:val="004F0FC7"/>
    <w:rsid w:val="004F1791"/>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D61"/>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FC2"/>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3D79"/>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C1B"/>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44F"/>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00C"/>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62D6"/>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3E52"/>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415"/>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0745"/>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63C"/>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6C5"/>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A5"/>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FC99B7A8-0A4C-4574-A906-13320FE8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qFormat/>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목록 단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777140E3-460F-4756-9854-B0D6B77F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xiaomi</cp:lastModifiedBy>
  <cp:revision>8</cp:revision>
  <dcterms:created xsi:type="dcterms:W3CDTF">2022-02-14T08:40:00Z</dcterms:created>
  <dcterms:modified xsi:type="dcterms:W3CDTF">2022-02-14T09:16:00Z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