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[AT117-e][508][IIoT]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C56877">
            <w:pPr>
              <w:spacing w:after="0"/>
              <w:rPr>
                <w:b/>
                <w:lang w:eastAsia="ko-KR"/>
              </w:rPr>
            </w:pPr>
            <w:r>
              <w:rPr>
                <w:rFonts w:hint="eastAsia"/>
                <w:b/>
                <w:lang w:eastAsia="ko-KR"/>
              </w:rPr>
              <w:t>Company</w:t>
            </w:r>
          </w:p>
        </w:tc>
        <w:tc>
          <w:tcPr>
            <w:tcW w:w="3509" w:type="dxa"/>
          </w:tcPr>
          <w:p w14:paraId="30D2B802" w14:textId="77777777" w:rsidR="00445D7C" w:rsidRDefault="00445D7C" w:rsidP="00C56877">
            <w:pPr>
              <w:spacing w:after="0"/>
              <w:rPr>
                <w:b/>
                <w:lang w:eastAsia="ko-KR"/>
              </w:rPr>
            </w:pPr>
            <w:r>
              <w:rPr>
                <w:b/>
                <w:lang w:eastAsia="ko-KR"/>
              </w:rPr>
              <w:t>Name</w:t>
            </w:r>
          </w:p>
        </w:tc>
        <w:tc>
          <w:tcPr>
            <w:tcW w:w="4415" w:type="dxa"/>
          </w:tcPr>
          <w:p w14:paraId="1EEA0443" w14:textId="77777777" w:rsidR="00445D7C" w:rsidRDefault="00445D7C" w:rsidP="00C56877">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C56877">
            <w:pPr>
              <w:spacing w:after="0"/>
              <w:rPr>
                <w:lang w:eastAsia="ko-KR"/>
              </w:rPr>
            </w:pPr>
            <w:r>
              <w:rPr>
                <w:lang w:eastAsia="ko-KR"/>
              </w:rPr>
              <w:t>Intel</w:t>
            </w:r>
          </w:p>
        </w:tc>
        <w:tc>
          <w:tcPr>
            <w:tcW w:w="3509" w:type="dxa"/>
          </w:tcPr>
          <w:p w14:paraId="0DE1756D" w14:textId="77777777" w:rsidR="00445D7C" w:rsidRDefault="00445D7C" w:rsidP="00C56877">
            <w:pPr>
              <w:spacing w:after="0"/>
              <w:rPr>
                <w:lang w:eastAsia="ko-KR"/>
              </w:rPr>
            </w:pPr>
            <w:r>
              <w:rPr>
                <w:lang w:eastAsia="ko-KR"/>
              </w:rPr>
              <w:t>Yujian Zhang</w:t>
            </w:r>
          </w:p>
        </w:tc>
        <w:tc>
          <w:tcPr>
            <w:tcW w:w="4415" w:type="dxa"/>
          </w:tcPr>
          <w:p w14:paraId="1D628432" w14:textId="77777777" w:rsidR="00445D7C" w:rsidRDefault="00445D7C" w:rsidP="00C56877">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C56877">
            <w:pPr>
              <w:spacing w:after="0"/>
            </w:pPr>
            <w:r>
              <w:t>Ericsson</w:t>
            </w:r>
          </w:p>
        </w:tc>
        <w:tc>
          <w:tcPr>
            <w:tcW w:w="3509" w:type="dxa"/>
          </w:tcPr>
          <w:p w14:paraId="53BB2E17" w14:textId="22A38304" w:rsidR="00445D7C" w:rsidRDefault="000A45B1" w:rsidP="00C56877">
            <w:pPr>
              <w:spacing w:after="0"/>
            </w:pPr>
            <w:r>
              <w:t>Zhenhua Zou</w:t>
            </w:r>
          </w:p>
        </w:tc>
        <w:tc>
          <w:tcPr>
            <w:tcW w:w="4415" w:type="dxa"/>
          </w:tcPr>
          <w:p w14:paraId="4EE412AE" w14:textId="4B229FB2" w:rsidR="00445D7C" w:rsidRDefault="000A45B1" w:rsidP="00C56877">
            <w:pPr>
              <w:spacing w:after="0"/>
            </w:pPr>
            <w:r>
              <w:t>zhenhua.zou@ericsson.com</w:t>
            </w:r>
          </w:p>
        </w:tc>
      </w:tr>
      <w:tr w:rsidR="00445D7C" w14:paraId="3FEC34C9" w14:textId="77777777" w:rsidTr="00445D7C">
        <w:tc>
          <w:tcPr>
            <w:tcW w:w="1705" w:type="dxa"/>
          </w:tcPr>
          <w:p w14:paraId="7E4A3013" w14:textId="6C67EC7F" w:rsidR="00445D7C" w:rsidRDefault="009A2870" w:rsidP="00C56877">
            <w:pPr>
              <w:spacing w:after="0"/>
            </w:pPr>
            <w:r>
              <w:t>MediaTek</w:t>
            </w:r>
          </w:p>
        </w:tc>
        <w:tc>
          <w:tcPr>
            <w:tcW w:w="3509" w:type="dxa"/>
          </w:tcPr>
          <w:p w14:paraId="7F23432F" w14:textId="5193D733" w:rsidR="00445D7C" w:rsidRDefault="009A2870" w:rsidP="00C56877">
            <w:pPr>
              <w:spacing w:after="0"/>
            </w:pPr>
            <w:r>
              <w:t>Pradeep Jose</w:t>
            </w:r>
          </w:p>
        </w:tc>
        <w:tc>
          <w:tcPr>
            <w:tcW w:w="4415" w:type="dxa"/>
          </w:tcPr>
          <w:p w14:paraId="06D54CB3" w14:textId="73671C3D" w:rsidR="00445D7C" w:rsidRDefault="009A2870" w:rsidP="00C56877">
            <w:pPr>
              <w:spacing w:after="0"/>
              <w:rPr>
                <w:lang w:eastAsia="ko-KR"/>
              </w:rPr>
            </w:pPr>
            <w:r>
              <w:rPr>
                <w:lang w:eastAsia="ko-KR"/>
              </w:rPr>
              <w:t>pradeep dot jose at mediatek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C56877">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C56877">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C56877">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r>
              <w:t>Sherif ElAzzouni</w:t>
            </w:r>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03BEEBC9" w:rsidR="00802227" w:rsidRPr="00B30193" w:rsidRDefault="00B30193" w:rsidP="00802227">
            <w:pPr>
              <w:spacing w:after="0"/>
              <w:rPr>
                <w:rFonts w:eastAsia="Malgun Gothic"/>
                <w:lang w:eastAsia="ko-KR"/>
              </w:rPr>
            </w:pPr>
            <w:r>
              <w:rPr>
                <w:rFonts w:eastAsia="Malgun Gothic"/>
                <w:lang w:eastAsia="ko-KR"/>
              </w:rPr>
              <w:t>Samsung</w:t>
            </w:r>
          </w:p>
        </w:tc>
        <w:tc>
          <w:tcPr>
            <w:tcW w:w="3509" w:type="dxa"/>
          </w:tcPr>
          <w:p w14:paraId="61AF57A1" w14:textId="56E75875" w:rsidR="00802227" w:rsidRPr="00B30193" w:rsidRDefault="00B30193" w:rsidP="00802227">
            <w:pPr>
              <w:spacing w:after="0"/>
              <w:rPr>
                <w:rFonts w:eastAsia="Malgun Gothic"/>
                <w:lang w:eastAsia="ko-KR"/>
              </w:rPr>
            </w:pPr>
            <w:r>
              <w:rPr>
                <w:rFonts w:eastAsia="Malgun Gothic" w:hint="eastAsia"/>
                <w:lang w:eastAsia="ko-KR"/>
              </w:rPr>
              <w:t>Sangkyu Baek</w:t>
            </w:r>
          </w:p>
        </w:tc>
        <w:tc>
          <w:tcPr>
            <w:tcW w:w="4415" w:type="dxa"/>
          </w:tcPr>
          <w:p w14:paraId="1EC1B6BF" w14:textId="4F7A351F" w:rsidR="00802227" w:rsidRPr="00B30193" w:rsidRDefault="00B30193" w:rsidP="00802227">
            <w:pPr>
              <w:spacing w:after="0"/>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02227" w14:paraId="757D741D" w14:textId="77777777" w:rsidTr="00445D7C">
        <w:tc>
          <w:tcPr>
            <w:tcW w:w="1705" w:type="dxa"/>
          </w:tcPr>
          <w:p w14:paraId="136A4B11" w14:textId="6CDF6813" w:rsidR="00802227" w:rsidRPr="008A3238" w:rsidRDefault="007A1A36" w:rsidP="00802227">
            <w:pPr>
              <w:spacing w:after="0"/>
              <w:rPr>
                <w:lang w:eastAsia="ko-KR"/>
              </w:rPr>
            </w:pPr>
            <w:r>
              <w:rPr>
                <w:lang w:eastAsia="ko-KR"/>
              </w:rPr>
              <w:t>CATT</w:t>
            </w:r>
          </w:p>
        </w:tc>
        <w:tc>
          <w:tcPr>
            <w:tcW w:w="3509" w:type="dxa"/>
          </w:tcPr>
          <w:p w14:paraId="6FCE80AC" w14:textId="6E162082" w:rsidR="00802227" w:rsidRPr="008A3238" w:rsidRDefault="007A1A36" w:rsidP="00802227">
            <w:pPr>
              <w:spacing w:after="0"/>
              <w:rPr>
                <w:lang w:eastAsia="ko-KR"/>
              </w:rPr>
            </w:pPr>
            <w:r>
              <w:rPr>
                <w:lang w:eastAsia="ko-KR"/>
              </w:rPr>
              <w:t>Pierre Bertrand</w:t>
            </w:r>
          </w:p>
        </w:tc>
        <w:tc>
          <w:tcPr>
            <w:tcW w:w="4415" w:type="dxa"/>
          </w:tcPr>
          <w:p w14:paraId="602B3AD9" w14:textId="7507C420" w:rsidR="00802227" w:rsidRPr="008A3238" w:rsidRDefault="007A1A36" w:rsidP="00802227">
            <w:pPr>
              <w:spacing w:after="0"/>
              <w:rPr>
                <w:lang w:eastAsia="ko-KR"/>
              </w:rPr>
            </w:pPr>
            <w:r>
              <w:rPr>
                <w:lang w:eastAsia="ko-KR"/>
              </w:rPr>
              <w:t>pierrebertrand@catt.cn</w:t>
            </w:r>
          </w:p>
        </w:tc>
      </w:tr>
      <w:tr w:rsidR="00096409" w14:paraId="5D4CAA50" w14:textId="77777777" w:rsidTr="00096409">
        <w:tc>
          <w:tcPr>
            <w:tcW w:w="1705" w:type="dxa"/>
          </w:tcPr>
          <w:p w14:paraId="369DCFCE" w14:textId="77777777" w:rsidR="00096409" w:rsidRPr="008A3238" w:rsidRDefault="00096409" w:rsidP="00B628B0">
            <w:pPr>
              <w:spacing w:after="0"/>
              <w:rPr>
                <w:lang w:eastAsia="ko-KR"/>
              </w:rPr>
            </w:pPr>
            <w:r>
              <w:rPr>
                <w:lang w:eastAsia="ko-KR"/>
              </w:rPr>
              <w:t>Huawei, HiSilicon</w:t>
            </w:r>
          </w:p>
        </w:tc>
        <w:tc>
          <w:tcPr>
            <w:tcW w:w="3509" w:type="dxa"/>
          </w:tcPr>
          <w:p w14:paraId="5F39E933" w14:textId="77777777" w:rsidR="00096409" w:rsidRPr="008A3238" w:rsidRDefault="00096409" w:rsidP="00B628B0">
            <w:pPr>
              <w:spacing w:after="0"/>
              <w:rPr>
                <w:lang w:eastAsia="ko-KR"/>
              </w:rPr>
            </w:pPr>
            <w:r>
              <w:rPr>
                <w:lang w:eastAsia="ko-KR"/>
              </w:rPr>
              <w:t>Tao Cai</w:t>
            </w:r>
          </w:p>
        </w:tc>
        <w:tc>
          <w:tcPr>
            <w:tcW w:w="4415" w:type="dxa"/>
          </w:tcPr>
          <w:p w14:paraId="4BB441C9" w14:textId="77777777" w:rsidR="00096409" w:rsidRPr="008A3238" w:rsidRDefault="00096409" w:rsidP="00B628B0">
            <w:pPr>
              <w:spacing w:after="0"/>
              <w:rPr>
                <w:lang w:eastAsia="ko-KR"/>
              </w:rPr>
            </w:pPr>
            <w:r>
              <w:rPr>
                <w:lang w:eastAsia="ko-KR"/>
              </w:rPr>
              <w:t>tao.cai@huawei.com</w:t>
            </w:r>
          </w:p>
        </w:tc>
      </w:tr>
      <w:tr w:rsidR="00802227" w14:paraId="4079323E" w14:textId="77777777" w:rsidTr="00445D7C">
        <w:tc>
          <w:tcPr>
            <w:tcW w:w="1705" w:type="dxa"/>
          </w:tcPr>
          <w:p w14:paraId="68DC8234" w14:textId="55C37F7F" w:rsidR="00802227" w:rsidRDefault="00673AEC" w:rsidP="00802227">
            <w:pPr>
              <w:spacing w:after="0"/>
              <w:rPr>
                <w:lang w:eastAsia="ko-KR"/>
              </w:rPr>
            </w:pPr>
            <w:r>
              <w:rPr>
                <w:lang w:eastAsia="ko-KR"/>
              </w:rPr>
              <w:t>Nokia</w:t>
            </w:r>
          </w:p>
        </w:tc>
        <w:tc>
          <w:tcPr>
            <w:tcW w:w="3509" w:type="dxa"/>
          </w:tcPr>
          <w:p w14:paraId="6E7C06E4" w14:textId="2FF22C3B" w:rsidR="00802227" w:rsidRDefault="00673AEC" w:rsidP="00802227">
            <w:pPr>
              <w:spacing w:after="0"/>
              <w:rPr>
                <w:lang w:eastAsia="ko-KR"/>
              </w:rPr>
            </w:pPr>
            <w:r>
              <w:rPr>
                <w:lang w:eastAsia="ko-KR"/>
              </w:rPr>
              <w:t>Ping-Heng Wallace Kuo</w:t>
            </w:r>
          </w:p>
        </w:tc>
        <w:tc>
          <w:tcPr>
            <w:tcW w:w="4415" w:type="dxa"/>
          </w:tcPr>
          <w:p w14:paraId="2721384A" w14:textId="0201503B" w:rsidR="00802227" w:rsidRDefault="00673AEC" w:rsidP="00802227">
            <w:pPr>
              <w:spacing w:after="0"/>
              <w:rPr>
                <w:lang w:eastAsia="ko-KR"/>
              </w:rPr>
            </w:pPr>
            <w:r>
              <w:rPr>
                <w:lang w:eastAsia="ko-KR"/>
              </w:rPr>
              <w:t>Ping-Heng.Kuo@nokia.com</w:t>
            </w: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[POST116bis-e][513][IIoT]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“[POST116bis-e][513][IIoT]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C56877">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C56877">
            <w:pPr>
              <w:pStyle w:val="TAC"/>
              <w:jc w:val="left"/>
              <w:rPr>
                <w:b/>
                <w:lang w:val="en-US" w:eastAsia="zh-CN"/>
              </w:rPr>
            </w:pPr>
            <w:r>
              <w:rPr>
                <w:b/>
                <w:lang w:eastAsia="zh-CN"/>
              </w:rPr>
              <w:t>Comments</w:t>
            </w:r>
          </w:p>
        </w:tc>
      </w:tr>
      <w:tr w:rsidR="00955908" w14:paraId="49E36B9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C56877">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C56877">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r w:rsidR="003C10D9">
              <w:rPr>
                <w:rFonts w:eastAsia="Malgun Gothic" w:cs="Arial"/>
                <w:lang w:val="en-US" w:eastAsia="ko-KR"/>
              </w:rPr>
              <w:t>Therefore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C5687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C56877">
            <w:pPr>
              <w:pStyle w:val="TAC"/>
              <w:jc w:val="left"/>
              <w:rPr>
                <w:rFonts w:cs="Arial"/>
                <w:lang w:val="en-US" w:eastAsia="zh-CN"/>
              </w:rPr>
            </w:pPr>
            <w:r>
              <w:rPr>
                <w:rFonts w:cs="Arial"/>
                <w:lang w:val="en-US" w:eastAsia="zh-CN"/>
              </w:rPr>
              <w:t>Agree with Intel</w:t>
            </w:r>
          </w:p>
        </w:tc>
      </w:tr>
      <w:tr w:rsidR="00955908" w14:paraId="64A2D40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C56877">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C56877">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C56877">
            <w:pPr>
              <w:pStyle w:val="TAC"/>
              <w:jc w:val="left"/>
              <w:rPr>
                <w:rFonts w:cs="Arial"/>
                <w:lang w:val="en-US" w:eastAsia="zh-CN"/>
              </w:rPr>
            </w:pPr>
          </w:p>
          <w:p w14:paraId="45CCF484" w14:textId="77777777" w:rsidR="00EE275A" w:rsidRDefault="00EE275A" w:rsidP="00C56877">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C56877">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C56877">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C56877">
            <w:pPr>
              <w:pStyle w:val="TAC"/>
              <w:jc w:val="left"/>
              <w:rPr>
                <w:rFonts w:cs="Arial"/>
                <w:lang w:val="en-US" w:eastAsia="zh-CN"/>
              </w:rPr>
            </w:pPr>
            <w:r>
              <w:rPr>
                <w:rFonts w:cs="Arial"/>
                <w:lang w:val="en-US" w:eastAsia="zh-CN"/>
              </w:rPr>
              <w:t>Agree with Intel</w:t>
            </w:r>
          </w:p>
        </w:tc>
      </w:tr>
      <w:tr w:rsidR="00802227" w14:paraId="5B70663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and also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69C04774"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37E841A4" w14:textId="1F43AF80"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66B35D06" w:rsidR="00802227" w:rsidRPr="00F8584D" w:rsidRDefault="00F8584D" w:rsidP="00802227">
            <w:pPr>
              <w:pStyle w:val="TAC"/>
              <w:jc w:val="left"/>
              <w:rPr>
                <w:rFonts w:eastAsia="Malgun Gothic" w:cs="Arial"/>
                <w:lang w:val="en-US" w:eastAsia="ko-KR"/>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 xml:space="preserve">with Qualcomm that </w:t>
            </w:r>
            <w:r w:rsidRPr="00F8584D">
              <w:rPr>
                <w:rFonts w:eastAsia="Malgun Gothic" w:cs="Arial"/>
                <w:lang w:val="en-US" w:eastAsia="ko-KR"/>
              </w:rPr>
              <w:t>UE side is the most straight-forward solution and also follows the Rel-16 approach of having the UE perform compensation</w:t>
            </w:r>
          </w:p>
        </w:tc>
      </w:tr>
      <w:tr w:rsidR="002C75D0" w14:paraId="09640E9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15A51530" w:rsidR="002C75D0" w:rsidRPr="00B95108" w:rsidRDefault="002C75D0"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022F8FE" w14:textId="792A8875" w:rsidR="002C75D0" w:rsidRPr="00B95108" w:rsidRDefault="002C75D0"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6FC1EF48" w:rsidR="002C75D0" w:rsidRPr="00B95108" w:rsidRDefault="002C75D0" w:rsidP="00802227">
            <w:pPr>
              <w:pStyle w:val="TAC"/>
              <w:jc w:val="left"/>
              <w:rPr>
                <w:rFonts w:cs="Arial"/>
                <w:lang w:val="en-US" w:eastAsia="zh-CN"/>
              </w:rPr>
            </w:pPr>
            <w:r>
              <w:rPr>
                <w:rFonts w:cs="Arial"/>
                <w:lang w:val="en-US" w:eastAsia="zh-CN"/>
              </w:rPr>
              <w:t>Agree with Intel</w:t>
            </w:r>
          </w:p>
        </w:tc>
      </w:tr>
      <w:tr w:rsidR="00096409" w14:paraId="20230D8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7A1CA1"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7A93ED4" w14:textId="77777777" w:rsidR="00096409" w:rsidRDefault="00096409" w:rsidP="00B628B0">
            <w:pPr>
              <w:pStyle w:val="TAC"/>
              <w:jc w:val="left"/>
              <w:rPr>
                <w:rFonts w:cs="Arial"/>
                <w:lang w:val="en-US" w:eastAsia="zh-CN"/>
              </w:rPr>
            </w:pPr>
          </w:p>
          <w:p w14:paraId="42DC2BE6" w14:textId="77777777" w:rsidR="00096409" w:rsidRPr="00B95108" w:rsidRDefault="00096409" w:rsidP="00B628B0">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138CEB14" w14:textId="77777777" w:rsidR="00096409" w:rsidRPr="00B95108" w:rsidRDefault="00096409" w:rsidP="00B628B0">
            <w:pPr>
              <w:pStyle w:val="TAC"/>
              <w:jc w:val="left"/>
              <w:rPr>
                <w:rFonts w:cs="Arial"/>
                <w:lang w:val="en-US" w:eastAsia="zh-CN"/>
              </w:rPr>
            </w:pPr>
            <w:r>
              <w:rPr>
                <w:rFonts w:cs="Arial"/>
                <w:lang w:val="en-US" w:eastAsia="zh-CN"/>
              </w:rPr>
              <w:t xml:space="preserve">From UE capability perspective, we don’t think there is much difference between supporting gNB RTT PDC and UE side RTT PDC as Intel stated. From flexibility of using PDC schemes perspective, we think it is beneficial if UE can support both RTT PDC schemes. </w:t>
            </w:r>
          </w:p>
        </w:tc>
      </w:tr>
      <w:tr w:rsidR="002C75D0" w14:paraId="79586AE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068D0180" w:rsidR="002C75D0"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8DF3444" w14:textId="6A7F40D9" w:rsidR="002C75D0" w:rsidRPr="00B95108" w:rsidRDefault="00673AEC"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C75D0" w:rsidRPr="00B95108" w:rsidRDefault="002C75D0" w:rsidP="00802227">
            <w:pPr>
              <w:pStyle w:val="TAC"/>
              <w:jc w:val="left"/>
              <w:rPr>
                <w:rFonts w:cs="Arial"/>
                <w:lang w:val="en-US" w:eastAsia="zh-CN"/>
              </w:rPr>
            </w:pPr>
          </w:p>
        </w:tc>
      </w:tr>
    </w:tbl>
    <w:p w14:paraId="0C7476D5" w14:textId="425097F3" w:rsidR="00955908" w:rsidRDefault="00955908" w:rsidP="00584A2A">
      <w:pPr>
        <w:rPr>
          <w:lang w:eastAsia="zh-CN"/>
        </w:rPr>
      </w:pPr>
    </w:p>
    <w:p w14:paraId="00DFAEFB" w14:textId="6BE009B2" w:rsidR="00DC6C6E" w:rsidRPr="004D1584" w:rsidRDefault="00DC6C6E" w:rsidP="00E47EFF">
      <w:pPr>
        <w:rPr>
          <w:b/>
          <w:bCs/>
          <w:color w:val="4472C4" w:themeColor="accent1"/>
          <w:u w:val="single"/>
        </w:rPr>
      </w:pPr>
      <w:r w:rsidRPr="004D1584">
        <w:rPr>
          <w:b/>
          <w:bCs/>
          <w:color w:val="4472C4" w:themeColor="accent1"/>
          <w:u w:val="single"/>
        </w:rPr>
        <w:t>Summary</w:t>
      </w:r>
    </w:p>
    <w:p w14:paraId="49D5EFE4" w14:textId="15259E34" w:rsidR="00A36FC1" w:rsidRPr="002C3530" w:rsidRDefault="009C4471" w:rsidP="00EA572E">
      <w:pPr>
        <w:spacing w:after="0"/>
        <w:rPr>
          <w:color w:val="4472C4" w:themeColor="accent1"/>
          <w:sz w:val="18"/>
          <w:szCs w:val="18"/>
        </w:rPr>
      </w:pPr>
      <w:r w:rsidRPr="002C3530">
        <w:rPr>
          <w:color w:val="4472C4" w:themeColor="accent1"/>
          <w:sz w:val="18"/>
          <w:szCs w:val="18"/>
        </w:rPr>
        <w:t xml:space="preserve">(RAN2 agrees “RAN2 confirms that gNB-side RTT Propagation Delay Compensation is supported”, therefore “if agreed” </w:t>
      </w:r>
      <w:r w:rsidR="000F342D">
        <w:rPr>
          <w:color w:val="4472C4" w:themeColor="accent1"/>
          <w:sz w:val="18"/>
          <w:szCs w:val="18"/>
        </w:rPr>
        <w:t xml:space="preserve">regarding gNB-side PDC </w:t>
      </w:r>
      <w:r w:rsidR="00BC4B03">
        <w:rPr>
          <w:color w:val="4472C4" w:themeColor="accent1"/>
          <w:sz w:val="18"/>
          <w:szCs w:val="18"/>
        </w:rPr>
        <w:t>not kept in</w:t>
      </w:r>
      <w:r w:rsidRPr="002C3530">
        <w:rPr>
          <w:color w:val="4472C4" w:themeColor="accent1"/>
          <w:sz w:val="18"/>
          <w:szCs w:val="18"/>
        </w:rPr>
        <w:t xml:space="preserve"> summar</w:t>
      </w:r>
      <w:r w:rsidR="002F1B23">
        <w:rPr>
          <w:color w:val="4472C4" w:themeColor="accent1"/>
          <w:sz w:val="18"/>
          <w:szCs w:val="18"/>
        </w:rPr>
        <w:t>y</w:t>
      </w:r>
      <w:r w:rsidR="0097323F" w:rsidRPr="002C3530">
        <w:rPr>
          <w:color w:val="4472C4" w:themeColor="accent1"/>
          <w:sz w:val="18"/>
          <w:szCs w:val="18"/>
        </w:rPr>
        <w:t>.</w:t>
      </w:r>
      <w:r w:rsidRPr="002C3530">
        <w:rPr>
          <w:color w:val="4472C4" w:themeColor="accent1"/>
          <w:sz w:val="18"/>
          <w:szCs w:val="18"/>
        </w:rPr>
        <w:t>)</w:t>
      </w:r>
    </w:p>
    <w:p w14:paraId="17514ADA" w14:textId="77777777" w:rsidR="009C4471" w:rsidRDefault="009C4471" w:rsidP="00EA572E">
      <w:pPr>
        <w:spacing w:after="0"/>
        <w:rPr>
          <w:color w:val="4472C4" w:themeColor="accent1"/>
        </w:rPr>
      </w:pPr>
    </w:p>
    <w:p w14:paraId="386F54FE" w14:textId="4F9608A1" w:rsidR="00853B2F" w:rsidRDefault="004D1584" w:rsidP="00EA572E">
      <w:pPr>
        <w:spacing w:after="0"/>
        <w:rPr>
          <w:color w:val="4472C4" w:themeColor="accent1"/>
        </w:rPr>
      </w:pPr>
      <w:r w:rsidRPr="004D1584">
        <w:rPr>
          <w:color w:val="4472C4" w:themeColor="accent1"/>
        </w:rPr>
        <w:t xml:space="preserve">The views are </w:t>
      </w:r>
      <w:r w:rsidR="00CE0D16">
        <w:rPr>
          <w:color w:val="4472C4" w:themeColor="accent1"/>
        </w:rPr>
        <w:t>as follows</w:t>
      </w:r>
      <w:r w:rsidRPr="004D1584">
        <w:rPr>
          <w:color w:val="4472C4" w:themeColor="accent1"/>
        </w:rPr>
        <w:t>:</w:t>
      </w:r>
    </w:p>
    <w:p w14:paraId="51CEC1EE" w14:textId="442A14B7" w:rsidR="00681CEB" w:rsidRDefault="007C0669"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6</w:t>
      </w:r>
      <w:r w:rsidR="00681CEB" w:rsidRPr="00681CEB">
        <w:rPr>
          <w:rFonts w:ascii="Times New Roman" w:hAnsi="Times New Roman"/>
          <w:color w:val="4472C4" w:themeColor="accent1"/>
          <w:sz w:val="20"/>
          <w:szCs w:val="20"/>
        </w:rPr>
        <w:t xml:space="preserve"> companies </w:t>
      </w:r>
      <w:r w:rsidR="00681CEB">
        <w:rPr>
          <w:rFonts w:ascii="Times New Roman" w:hAnsi="Times New Roman"/>
          <w:color w:val="4472C4" w:themeColor="accent1"/>
          <w:sz w:val="20"/>
          <w:szCs w:val="20"/>
        </w:rPr>
        <w:t>prefer option a (</w:t>
      </w:r>
      <w:r w:rsidR="00A71309">
        <w:rPr>
          <w:rFonts w:ascii="Times New Roman" w:hAnsi="Times New Roman"/>
          <w:color w:val="4472C4" w:themeColor="accent1"/>
          <w:sz w:val="20"/>
          <w:szCs w:val="20"/>
        </w:rPr>
        <w:t>a</w:t>
      </w:r>
      <w:r w:rsidR="00A71309" w:rsidRPr="00A71309">
        <w:rPr>
          <w:rFonts w:ascii="Times New Roman" w:hAnsi="Times New Roman"/>
          <w:color w:val="4472C4" w:themeColor="accent1"/>
          <w:sz w:val="20"/>
          <w:szCs w:val="20"/>
        </w:rPr>
        <w:t xml:space="preserve"> UE supporting FG 25-19/25-19a shall support both UE-side and gNB-side PDC</w:t>
      </w:r>
      <w:r w:rsidR="00681CEB">
        <w:rPr>
          <w:rFonts w:ascii="Times New Roman" w:hAnsi="Times New Roman"/>
          <w:color w:val="4472C4" w:themeColor="accent1"/>
          <w:sz w:val="20"/>
          <w:szCs w:val="20"/>
        </w:rPr>
        <w:t>)</w:t>
      </w:r>
    </w:p>
    <w:p w14:paraId="45802FD5" w14:textId="05D9A6C8" w:rsidR="00681CEB" w:rsidRDefault="00681CEB"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2 companies prefer option b (</w:t>
      </w:r>
      <w:r w:rsidR="00491B19">
        <w:rPr>
          <w:rFonts w:ascii="Times New Roman" w:hAnsi="Times New Roman"/>
          <w:color w:val="4472C4" w:themeColor="accent1"/>
          <w:sz w:val="20"/>
          <w:szCs w:val="20"/>
        </w:rPr>
        <w:t>a</w:t>
      </w:r>
      <w:r w:rsidR="00494E7C" w:rsidRPr="00494E7C">
        <w:rPr>
          <w:rFonts w:ascii="Times New Roman" w:hAnsi="Times New Roman"/>
          <w:color w:val="4472C4" w:themeColor="accent1"/>
          <w:sz w:val="20"/>
          <w:szCs w:val="20"/>
        </w:rPr>
        <w:t xml:space="preserve"> UE supporting FG 25-19/25-19a shall support UE-side PDC</w:t>
      </w:r>
      <w:r>
        <w:rPr>
          <w:rFonts w:ascii="Times New Roman" w:hAnsi="Times New Roman"/>
          <w:color w:val="4472C4" w:themeColor="accent1"/>
          <w:sz w:val="20"/>
          <w:szCs w:val="20"/>
        </w:rPr>
        <w:t>)</w:t>
      </w:r>
      <w:r w:rsidR="00494E7C">
        <w:rPr>
          <w:rFonts w:ascii="Times New Roman" w:hAnsi="Times New Roman"/>
          <w:color w:val="4472C4" w:themeColor="accent1"/>
          <w:sz w:val="20"/>
          <w:szCs w:val="20"/>
        </w:rPr>
        <w:t>.</w:t>
      </w:r>
    </w:p>
    <w:p w14:paraId="084CCCFA" w14:textId="1D698A3F" w:rsidR="00681CEB" w:rsidRDefault="00681CEB" w:rsidP="00681CEB">
      <w:pPr>
        <w:pStyle w:val="ListParagraph"/>
        <w:numPr>
          <w:ilvl w:val="0"/>
          <w:numId w:val="36"/>
        </w:numPr>
        <w:spacing w:after="0"/>
        <w:rPr>
          <w:rFonts w:ascii="Times New Roman" w:hAnsi="Times New Roman"/>
          <w:color w:val="4472C4" w:themeColor="accent1"/>
          <w:sz w:val="20"/>
          <w:szCs w:val="20"/>
        </w:rPr>
      </w:pPr>
      <w:r>
        <w:rPr>
          <w:rFonts w:ascii="Times New Roman" w:hAnsi="Times New Roman"/>
          <w:color w:val="4472C4" w:themeColor="accent1"/>
          <w:sz w:val="20"/>
          <w:szCs w:val="20"/>
        </w:rPr>
        <w:t>2 companies prefer option c (</w:t>
      </w:r>
      <w:r w:rsidR="00516809">
        <w:rPr>
          <w:rFonts w:ascii="Times New Roman" w:hAnsi="Times New Roman"/>
          <w:color w:val="4472C4" w:themeColor="accent1"/>
          <w:sz w:val="20"/>
          <w:szCs w:val="20"/>
        </w:rPr>
        <w:t>a</w:t>
      </w:r>
      <w:r w:rsidR="00491B19" w:rsidRPr="00491B19">
        <w:rPr>
          <w:rFonts w:ascii="Times New Roman" w:hAnsi="Times New Roman"/>
          <w:color w:val="4472C4" w:themeColor="accent1"/>
          <w:sz w:val="20"/>
          <w:szCs w:val="20"/>
        </w:rPr>
        <w:t xml:space="preserve"> UE supporting FG 25-19/25-19a shall support either UE-side or gNB-side PDC</w:t>
      </w:r>
      <w:r>
        <w:rPr>
          <w:rFonts w:ascii="Times New Roman" w:hAnsi="Times New Roman"/>
          <w:color w:val="4472C4" w:themeColor="accent1"/>
          <w:sz w:val="20"/>
          <w:szCs w:val="20"/>
        </w:rPr>
        <w:t>)</w:t>
      </w:r>
      <w:r w:rsidR="00491B19">
        <w:rPr>
          <w:rFonts w:ascii="Times New Roman" w:hAnsi="Times New Roman"/>
          <w:color w:val="4472C4" w:themeColor="accent1"/>
          <w:sz w:val="20"/>
          <w:szCs w:val="20"/>
        </w:rPr>
        <w:t>.</w:t>
      </w:r>
    </w:p>
    <w:p w14:paraId="172652AE" w14:textId="75985C35" w:rsidR="000F4177" w:rsidRPr="00A76EA8" w:rsidRDefault="007373B3" w:rsidP="00A76EA8">
      <w:pPr>
        <w:rPr>
          <w:color w:val="4472C4" w:themeColor="accent1"/>
          <w:lang w:eastAsia="zh-CN"/>
        </w:rPr>
      </w:pPr>
      <w:r w:rsidRPr="00A76EA8">
        <w:rPr>
          <w:color w:val="4472C4" w:themeColor="accent1"/>
          <w:lang w:eastAsia="zh-CN"/>
        </w:rPr>
        <w:t xml:space="preserve">Option a is majority view, while option b and c </w:t>
      </w:r>
      <w:r w:rsidR="00E57A39" w:rsidRPr="00A76EA8">
        <w:rPr>
          <w:color w:val="4472C4" w:themeColor="accent1"/>
          <w:lang w:eastAsia="zh-CN"/>
        </w:rPr>
        <w:t xml:space="preserve">are </w:t>
      </w:r>
      <w:r w:rsidR="00F20F02" w:rsidRPr="00A76EA8">
        <w:rPr>
          <w:color w:val="4472C4" w:themeColor="accent1"/>
          <w:lang w:eastAsia="zh-CN"/>
        </w:rPr>
        <w:t xml:space="preserve">supported by </w:t>
      </w:r>
      <w:r w:rsidR="002363CB" w:rsidRPr="00A76EA8">
        <w:rPr>
          <w:color w:val="4472C4" w:themeColor="accent1"/>
          <w:lang w:eastAsia="zh-CN"/>
        </w:rPr>
        <w:t xml:space="preserve">several </w:t>
      </w:r>
      <w:r w:rsidR="00F20F02" w:rsidRPr="00A76EA8">
        <w:rPr>
          <w:color w:val="4472C4" w:themeColor="accent1"/>
          <w:lang w:eastAsia="zh-CN"/>
        </w:rPr>
        <w:t>UE vendors.</w:t>
      </w:r>
      <w:r w:rsidR="009314C9" w:rsidRPr="00A76EA8">
        <w:rPr>
          <w:color w:val="4472C4" w:themeColor="accent1"/>
          <w:lang w:eastAsia="zh-CN"/>
        </w:rPr>
        <w:t xml:space="preserve"> </w:t>
      </w:r>
      <w:r w:rsidR="0073461F" w:rsidRPr="00A76EA8">
        <w:rPr>
          <w:color w:val="4472C4" w:themeColor="accent1"/>
          <w:lang w:eastAsia="zh-CN"/>
        </w:rPr>
        <w:t xml:space="preserve">The situation is </w:t>
      </w:r>
      <w:r w:rsidR="00A775C0" w:rsidRPr="00A76EA8">
        <w:rPr>
          <w:color w:val="4472C4" w:themeColor="accent1"/>
          <w:lang w:eastAsia="zh-CN"/>
        </w:rPr>
        <w:t>similar to</w:t>
      </w:r>
      <w:r w:rsidR="00726B41" w:rsidRPr="00A76EA8">
        <w:rPr>
          <w:color w:val="4472C4" w:themeColor="accent1"/>
          <w:lang w:eastAsia="zh-CN"/>
        </w:rPr>
        <w:t xml:space="preserve"> email discussion “[POST116bis-e][513][IIoT] CP open issues (Ericsson)”, </w:t>
      </w:r>
      <w:r w:rsidR="000F4177" w:rsidRPr="00A76EA8">
        <w:rPr>
          <w:color w:val="4472C4" w:themeColor="accent1"/>
          <w:lang w:eastAsia="zh-CN"/>
        </w:rPr>
        <w:t>where 8 out of 15 companies prefer</w:t>
      </w:r>
      <w:r w:rsidR="00CD393C" w:rsidRPr="00A76EA8">
        <w:rPr>
          <w:color w:val="4472C4" w:themeColor="accent1"/>
          <w:lang w:eastAsia="zh-CN"/>
        </w:rPr>
        <w:t xml:space="preserve"> option a. </w:t>
      </w:r>
      <w:r w:rsidR="009742DC" w:rsidRPr="00A76EA8">
        <w:rPr>
          <w:color w:val="4472C4" w:themeColor="accent1"/>
          <w:lang w:eastAsia="zh-CN"/>
        </w:rPr>
        <w:t xml:space="preserve">For current email discussion, there are </w:t>
      </w:r>
      <w:r w:rsidR="001B7376">
        <w:rPr>
          <w:color w:val="4472C4" w:themeColor="accent1"/>
          <w:lang w:eastAsia="zh-CN"/>
        </w:rPr>
        <w:t>8</w:t>
      </w:r>
      <w:r w:rsidR="009742DC" w:rsidRPr="00A76EA8">
        <w:rPr>
          <w:color w:val="4472C4" w:themeColor="accent1"/>
          <w:lang w:eastAsia="zh-CN"/>
        </w:rPr>
        <w:t xml:space="preserve"> out of </w:t>
      </w:r>
      <w:r w:rsidR="001B7376">
        <w:rPr>
          <w:color w:val="4472C4" w:themeColor="accent1"/>
          <w:lang w:eastAsia="zh-CN"/>
        </w:rPr>
        <w:t>10</w:t>
      </w:r>
      <w:r w:rsidR="009742DC" w:rsidRPr="00A76EA8">
        <w:rPr>
          <w:color w:val="4472C4" w:themeColor="accent1"/>
          <w:lang w:eastAsia="zh-CN"/>
        </w:rPr>
        <w:t xml:space="preserve"> companies </w:t>
      </w:r>
      <w:r w:rsidR="00773870" w:rsidRPr="00A76EA8">
        <w:rPr>
          <w:color w:val="4472C4" w:themeColor="accent1"/>
          <w:lang w:eastAsia="zh-CN"/>
        </w:rPr>
        <w:t xml:space="preserve">(counting supporters for both option a and b) prefer that a UE supporting FG25-19/25-19a supports at least UE-side PDC. </w:t>
      </w:r>
      <w:r w:rsidR="00815EA5" w:rsidRPr="00A76EA8">
        <w:rPr>
          <w:color w:val="4472C4" w:themeColor="accent1"/>
          <w:lang w:eastAsia="zh-CN"/>
        </w:rPr>
        <w:t xml:space="preserve">The additional complexity of supporting gNB-side PDC from UE’s perspective is </w:t>
      </w:r>
      <w:r w:rsidR="00635699" w:rsidRPr="00A76EA8">
        <w:rPr>
          <w:color w:val="4472C4" w:themeColor="accent1"/>
          <w:lang w:eastAsia="zh-CN"/>
        </w:rPr>
        <w:t xml:space="preserve">discussed as below. </w:t>
      </w:r>
    </w:p>
    <w:p w14:paraId="0C934E86" w14:textId="2C6DD758" w:rsidR="00A76EA8" w:rsidRPr="00A76EA8" w:rsidRDefault="00A76EA8" w:rsidP="00A76EA8">
      <w:pPr>
        <w:rPr>
          <w:color w:val="4472C4" w:themeColor="accent1"/>
          <w:lang w:eastAsia="zh-CN"/>
        </w:rPr>
      </w:pPr>
      <w:r w:rsidRPr="00A76EA8">
        <w:rPr>
          <w:color w:val="4472C4" w:themeColor="accent1"/>
          <w:lang w:eastAsia="zh-CN"/>
        </w:rPr>
        <w:t>For both UE-side PDC and gNB-side PDC, UE needs to perform Rx-Tx time difference measurement (FG 25-19/25-19a) based on PRS/TRS, and gNB needs to perform Rx-Tx time differen</w:t>
      </w:r>
      <w:r w:rsidR="006B1E73">
        <w:rPr>
          <w:color w:val="4472C4" w:themeColor="accent1"/>
          <w:lang w:eastAsia="zh-CN"/>
        </w:rPr>
        <w:t>ce</w:t>
      </w:r>
      <w:r w:rsidRPr="00A76EA8">
        <w:rPr>
          <w:color w:val="4472C4" w:themeColor="accent1"/>
          <w:lang w:eastAsia="zh-CN"/>
        </w:rPr>
        <w:t xml:space="preserve"> measurement based on SRS. The differences </w:t>
      </w:r>
      <w:r w:rsidR="00AA3A33">
        <w:rPr>
          <w:color w:val="4472C4" w:themeColor="accent1"/>
          <w:lang w:eastAsia="zh-CN"/>
        </w:rPr>
        <w:t xml:space="preserve">between UE-side and gNB-side PDC </w:t>
      </w:r>
      <w:r w:rsidRPr="00A76EA8">
        <w:rPr>
          <w:color w:val="4472C4" w:themeColor="accent1"/>
          <w:lang w:eastAsia="zh-CN"/>
        </w:rPr>
        <w:t>are:</w:t>
      </w:r>
    </w:p>
    <w:p w14:paraId="0A382846" w14:textId="666C16CA" w:rsidR="00A76EA8" w:rsidRPr="00AA3A33" w:rsidRDefault="00A76EA8" w:rsidP="00AA3A33">
      <w:pPr>
        <w:pStyle w:val="ListParagraph"/>
        <w:numPr>
          <w:ilvl w:val="0"/>
          <w:numId w:val="38"/>
        </w:numPr>
        <w:rPr>
          <w:rFonts w:ascii="Times New Roman" w:hAnsi="Times New Roman"/>
          <w:color w:val="4472C4" w:themeColor="accent1"/>
          <w:sz w:val="20"/>
          <w:szCs w:val="20"/>
          <w:lang w:eastAsia="zh-CN"/>
        </w:rPr>
      </w:pPr>
      <w:r w:rsidRPr="00AA3A33">
        <w:rPr>
          <w:rFonts w:ascii="Times New Roman" w:hAnsi="Times New Roman"/>
          <w:color w:val="4472C4" w:themeColor="accent1"/>
          <w:sz w:val="20"/>
          <w:szCs w:val="20"/>
          <w:lang w:eastAsia="zh-CN"/>
        </w:rPr>
        <w:t>UE-side PDC: UE is provided with gNB side Rx-Tx time difference, UE performs the PDC calculation and applie</w:t>
      </w:r>
      <w:r w:rsidR="00DA2C5B">
        <w:rPr>
          <w:rFonts w:ascii="Times New Roman" w:hAnsi="Times New Roman"/>
          <w:color w:val="4472C4" w:themeColor="accent1"/>
          <w:sz w:val="20"/>
          <w:szCs w:val="20"/>
          <w:lang w:eastAsia="zh-CN"/>
        </w:rPr>
        <w:t>s</w:t>
      </w:r>
      <w:r w:rsidRPr="00AA3A33">
        <w:rPr>
          <w:rFonts w:ascii="Times New Roman" w:hAnsi="Times New Roman"/>
          <w:color w:val="4472C4" w:themeColor="accent1"/>
          <w:sz w:val="20"/>
          <w:szCs w:val="20"/>
          <w:lang w:eastAsia="zh-CN"/>
        </w:rPr>
        <w:t xml:space="preserve"> to the received reference time.</w:t>
      </w:r>
    </w:p>
    <w:p w14:paraId="276DC4BF" w14:textId="4339E8FC" w:rsidR="00A76EA8" w:rsidRPr="00AA3A33" w:rsidRDefault="00A76EA8" w:rsidP="00AA3A33">
      <w:pPr>
        <w:pStyle w:val="ListParagraph"/>
        <w:numPr>
          <w:ilvl w:val="0"/>
          <w:numId w:val="38"/>
        </w:numPr>
        <w:rPr>
          <w:rFonts w:ascii="Times New Roman" w:hAnsi="Times New Roman"/>
          <w:color w:val="4472C4" w:themeColor="accent1"/>
          <w:sz w:val="20"/>
          <w:szCs w:val="20"/>
          <w:lang w:eastAsia="zh-CN"/>
        </w:rPr>
      </w:pPr>
      <w:r w:rsidRPr="00AA3A33">
        <w:rPr>
          <w:rFonts w:ascii="Times New Roman" w:hAnsi="Times New Roman"/>
          <w:color w:val="4472C4" w:themeColor="accent1"/>
          <w:sz w:val="20"/>
          <w:szCs w:val="20"/>
          <w:lang w:eastAsia="zh-CN"/>
        </w:rPr>
        <w:t>gNB-side PDC: UE is configured to provide Rx-Tx time difference report to gNB in existing measurement</w:t>
      </w:r>
      <w:r w:rsidR="00FE7C03">
        <w:rPr>
          <w:rFonts w:ascii="Times New Roman" w:hAnsi="Times New Roman"/>
          <w:color w:val="4472C4" w:themeColor="accent1"/>
          <w:sz w:val="20"/>
          <w:szCs w:val="20"/>
          <w:lang w:eastAsia="zh-CN"/>
        </w:rPr>
        <w:t xml:space="preserve"> report</w:t>
      </w:r>
      <w:r w:rsidRPr="00AA3A33">
        <w:rPr>
          <w:rFonts w:ascii="Times New Roman" w:hAnsi="Times New Roman"/>
          <w:color w:val="4472C4" w:themeColor="accent1"/>
          <w:sz w:val="20"/>
          <w:szCs w:val="20"/>
          <w:lang w:eastAsia="zh-CN"/>
        </w:rPr>
        <w:t xml:space="preserve"> framework. gNB performs PDC calculation based on UE’s report, and send</w:t>
      </w:r>
      <w:r w:rsidR="00D046DD">
        <w:rPr>
          <w:rFonts w:ascii="Times New Roman" w:hAnsi="Times New Roman"/>
          <w:color w:val="4472C4" w:themeColor="accent1"/>
          <w:sz w:val="20"/>
          <w:szCs w:val="20"/>
          <w:lang w:eastAsia="zh-CN"/>
        </w:rPr>
        <w:t>s</w:t>
      </w:r>
      <w:r w:rsidRPr="00AA3A33">
        <w:rPr>
          <w:rFonts w:ascii="Times New Roman" w:hAnsi="Times New Roman"/>
          <w:color w:val="4472C4" w:themeColor="accent1"/>
          <w:sz w:val="20"/>
          <w:szCs w:val="20"/>
          <w:lang w:eastAsia="zh-CN"/>
        </w:rPr>
        <w:t xml:space="preserve"> the compensated reference time to UE.</w:t>
      </w:r>
    </w:p>
    <w:p w14:paraId="590B5DC1" w14:textId="23A5E687" w:rsidR="00A76EA8" w:rsidRDefault="002E6A71" w:rsidP="00A76EA8">
      <w:pPr>
        <w:rPr>
          <w:color w:val="4472C4" w:themeColor="accent1"/>
          <w:lang w:eastAsia="zh-CN"/>
        </w:rPr>
      </w:pPr>
      <w:r>
        <w:rPr>
          <w:color w:val="4472C4" w:themeColor="accent1"/>
          <w:lang w:eastAsia="zh-CN"/>
        </w:rPr>
        <w:lastRenderedPageBreak/>
        <w:t>T</w:t>
      </w:r>
      <w:r w:rsidR="00A76EA8" w:rsidRPr="0054071D">
        <w:rPr>
          <w:color w:val="4472C4" w:themeColor="accent1"/>
          <w:lang w:eastAsia="zh-CN"/>
        </w:rPr>
        <w:t xml:space="preserve">he </w:t>
      </w:r>
      <w:r w:rsidR="0054071D">
        <w:rPr>
          <w:color w:val="4472C4" w:themeColor="accent1"/>
          <w:lang w:eastAsia="zh-CN"/>
        </w:rPr>
        <w:t xml:space="preserve">additional </w:t>
      </w:r>
      <w:r w:rsidR="00A76EA8" w:rsidRPr="0054071D">
        <w:rPr>
          <w:color w:val="4472C4" w:themeColor="accent1"/>
          <w:lang w:eastAsia="zh-CN"/>
        </w:rPr>
        <w:t xml:space="preserve">complexity of gNB-side PDC from UE’s point of view is the related measurement report, </w:t>
      </w:r>
      <w:r w:rsidR="00A30EB3">
        <w:rPr>
          <w:color w:val="4472C4" w:themeColor="accent1"/>
          <w:lang w:eastAsia="zh-CN"/>
        </w:rPr>
        <w:t>which</w:t>
      </w:r>
      <w:r w:rsidR="00A76EA8" w:rsidRPr="0054071D">
        <w:rPr>
          <w:color w:val="4472C4" w:themeColor="accent1"/>
          <w:lang w:eastAsia="zh-CN"/>
        </w:rPr>
        <w:t xml:space="preserve"> is within the current measurement framework</w:t>
      </w:r>
      <w:r w:rsidR="003B1AB0">
        <w:rPr>
          <w:color w:val="4472C4" w:themeColor="accent1"/>
          <w:lang w:eastAsia="zh-CN"/>
        </w:rPr>
        <w:t xml:space="preserve">. Therefore it is expected </w:t>
      </w:r>
      <w:r w:rsidR="004D3D83">
        <w:rPr>
          <w:color w:val="4472C4" w:themeColor="accent1"/>
          <w:lang w:eastAsia="zh-CN"/>
        </w:rPr>
        <w:t xml:space="preserve">there is </w:t>
      </w:r>
      <w:r w:rsidR="003B1AB0">
        <w:rPr>
          <w:color w:val="4472C4" w:themeColor="accent1"/>
          <w:lang w:eastAsia="zh-CN"/>
        </w:rPr>
        <w:t xml:space="preserve">not much UE side complexity </w:t>
      </w:r>
      <w:r w:rsidR="004D3D83">
        <w:rPr>
          <w:color w:val="4472C4" w:themeColor="accent1"/>
          <w:lang w:eastAsia="zh-CN"/>
        </w:rPr>
        <w:t xml:space="preserve">increase </w:t>
      </w:r>
      <w:r w:rsidR="003B1AB0">
        <w:rPr>
          <w:color w:val="4472C4" w:themeColor="accent1"/>
          <w:lang w:eastAsia="zh-CN"/>
        </w:rPr>
        <w:t>to support gNB-side PDC.</w:t>
      </w:r>
    </w:p>
    <w:p w14:paraId="0C8C7CD4" w14:textId="3C02FFA9" w:rsidR="002D47A5" w:rsidRPr="0054071D" w:rsidRDefault="002D47A5" w:rsidP="00A76EA8">
      <w:pPr>
        <w:rPr>
          <w:color w:val="4472C4" w:themeColor="accent1"/>
          <w:lang w:eastAsia="zh-CN"/>
        </w:rPr>
      </w:pPr>
      <w:r>
        <w:rPr>
          <w:color w:val="4472C4" w:themeColor="accent1"/>
          <w:lang w:eastAsia="zh-CN"/>
        </w:rPr>
        <w:t>Given above discussion, it is proposed to go with option a to follow majority view.</w:t>
      </w:r>
    </w:p>
    <w:p w14:paraId="43567DF0" w14:textId="53E4BF9A" w:rsidR="002D47A5" w:rsidRPr="006E2A72" w:rsidRDefault="002D47A5" w:rsidP="002D47A5">
      <w:pPr>
        <w:rPr>
          <w:color w:val="4472C4" w:themeColor="accent1"/>
          <w:lang w:eastAsia="ko-KR"/>
        </w:rPr>
      </w:pPr>
      <w:r w:rsidRPr="006E2A72">
        <w:rPr>
          <w:b/>
          <w:bCs/>
          <w:color w:val="4472C4" w:themeColor="accent1"/>
          <w:lang w:eastAsia="zh-CN"/>
        </w:rPr>
        <w:t xml:space="preserve">Proposal </w:t>
      </w:r>
      <w:r w:rsidR="009D0560">
        <w:rPr>
          <w:b/>
          <w:color w:val="4472C4" w:themeColor="accent1"/>
          <w:lang w:eastAsia="ko-KR"/>
        </w:rPr>
        <w:t xml:space="preserve">1 </w:t>
      </w:r>
      <w:r w:rsidR="009D0560" w:rsidRPr="00A05BE2">
        <w:rPr>
          <w:bCs/>
          <w:color w:val="4472C4" w:themeColor="accent1"/>
          <w:lang w:eastAsia="ko-KR"/>
        </w:rPr>
        <w:t>(6/10)</w:t>
      </w:r>
      <w:r w:rsidRPr="00A05BE2">
        <w:rPr>
          <w:bCs/>
          <w:color w:val="4472C4" w:themeColor="accent1"/>
          <w:lang w:eastAsia="zh-CN"/>
        </w:rPr>
        <w:t xml:space="preserve">: </w:t>
      </w:r>
      <w:r w:rsidR="00D20AED" w:rsidRPr="00A05BE2">
        <w:rPr>
          <w:bCs/>
          <w:color w:val="4472C4" w:themeColor="accent1"/>
          <w:lang w:eastAsia="zh-CN"/>
        </w:rPr>
        <w:t>A</w:t>
      </w:r>
      <w:r w:rsidR="00D20AED" w:rsidRPr="006E2A72">
        <w:rPr>
          <w:color w:val="4472C4" w:themeColor="accent1"/>
          <w:lang w:eastAsia="zh-CN"/>
        </w:rPr>
        <w:t xml:space="preserve"> UE supporting FG 25-19/25-19a shall support both UE-side and gNB-side PDC. </w:t>
      </w:r>
    </w:p>
    <w:p w14:paraId="0CE0DCE4" w14:textId="77777777" w:rsidR="00DC6C6E" w:rsidRPr="00DC6C6E" w:rsidRDefault="00DC6C6E" w:rsidP="00E47EFF">
      <w:pPr>
        <w:rPr>
          <w:b/>
          <w:bCs/>
        </w:rPr>
      </w:pPr>
    </w:p>
    <w:p w14:paraId="3EA21E85" w14:textId="7D0340F3"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the dependency, capability type, and FRx/xDD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C56877">
            <w:pPr>
              <w:pStyle w:val="TAC"/>
              <w:jc w:val="left"/>
              <w:rPr>
                <w:b/>
                <w:lang w:val="en-US" w:eastAsia="zh-CN"/>
              </w:rPr>
            </w:pPr>
            <w:r>
              <w:rPr>
                <w:b/>
                <w:lang w:eastAsia="zh-CN"/>
              </w:rPr>
              <w:t>Comments</w:t>
            </w:r>
          </w:p>
        </w:tc>
      </w:tr>
      <w:tr w:rsidR="00E47EFF" w14:paraId="6EDE5CC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C56877">
            <w:pPr>
              <w:pStyle w:val="TAC"/>
              <w:jc w:val="left"/>
              <w:rPr>
                <w:rFonts w:eastAsia="Malgun Gothic" w:cs="Arial"/>
                <w:lang w:val="en-US" w:eastAsia="ko-KR"/>
              </w:rPr>
            </w:pPr>
          </w:p>
        </w:tc>
      </w:tr>
      <w:tr w:rsidR="00E47EFF" w:rsidRPr="00C2224F" w14:paraId="340E0C6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C56877">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C56877">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C56877">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C56877">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C56877">
            <w:pPr>
              <w:pStyle w:val="TAC"/>
              <w:jc w:val="left"/>
              <w:rPr>
                <w:rFonts w:cs="Arial"/>
                <w:lang w:val="en-US" w:eastAsia="zh-CN"/>
              </w:rPr>
            </w:pPr>
          </w:p>
        </w:tc>
      </w:tr>
      <w:tr w:rsidR="00802227" w14:paraId="61C4F91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618BF5A"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49FF4654" w14:textId="0168F2B6"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05357B3" w:rsidR="00802227" w:rsidRPr="00B95108" w:rsidRDefault="00C6691B"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E82AD0A" w14:textId="00A6E07F" w:rsidR="00802227" w:rsidRPr="00B95108" w:rsidRDefault="00C6691B"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096409" w14:paraId="4A79A509"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3E6B108"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04226B6F"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780278A" w14:textId="77777777" w:rsidR="00096409" w:rsidRPr="00B95108" w:rsidRDefault="00096409" w:rsidP="00B628B0">
            <w:pPr>
              <w:pStyle w:val="TAC"/>
              <w:jc w:val="left"/>
              <w:rPr>
                <w:rFonts w:cs="Arial"/>
                <w:lang w:val="en-US" w:eastAsia="zh-CN"/>
              </w:rPr>
            </w:pPr>
            <w:r>
              <w:rPr>
                <w:rFonts w:cs="Arial"/>
                <w:lang w:val="en-US" w:eastAsia="zh-CN"/>
              </w:rPr>
              <w:t xml:space="preserve">Fine to have the capability as per UE, as from the beginning of this WI, xDD, FRx differentiation have not been discussed or regarded as issues. </w:t>
            </w:r>
          </w:p>
        </w:tc>
      </w:tr>
      <w:tr w:rsidR="00802227" w14:paraId="5915860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4151631C" w:rsidR="00802227"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BF7A11C" w14:textId="420F1E88" w:rsidR="00802227" w:rsidRPr="00B95108" w:rsidRDefault="00673AEC"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24D37173" w:rsidR="00E47EFF" w:rsidRDefault="00E47EFF" w:rsidP="00E47EFF">
      <w:pPr>
        <w:adjustRightInd/>
        <w:textAlignment w:val="auto"/>
        <w:rPr>
          <w:lang w:eastAsia="zh-CN"/>
        </w:rPr>
      </w:pPr>
    </w:p>
    <w:p w14:paraId="3CCF5988" w14:textId="77777777" w:rsidR="004D1584" w:rsidRPr="004D1584" w:rsidRDefault="004D1584" w:rsidP="004D1584">
      <w:pPr>
        <w:rPr>
          <w:b/>
          <w:bCs/>
          <w:color w:val="4472C4" w:themeColor="accent1"/>
          <w:u w:val="single"/>
        </w:rPr>
      </w:pPr>
      <w:r w:rsidRPr="004D1584">
        <w:rPr>
          <w:b/>
          <w:bCs/>
          <w:color w:val="4472C4" w:themeColor="accent1"/>
          <w:u w:val="single"/>
        </w:rPr>
        <w:t>Summary</w:t>
      </w:r>
    </w:p>
    <w:p w14:paraId="79AA8E5E" w14:textId="33F028A4" w:rsidR="004D1584" w:rsidRDefault="00A86CB2" w:rsidP="004D1584">
      <w:pPr>
        <w:spacing w:after="0"/>
        <w:rPr>
          <w:color w:val="4472C4" w:themeColor="accent1"/>
        </w:rPr>
      </w:pPr>
      <w:r>
        <w:rPr>
          <w:color w:val="4472C4" w:themeColor="accent1"/>
        </w:rPr>
        <w:t xml:space="preserve">9 companies agree with rapporteur proposal. One company </w:t>
      </w:r>
      <w:r w:rsidR="000319AE">
        <w:rPr>
          <w:color w:val="4472C4" w:themeColor="accent1"/>
        </w:rPr>
        <w:t>initially had</w:t>
      </w:r>
      <w:r>
        <w:rPr>
          <w:color w:val="4472C4" w:themeColor="accent1"/>
        </w:rPr>
        <w:t xml:space="preserve"> concerns on per UE capability</w:t>
      </w:r>
      <w:r w:rsidR="006D5413">
        <w:rPr>
          <w:color w:val="4472C4" w:themeColor="accent1"/>
        </w:rPr>
        <w:t xml:space="preserve">, but considered per UE capability acceptable </w:t>
      </w:r>
      <w:r w:rsidR="000A6F93">
        <w:rPr>
          <w:color w:val="4472C4" w:themeColor="accent1"/>
        </w:rPr>
        <w:t xml:space="preserve">if the capability is conditioned on </w:t>
      </w:r>
      <w:r w:rsidR="000A6F93" w:rsidRPr="000A6F93">
        <w:rPr>
          <w:color w:val="4472C4" w:themeColor="accent1"/>
        </w:rPr>
        <w:t>FG 25-19 / 25-19a</w:t>
      </w:r>
      <w:r w:rsidR="006D5413">
        <w:rPr>
          <w:color w:val="4472C4" w:themeColor="accent1"/>
        </w:rPr>
        <w:t xml:space="preserve">. </w:t>
      </w:r>
      <w:r w:rsidR="00D970C5">
        <w:rPr>
          <w:color w:val="4472C4" w:themeColor="accent1"/>
        </w:rPr>
        <w:t xml:space="preserve">It is therefore proposed to agree on the </w:t>
      </w:r>
      <w:r w:rsidR="00F0202D">
        <w:rPr>
          <w:color w:val="4472C4" w:themeColor="accent1"/>
        </w:rPr>
        <w:t xml:space="preserve">following </w:t>
      </w:r>
      <w:r w:rsidR="00D970C5">
        <w:rPr>
          <w:color w:val="4472C4" w:themeColor="accent1"/>
        </w:rPr>
        <w:t>proposal.</w:t>
      </w:r>
    </w:p>
    <w:p w14:paraId="1F963F3A" w14:textId="77777777" w:rsidR="00D970C5" w:rsidRPr="004D1584" w:rsidRDefault="00D970C5" w:rsidP="004D1584">
      <w:pPr>
        <w:spacing w:after="0"/>
        <w:rPr>
          <w:color w:val="4472C4" w:themeColor="accent1"/>
        </w:rPr>
      </w:pPr>
    </w:p>
    <w:p w14:paraId="23F1E096" w14:textId="74E95D96" w:rsidR="00D970C5" w:rsidRPr="00D970C5" w:rsidRDefault="00D970C5" w:rsidP="00D970C5">
      <w:pPr>
        <w:rPr>
          <w:color w:val="4472C4" w:themeColor="accent1"/>
          <w:lang w:eastAsia="ko-KR"/>
        </w:rPr>
      </w:pPr>
      <w:r w:rsidRPr="00D970C5">
        <w:rPr>
          <w:b/>
          <w:bCs/>
          <w:color w:val="4472C4" w:themeColor="accent1"/>
          <w:lang w:eastAsia="zh-CN"/>
        </w:rPr>
        <w:t xml:space="preserve">Proposal </w:t>
      </w:r>
      <w:r w:rsidRPr="00D970C5">
        <w:rPr>
          <w:b/>
          <w:color w:val="4472C4" w:themeColor="accent1"/>
          <w:lang w:eastAsia="ko-KR"/>
        </w:rPr>
        <w:t>2</w:t>
      </w:r>
      <w:r w:rsidRPr="00D970C5">
        <w:rPr>
          <w:b/>
          <w:bCs/>
          <w:color w:val="4472C4" w:themeColor="accent1"/>
          <w:lang w:eastAsia="zh-CN"/>
        </w:rPr>
        <w:t xml:space="preserve">: </w:t>
      </w:r>
      <w:r w:rsidR="001356DF" w:rsidRPr="001356DF">
        <w:rPr>
          <w:color w:val="4472C4" w:themeColor="accent1"/>
        </w:rPr>
        <w:t xml:space="preserve">If RAN2 agrees that </w:t>
      </w:r>
      <w:r w:rsidR="001356DF">
        <w:rPr>
          <w:color w:val="4472C4" w:themeColor="accent1"/>
        </w:rPr>
        <w:t>a</w:t>
      </w:r>
      <w:r w:rsidR="001356DF" w:rsidRPr="001356DF">
        <w:rPr>
          <w:color w:val="4472C4" w:themeColor="accent1"/>
        </w:rPr>
        <w:t xml:space="preserve"> UE supporting FG 25-19/25-19a shall support UE-side PDC, </w:t>
      </w:r>
      <w:r w:rsidR="001356DF">
        <w:rPr>
          <w:color w:val="4472C4" w:themeColor="accent1"/>
        </w:rPr>
        <w:t>a</w:t>
      </w:r>
      <w:r w:rsidRPr="00D970C5">
        <w:rPr>
          <w:color w:val="4472C4" w:themeColor="accent1"/>
        </w:rPr>
        <w:t>n optional UE capability signalling is introduced for gNB side RTT based PDC. A UE supporting this feature shall also support FG 25-19 or 25-19a (the dependency can be further updated based on RAN1 progress). The capability is per UE, not FDD-TDD DIFF, not FR1-FR2 DIFF.</w:t>
      </w:r>
    </w:p>
    <w:p w14:paraId="5EB40FCF" w14:textId="77777777" w:rsidR="004D1584" w:rsidRDefault="004D1584"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C56877">
            <w:pPr>
              <w:pStyle w:val="TAC"/>
              <w:jc w:val="left"/>
              <w:rPr>
                <w:b/>
                <w:lang w:val="en-US" w:eastAsia="zh-CN"/>
              </w:rPr>
            </w:pPr>
            <w:r>
              <w:rPr>
                <w:b/>
                <w:lang w:eastAsia="zh-CN"/>
              </w:rPr>
              <w:t>Comments</w:t>
            </w:r>
          </w:p>
        </w:tc>
      </w:tr>
      <w:tr w:rsidR="007629B6" w14:paraId="3F8993E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C56877">
            <w:pPr>
              <w:pStyle w:val="TAC"/>
              <w:jc w:val="left"/>
              <w:rPr>
                <w:rFonts w:eastAsia="Malgun Gothic" w:cs="Arial"/>
                <w:lang w:val="en-US" w:eastAsia="ko-KR"/>
              </w:rPr>
            </w:pPr>
          </w:p>
        </w:tc>
      </w:tr>
      <w:tr w:rsidR="007629B6" w:rsidRPr="00C2224F" w14:paraId="271A578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C56877">
            <w:pPr>
              <w:pStyle w:val="TAC"/>
              <w:jc w:val="left"/>
              <w:rPr>
                <w:rFonts w:cs="Arial"/>
                <w:lang w:val="en-US" w:eastAsia="zh-CN"/>
              </w:rPr>
            </w:pPr>
          </w:p>
        </w:tc>
      </w:tr>
      <w:tr w:rsidR="002D6D92" w14:paraId="6C8FE0F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17AD5774"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0623456" w14:textId="2B5FA82E"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4A526E49" w:rsidR="00802227" w:rsidRPr="00B95108" w:rsidRDefault="00BC40E8"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5EB956DA" w14:textId="442D69A3" w:rsidR="00802227" w:rsidRPr="00B95108" w:rsidRDefault="00BC40E8"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096409" w14:paraId="2CED033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6CA4AA"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29F6099E"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5EDBAF9D" w14:textId="77777777" w:rsidR="00096409" w:rsidRPr="00B95108" w:rsidRDefault="00096409" w:rsidP="00B628B0">
            <w:pPr>
              <w:pStyle w:val="TAC"/>
              <w:jc w:val="left"/>
              <w:rPr>
                <w:rFonts w:cs="Arial"/>
                <w:lang w:val="en-US" w:eastAsia="zh-CN"/>
              </w:rPr>
            </w:pPr>
          </w:p>
        </w:tc>
      </w:tr>
      <w:tr w:rsidR="00802227" w14:paraId="171D10E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0808EB8E" w:rsidR="00802227" w:rsidRPr="00B95108" w:rsidRDefault="00673AEC" w:rsidP="00802227">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5735E4AD" w14:textId="7B77EC45" w:rsidR="00802227" w:rsidRPr="00B95108" w:rsidRDefault="00673AEC"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15B858B9" w:rsidR="007629B6" w:rsidRDefault="007629B6" w:rsidP="007629B6">
      <w:pPr>
        <w:adjustRightInd/>
        <w:textAlignment w:val="auto"/>
        <w:rPr>
          <w:lang w:eastAsia="zh-CN"/>
        </w:rPr>
      </w:pPr>
    </w:p>
    <w:p w14:paraId="49B2A6CE" w14:textId="77777777" w:rsidR="000A6F93" w:rsidRPr="004D1584" w:rsidRDefault="000A6F93" w:rsidP="000A6F93">
      <w:pPr>
        <w:rPr>
          <w:b/>
          <w:bCs/>
          <w:color w:val="4472C4" w:themeColor="accent1"/>
          <w:u w:val="single"/>
        </w:rPr>
      </w:pPr>
      <w:r w:rsidRPr="004D1584">
        <w:rPr>
          <w:b/>
          <w:bCs/>
          <w:color w:val="4472C4" w:themeColor="accent1"/>
          <w:u w:val="single"/>
        </w:rPr>
        <w:t>Summary</w:t>
      </w:r>
    </w:p>
    <w:p w14:paraId="4BD22A06" w14:textId="771CEA7A" w:rsidR="00673A71" w:rsidRDefault="008B6F7C" w:rsidP="00673A71">
      <w:pPr>
        <w:spacing w:after="0"/>
        <w:rPr>
          <w:color w:val="4472C4" w:themeColor="accent1"/>
        </w:rPr>
      </w:pPr>
      <w:r>
        <w:rPr>
          <w:color w:val="4472C4" w:themeColor="accent1"/>
        </w:rPr>
        <w:t>The discussion is same as Q2</w:t>
      </w:r>
      <w:r w:rsidR="00673A71">
        <w:rPr>
          <w:color w:val="4472C4" w:themeColor="accent1"/>
        </w:rPr>
        <w:t xml:space="preserve">. It is therefore proposed to agree on the </w:t>
      </w:r>
      <w:r w:rsidR="00D7215A">
        <w:rPr>
          <w:color w:val="4472C4" w:themeColor="accent1"/>
        </w:rPr>
        <w:t xml:space="preserve">following </w:t>
      </w:r>
      <w:r w:rsidR="00673A71">
        <w:rPr>
          <w:color w:val="4472C4" w:themeColor="accent1"/>
        </w:rPr>
        <w:t>proposal.</w:t>
      </w:r>
    </w:p>
    <w:p w14:paraId="65B5FA9C" w14:textId="58A303D1" w:rsidR="000A6F93" w:rsidRDefault="000A6F93" w:rsidP="000A6F93">
      <w:pPr>
        <w:spacing w:after="0"/>
        <w:rPr>
          <w:color w:val="4472C4" w:themeColor="accent1"/>
        </w:rPr>
      </w:pPr>
    </w:p>
    <w:p w14:paraId="38C2CE2C" w14:textId="0C66EB48" w:rsidR="00F11BCC" w:rsidRDefault="000A6F93" w:rsidP="0047439B">
      <w:pPr>
        <w:rPr>
          <w:color w:val="4472C4" w:themeColor="accent1"/>
        </w:rPr>
      </w:pPr>
      <w:r w:rsidRPr="001356DF">
        <w:rPr>
          <w:b/>
          <w:bCs/>
          <w:color w:val="4472C4" w:themeColor="accent1"/>
          <w:lang w:eastAsia="zh-CN"/>
        </w:rPr>
        <w:t xml:space="preserve">Proposal </w:t>
      </w:r>
      <w:r w:rsidR="004460FF" w:rsidRPr="001356DF">
        <w:rPr>
          <w:b/>
          <w:color w:val="4472C4" w:themeColor="accent1"/>
          <w:lang w:eastAsia="ko-KR"/>
        </w:rPr>
        <w:t>3</w:t>
      </w:r>
      <w:r w:rsidRPr="001356DF">
        <w:rPr>
          <w:b/>
          <w:bCs/>
          <w:color w:val="4472C4" w:themeColor="accent1"/>
          <w:lang w:eastAsia="zh-CN"/>
        </w:rPr>
        <w:t xml:space="preserve">: </w:t>
      </w:r>
      <w:r w:rsidR="00CB0FCF" w:rsidRPr="00F11BCC">
        <w:rPr>
          <w:color w:val="4472C4" w:themeColor="accent1"/>
        </w:rPr>
        <w:t xml:space="preserve">If RAN2 agrees that a UE supporting FG 25-19/25-19a </w:t>
      </w:r>
      <w:r w:rsidR="00BF6451">
        <w:rPr>
          <w:color w:val="4472C4" w:themeColor="accent1"/>
        </w:rPr>
        <w:t>shall support either</w:t>
      </w:r>
      <w:r w:rsidR="00CB0FCF" w:rsidRPr="00F11BCC">
        <w:rPr>
          <w:color w:val="4472C4" w:themeColor="accent1"/>
        </w:rPr>
        <w:t xml:space="preserve"> UE-side PDC or gNB-side PDC</w:t>
      </w:r>
      <w:r w:rsidR="00F11BCC">
        <w:rPr>
          <w:color w:val="4472C4" w:themeColor="accent1"/>
        </w:rPr>
        <w:t>, following capabilities are introduced:</w:t>
      </w:r>
    </w:p>
    <w:p w14:paraId="2A0557BD" w14:textId="37B8475E" w:rsidR="0047439B" w:rsidRPr="00F11BCC" w:rsidRDefault="0047439B" w:rsidP="00F11BCC">
      <w:pPr>
        <w:pStyle w:val="ListParagraph"/>
        <w:numPr>
          <w:ilvl w:val="0"/>
          <w:numId w:val="35"/>
        </w:numPr>
        <w:rPr>
          <w:rFonts w:ascii="Times New Roman" w:hAnsi="Times New Roman"/>
          <w:color w:val="4472C4" w:themeColor="accent1"/>
          <w:sz w:val="20"/>
          <w:szCs w:val="20"/>
        </w:rPr>
      </w:pPr>
      <w:r w:rsidRPr="00F11BCC">
        <w:rPr>
          <w:rFonts w:ascii="Times New Roman" w:hAnsi="Times New Roman"/>
          <w:color w:val="4472C4" w:themeColor="accent1"/>
          <w:sz w:val="20"/>
          <w:szCs w:val="20"/>
        </w:rPr>
        <w:t xml:space="preserve">An optional UE capability signalling is introduced for gNB side RTT based PDC. A UE supporting this feature shall also support FG 25-19 or 25-19a (the dependency can be further updated based on RAN1 progress). The capability is per UE, not FDD-TDD DIFF, not FR1-FR2 DIFF. </w:t>
      </w:r>
    </w:p>
    <w:p w14:paraId="1677EB50" w14:textId="2A03B00C" w:rsidR="000A6F93" w:rsidRPr="00F11BCC" w:rsidRDefault="0047439B" w:rsidP="00F11BCC">
      <w:pPr>
        <w:pStyle w:val="ListParagraph"/>
        <w:numPr>
          <w:ilvl w:val="0"/>
          <w:numId w:val="35"/>
        </w:numPr>
        <w:rPr>
          <w:rFonts w:ascii="Times New Roman" w:hAnsi="Times New Roman"/>
          <w:color w:val="4472C4" w:themeColor="accent1"/>
          <w:sz w:val="20"/>
          <w:szCs w:val="20"/>
        </w:rPr>
      </w:pPr>
      <w:r w:rsidRPr="00F11BCC">
        <w:rPr>
          <w:rFonts w:ascii="Times New Roman" w:hAnsi="Times New Roman"/>
          <w:color w:val="4472C4" w:themeColor="accent1"/>
          <w:sz w:val="20"/>
          <w:szCs w:val="20"/>
        </w:rPr>
        <w:t>An optional UE capability signalling is introduced for UE side RTT based PDC. A UE supporting this feature shall also support FG 25-19 or 25-19a (the dependency can be further updated based on RAN1 progress). The capability is per UE, not FDD-TDD DIFF, not FR1-FR2 DIFF.</w:t>
      </w:r>
    </w:p>
    <w:p w14:paraId="5D4087B2" w14:textId="4386F613" w:rsidR="003D084F" w:rsidRDefault="003D084F" w:rsidP="003D084F">
      <w:pPr>
        <w:pStyle w:val="Heading2"/>
        <w:ind w:left="840"/>
        <w:rPr>
          <w:rFonts w:eastAsia="SimSun"/>
          <w:lang w:eastAsia="zh-CN"/>
        </w:rPr>
      </w:pPr>
      <w:r>
        <w:rPr>
          <w:rFonts w:eastAsia="SimSun"/>
          <w:lang w:eastAsia="zh-CN"/>
        </w:rPr>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C56877">
            <w:pPr>
              <w:pStyle w:val="TAC"/>
              <w:jc w:val="left"/>
              <w:rPr>
                <w:b/>
                <w:lang w:eastAsia="zh-CN"/>
              </w:rPr>
            </w:pPr>
            <w:r>
              <w:rPr>
                <w:b/>
                <w:lang w:eastAsia="zh-CN"/>
              </w:rPr>
              <w:lastRenderedPageBreak/>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C56877">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C56877">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C56877">
            <w:pPr>
              <w:pStyle w:val="TAC"/>
              <w:jc w:val="left"/>
              <w:rPr>
                <w:rFonts w:eastAsia="Malgun Gothic" w:cs="Arial"/>
                <w:lang w:val="en-US" w:eastAsia="ko-KR"/>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3"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3"/>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[POST116bis-e][513][IIoT] CP open issues (Ericsson)</w:t>
      </w:r>
      <w:r w:rsidRPr="00367663">
        <w:t>"</w:t>
      </w:r>
    </w:p>
    <w:p w14:paraId="4D33201D" w14:textId="563FB6FB" w:rsidR="00A31180" w:rsidRDefault="00A31180" w:rsidP="00A31180">
      <w:bookmarkStart w:id="4"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4"/>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5"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5"/>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6"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0557" w14:textId="77777777" w:rsidR="0052615A" w:rsidRDefault="0052615A">
      <w:r>
        <w:separator/>
      </w:r>
    </w:p>
  </w:endnote>
  <w:endnote w:type="continuationSeparator" w:id="0">
    <w:p w14:paraId="065A789D" w14:textId="77777777" w:rsidR="0052615A" w:rsidRDefault="0052615A">
      <w:r>
        <w:continuationSeparator/>
      </w:r>
    </w:p>
  </w:endnote>
  <w:endnote w:type="continuationNotice" w:id="1">
    <w:p w14:paraId="26608A74" w14:textId="77777777" w:rsidR="0052615A" w:rsidRDefault="00526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0D433EAE" w:rsidR="00C56877" w:rsidRDefault="00C5687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6409">
      <w:rPr>
        <w:rFonts w:ascii="Arial" w:hAnsi="Arial" w:cs="Arial"/>
        <w:b/>
        <w:noProof/>
        <w:sz w:val="18"/>
        <w:szCs w:val="18"/>
      </w:rPr>
      <w:t>5</w:t>
    </w:r>
    <w:r>
      <w:rPr>
        <w:rFonts w:ascii="Arial" w:hAnsi="Arial" w:cs="Arial"/>
        <w:b/>
        <w:sz w:val="18"/>
        <w:szCs w:val="18"/>
      </w:rPr>
      <w:fldChar w:fldCharType="end"/>
    </w:r>
  </w:p>
  <w:p w14:paraId="073B6B8F" w14:textId="77777777" w:rsidR="00C56877" w:rsidRDefault="00C56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920F" w14:textId="77777777" w:rsidR="0052615A" w:rsidRDefault="0052615A">
      <w:r>
        <w:separator/>
      </w:r>
    </w:p>
  </w:footnote>
  <w:footnote w:type="continuationSeparator" w:id="0">
    <w:p w14:paraId="42A9262B" w14:textId="77777777" w:rsidR="0052615A" w:rsidRDefault="0052615A">
      <w:r>
        <w:continuationSeparator/>
      </w:r>
    </w:p>
  </w:footnote>
  <w:footnote w:type="continuationNotice" w:id="1">
    <w:p w14:paraId="5E0EAD55" w14:textId="77777777" w:rsidR="0052615A" w:rsidRDefault="005261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E538C"/>
    <w:multiLevelType w:val="hybridMultilevel"/>
    <w:tmpl w:val="C1044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23F28"/>
    <w:multiLevelType w:val="hybridMultilevel"/>
    <w:tmpl w:val="255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62DA4"/>
    <w:multiLevelType w:val="hybridMultilevel"/>
    <w:tmpl w:val="6614A978"/>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9"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C6742A"/>
    <w:multiLevelType w:val="hybridMultilevel"/>
    <w:tmpl w:val="A60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2"/>
  </w:num>
  <w:num w:numId="4">
    <w:abstractNumId w:val="20"/>
  </w:num>
  <w:num w:numId="5">
    <w:abstractNumId w:val="1"/>
  </w:num>
  <w:num w:numId="6">
    <w:abstractNumId w:val="3"/>
  </w:num>
  <w:num w:numId="7">
    <w:abstractNumId w:val="13"/>
  </w:num>
  <w:num w:numId="8">
    <w:abstractNumId w:val="19"/>
  </w:num>
  <w:num w:numId="9">
    <w:abstractNumId w:val="17"/>
  </w:num>
  <w:num w:numId="10">
    <w:abstractNumId w:val="30"/>
  </w:num>
  <w:num w:numId="11">
    <w:abstractNumId w:val="15"/>
  </w:num>
  <w:num w:numId="12">
    <w:abstractNumId w:val="7"/>
  </w:num>
  <w:num w:numId="13">
    <w:abstractNumId w:val="31"/>
  </w:num>
  <w:num w:numId="14">
    <w:abstractNumId w:val="28"/>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4"/>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29"/>
  </w:num>
  <w:num w:numId="30">
    <w:abstractNumId w:val="10"/>
  </w:num>
  <w:num w:numId="31">
    <w:abstractNumId w:val="2"/>
  </w:num>
  <w:num w:numId="32">
    <w:abstractNumId w:val="23"/>
  </w:num>
  <w:num w:numId="33">
    <w:abstractNumId w:val="11"/>
  </w:num>
  <w:num w:numId="34">
    <w:abstractNumId w:val="5"/>
  </w:num>
  <w:num w:numId="35">
    <w:abstractNumId w:val="32"/>
  </w:num>
  <w:num w:numId="36">
    <w:abstractNumId w:val="25"/>
  </w:num>
  <w:num w:numId="37">
    <w:abstractNumId w:val="18"/>
  </w:num>
  <w:num w:numId="3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40"/>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9AE"/>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A2D"/>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472"/>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09"/>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6F93"/>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42D"/>
    <w:rsid w:val="000F363A"/>
    <w:rsid w:val="000F3891"/>
    <w:rsid w:val="000F3947"/>
    <w:rsid w:val="000F3A74"/>
    <w:rsid w:val="000F3A97"/>
    <w:rsid w:val="000F3C2F"/>
    <w:rsid w:val="000F3F24"/>
    <w:rsid w:val="000F400B"/>
    <w:rsid w:val="000F406A"/>
    <w:rsid w:val="000F4177"/>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3F"/>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C29"/>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27FFC"/>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6DF"/>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376"/>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3CB"/>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530"/>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5D0"/>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7A5"/>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A71"/>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444"/>
    <w:rsid w:val="002F194A"/>
    <w:rsid w:val="002F1984"/>
    <w:rsid w:val="002F1B23"/>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CF7"/>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5D"/>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644"/>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27"/>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96E"/>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AB0"/>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367"/>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8DF"/>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0FF"/>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39B"/>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1B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4E7C"/>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8A"/>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584"/>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D83"/>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AF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809"/>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5A"/>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71D"/>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69"/>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7C6"/>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139"/>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699"/>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08D"/>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A71"/>
    <w:rsid w:val="00673AEC"/>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CEB"/>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3C3"/>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1E73"/>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3"/>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A72"/>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6B41"/>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1F"/>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3B3"/>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7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36"/>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669"/>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FD"/>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EA5"/>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D04"/>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B2F"/>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C5D"/>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6F7C"/>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CB3"/>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4C9"/>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3F"/>
    <w:rsid w:val="00973254"/>
    <w:rsid w:val="0097336B"/>
    <w:rsid w:val="009736C6"/>
    <w:rsid w:val="0097373B"/>
    <w:rsid w:val="009737E7"/>
    <w:rsid w:val="00973981"/>
    <w:rsid w:val="00973A6E"/>
    <w:rsid w:val="00973B6E"/>
    <w:rsid w:val="00973E25"/>
    <w:rsid w:val="009741F9"/>
    <w:rsid w:val="0097424E"/>
    <w:rsid w:val="009742DC"/>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862"/>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0B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471"/>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0"/>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BE2"/>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0EB3"/>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6FC1"/>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309"/>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6EA8"/>
    <w:rsid w:val="00A7725D"/>
    <w:rsid w:val="00A774C2"/>
    <w:rsid w:val="00A77598"/>
    <w:rsid w:val="00A775C0"/>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CB2"/>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A33"/>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329"/>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1F44"/>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A91"/>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193"/>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96"/>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1F6"/>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0E8"/>
    <w:rsid w:val="00BC4463"/>
    <w:rsid w:val="00BC468F"/>
    <w:rsid w:val="00BC481A"/>
    <w:rsid w:val="00BC4928"/>
    <w:rsid w:val="00BC4A73"/>
    <w:rsid w:val="00BC4AB7"/>
    <w:rsid w:val="00BC4B03"/>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0FBF"/>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51"/>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279"/>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877"/>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91B"/>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1E2F"/>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0FCF"/>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9C2"/>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93C"/>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2D"/>
    <w:rsid w:val="00CD79DC"/>
    <w:rsid w:val="00CD7DF8"/>
    <w:rsid w:val="00CE0449"/>
    <w:rsid w:val="00CE0696"/>
    <w:rsid w:val="00CE089B"/>
    <w:rsid w:val="00CE099C"/>
    <w:rsid w:val="00CE0B14"/>
    <w:rsid w:val="00CE0D16"/>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6DD"/>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AED"/>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15A"/>
    <w:rsid w:val="00D722D5"/>
    <w:rsid w:val="00D72496"/>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BF5"/>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0C5"/>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C5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6E"/>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A39"/>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8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72E"/>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02D"/>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BCC"/>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2B5"/>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155"/>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0F02"/>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23"/>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81A"/>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11F"/>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84D"/>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09"/>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EA"/>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B790C"/>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3"/>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docId w15:val="{8F825A0E-00AD-4479-82CC-5E5BA80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60258181">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D0A29-12E9-47FD-BCCE-82C8592CBC2F}">
  <ds:schemaRefs>
    <ds:schemaRef ds:uri="http://schemas.openxmlformats.org/officeDocument/2006/bibliography"/>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470AA70-7BDB-4B72-B87E-927CD1F89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89</TotalTime>
  <Pages>6</Pages>
  <Words>2141</Words>
  <Characters>12208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cp:keywords>
  <cp:lastModifiedBy>Intel - Yujian Zhang</cp:lastModifiedBy>
  <cp:revision>168</cp:revision>
  <cp:lastPrinted>2004-04-14T09:17:00Z</cp:lastPrinted>
  <dcterms:created xsi:type="dcterms:W3CDTF">2022-02-28T09:56:00Z</dcterms:created>
  <dcterms:modified xsi:type="dcterms:W3CDTF">2022-03-01T02:36:00Z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