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3CCC" w14:textId="77777777" w:rsidR="00467D74" w:rsidRDefault="0003723C">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3GPP TSG-RAN WG2 Meeting #11</w:t>
      </w:r>
      <w:r>
        <w:rPr>
          <w:rFonts w:ascii="Arial" w:eastAsia="MS Mincho" w:hAnsi="Arial"/>
          <w:b/>
          <w:sz w:val="24"/>
          <w:szCs w:val="24"/>
          <w:lang w:val="en-US"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w:t>
      </w:r>
      <w:r>
        <w:rPr>
          <w:rFonts w:ascii="Arial" w:eastAsia="MS Mincho" w:hAnsi="Arial" w:hint="eastAsia"/>
          <w:b/>
          <w:sz w:val="24"/>
          <w:szCs w:val="24"/>
          <w:lang w:eastAsia="zh-CN"/>
        </w:rPr>
        <w:t>2202635</w:t>
      </w:r>
    </w:p>
    <w:p w14:paraId="47A415EE" w14:textId="77777777" w:rsidR="00467D74" w:rsidRDefault="0003723C">
      <w:pPr>
        <w:tabs>
          <w:tab w:val="right" w:pos="9639"/>
        </w:tabs>
        <w:spacing w:after="0"/>
        <w:rPr>
          <w:rFonts w:ascii="Arial" w:eastAsia="宋体" w:hAnsi="Arial"/>
          <w:b/>
          <w:sz w:val="24"/>
        </w:rPr>
      </w:pPr>
      <w:r>
        <w:rPr>
          <w:rFonts w:ascii="Arial" w:eastAsia="MS Mincho" w:hAnsi="Arial"/>
          <w:b/>
          <w:sz w:val="24"/>
          <w:szCs w:val="24"/>
          <w:lang w:eastAsia="zh-CN"/>
        </w:rPr>
        <w:t xml:space="preserve">Electronic Meeting, </w:t>
      </w:r>
      <w:r>
        <w:rPr>
          <w:rFonts w:ascii="Arial" w:eastAsia="MS Mincho" w:hAnsi="Arial"/>
          <w:b/>
          <w:sz w:val="24"/>
          <w:szCs w:val="24"/>
          <w:lang w:val="en-US" w:eastAsia="zh-CN"/>
        </w:rPr>
        <w:t>Feb</w:t>
      </w:r>
      <w:r>
        <w:rPr>
          <w:rFonts w:ascii="Arial" w:eastAsia="MS Mincho" w:hAnsi="Arial"/>
          <w:b/>
          <w:sz w:val="24"/>
          <w:szCs w:val="24"/>
          <w:lang w:eastAsia="zh-CN"/>
        </w:rPr>
        <w:t xml:space="preserve"> </w:t>
      </w:r>
      <w:r>
        <w:rPr>
          <w:rFonts w:ascii="Arial" w:eastAsia="MS Mincho" w:hAnsi="Arial"/>
          <w:b/>
          <w:sz w:val="24"/>
          <w:szCs w:val="24"/>
          <w:lang w:val="en-US" w:eastAsia="zh-CN"/>
        </w:rPr>
        <w:t>21</w:t>
      </w:r>
      <w:r>
        <w:rPr>
          <w:rFonts w:ascii="Arial" w:eastAsia="MS Mincho" w:hAnsi="Arial"/>
          <w:b/>
          <w:sz w:val="24"/>
          <w:szCs w:val="24"/>
          <w:lang w:eastAsia="zh-CN"/>
        </w:rPr>
        <w:t xml:space="preserve">– </w:t>
      </w:r>
      <w:r>
        <w:rPr>
          <w:rFonts w:ascii="Arial" w:eastAsia="MS Mincho" w:hAnsi="Arial"/>
          <w:b/>
          <w:sz w:val="24"/>
          <w:szCs w:val="24"/>
          <w:lang w:val="en-US" w:eastAsia="zh-CN"/>
        </w:rPr>
        <w:t>Mar 03</w:t>
      </w:r>
      <w:r>
        <w:rPr>
          <w:rFonts w:ascii="Arial" w:eastAsia="MS Mincho" w:hAnsi="Arial"/>
          <w:b/>
          <w:sz w:val="24"/>
          <w:szCs w:val="24"/>
          <w:lang w:eastAsia="zh-CN"/>
        </w:rPr>
        <w:t>, 202</w:t>
      </w:r>
      <w:r>
        <w:rPr>
          <w:rFonts w:ascii="Arial" w:eastAsia="MS Mincho" w:hAnsi="Arial"/>
          <w:b/>
          <w:sz w:val="24"/>
          <w:szCs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67D74" w14:paraId="3F80174E" w14:textId="77777777">
        <w:tc>
          <w:tcPr>
            <w:tcW w:w="9641" w:type="dxa"/>
            <w:gridSpan w:val="9"/>
            <w:tcBorders>
              <w:top w:val="single" w:sz="4" w:space="0" w:color="auto"/>
              <w:left w:val="single" w:sz="4" w:space="0" w:color="auto"/>
              <w:right w:val="single" w:sz="4" w:space="0" w:color="auto"/>
            </w:tcBorders>
          </w:tcPr>
          <w:p w14:paraId="7CEA31A9" w14:textId="77777777" w:rsidR="00467D74" w:rsidRDefault="0003723C">
            <w:pPr>
              <w:pStyle w:val="CRCoverPage"/>
              <w:spacing w:after="0"/>
              <w:jc w:val="right"/>
              <w:rPr>
                <w:i/>
              </w:rPr>
            </w:pPr>
            <w:r>
              <w:rPr>
                <w:i/>
                <w:sz w:val="14"/>
              </w:rPr>
              <w:t>CR-Form-v12.1</w:t>
            </w:r>
          </w:p>
        </w:tc>
      </w:tr>
      <w:tr w:rsidR="00467D74" w14:paraId="2E8DAF6F" w14:textId="77777777">
        <w:tc>
          <w:tcPr>
            <w:tcW w:w="9641" w:type="dxa"/>
            <w:gridSpan w:val="9"/>
            <w:tcBorders>
              <w:left w:val="single" w:sz="4" w:space="0" w:color="auto"/>
              <w:right w:val="single" w:sz="4" w:space="0" w:color="auto"/>
            </w:tcBorders>
          </w:tcPr>
          <w:p w14:paraId="300AEF5E" w14:textId="77777777" w:rsidR="00467D74" w:rsidRDefault="0003723C">
            <w:pPr>
              <w:pStyle w:val="CRCoverPage"/>
              <w:spacing w:after="0"/>
              <w:jc w:val="center"/>
            </w:pPr>
            <w:r>
              <w:rPr>
                <w:b/>
                <w:sz w:val="32"/>
              </w:rPr>
              <w:t>CHANGE REQUEST</w:t>
            </w:r>
          </w:p>
        </w:tc>
      </w:tr>
      <w:tr w:rsidR="00467D74" w14:paraId="0A10790F" w14:textId="77777777">
        <w:tc>
          <w:tcPr>
            <w:tcW w:w="9641" w:type="dxa"/>
            <w:gridSpan w:val="9"/>
            <w:tcBorders>
              <w:left w:val="single" w:sz="4" w:space="0" w:color="auto"/>
              <w:right w:val="single" w:sz="4" w:space="0" w:color="auto"/>
            </w:tcBorders>
          </w:tcPr>
          <w:p w14:paraId="0C8FF757" w14:textId="77777777" w:rsidR="00467D74" w:rsidRDefault="00467D74">
            <w:pPr>
              <w:pStyle w:val="CRCoverPage"/>
              <w:spacing w:after="0"/>
              <w:rPr>
                <w:sz w:val="8"/>
                <w:szCs w:val="8"/>
              </w:rPr>
            </w:pPr>
          </w:p>
        </w:tc>
      </w:tr>
      <w:tr w:rsidR="00467D74" w14:paraId="678B9F8D" w14:textId="77777777">
        <w:tc>
          <w:tcPr>
            <w:tcW w:w="142" w:type="dxa"/>
            <w:tcBorders>
              <w:left w:val="single" w:sz="4" w:space="0" w:color="auto"/>
            </w:tcBorders>
          </w:tcPr>
          <w:p w14:paraId="3500ED9F" w14:textId="77777777" w:rsidR="00467D74" w:rsidRDefault="00467D74">
            <w:pPr>
              <w:pStyle w:val="CRCoverPage"/>
              <w:spacing w:after="0"/>
              <w:jc w:val="right"/>
            </w:pPr>
          </w:p>
        </w:tc>
        <w:tc>
          <w:tcPr>
            <w:tcW w:w="1559" w:type="dxa"/>
            <w:shd w:val="pct30" w:color="FFFF00" w:fill="auto"/>
          </w:tcPr>
          <w:p w14:paraId="7FA8B6F0" w14:textId="77777777" w:rsidR="00467D74" w:rsidRDefault="002F337D">
            <w:pPr>
              <w:pStyle w:val="CRCoverPage"/>
              <w:spacing w:after="0"/>
              <w:jc w:val="right"/>
              <w:rPr>
                <w:b/>
                <w:sz w:val="28"/>
                <w:lang w:eastAsia="zh-CN"/>
              </w:rPr>
            </w:pPr>
            <w:r>
              <w:fldChar w:fldCharType="begin"/>
            </w:r>
            <w:r>
              <w:instrText xml:space="preserve"> DOCPROPERTY  Spec#  \* MERGEFORMAT </w:instrText>
            </w:r>
            <w:r>
              <w:fldChar w:fldCharType="separate"/>
            </w:r>
            <w:r w:rsidR="0003723C">
              <w:rPr>
                <w:rFonts w:hint="eastAsia"/>
                <w:b/>
                <w:sz w:val="28"/>
                <w:lang w:eastAsia="zh-CN"/>
              </w:rPr>
              <w:t>36.3</w:t>
            </w:r>
            <w:r w:rsidR="0003723C">
              <w:rPr>
                <w:b/>
                <w:sz w:val="28"/>
                <w:lang w:eastAsia="zh-CN"/>
              </w:rPr>
              <w:t>2</w:t>
            </w:r>
            <w:r w:rsidR="0003723C">
              <w:rPr>
                <w:rFonts w:hint="eastAsia"/>
                <w:b/>
                <w:sz w:val="28"/>
                <w:lang w:eastAsia="zh-CN"/>
              </w:rPr>
              <w:t>1</w:t>
            </w:r>
            <w:r>
              <w:rPr>
                <w:b/>
                <w:sz w:val="28"/>
                <w:lang w:eastAsia="zh-CN"/>
              </w:rPr>
              <w:fldChar w:fldCharType="end"/>
            </w:r>
          </w:p>
        </w:tc>
        <w:tc>
          <w:tcPr>
            <w:tcW w:w="709" w:type="dxa"/>
          </w:tcPr>
          <w:p w14:paraId="067F0EA6" w14:textId="77777777" w:rsidR="00467D74" w:rsidRDefault="0003723C">
            <w:pPr>
              <w:pStyle w:val="CRCoverPage"/>
              <w:spacing w:after="0"/>
              <w:jc w:val="center"/>
            </w:pPr>
            <w:r>
              <w:rPr>
                <w:b/>
                <w:sz w:val="28"/>
              </w:rPr>
              <w:t>CR</w:t>
            </w:r>
          </w:p>
        </w:tc>
        <w:tc>
          <w:tcPr>
            <w:tcW w:w="1276" w:type="dxa"/>
            <w:shd w:val="pct30" w:color="FFFF00" w:fill="auto"/>
          </w:tcPr>
          <w:p w14:paraId="5361BAB7" w14:textId="77777777" w:rsidR="00467D74" w:rsidRDefault="0003723C">
            <w:pPr>
              <w:pStyle w:val="CRCoverPage"/>
              <w:spacing w:after="0"/>
              <w:ind w:right="560"/>
              <w:jc w:val="right"/>
              <w:rPr>
                <w:lang w:eastAsia="zh-CN"/>
              </w:rPr>
            </w:pPr>
            <w:r>
              <w:rPr>
                <w:b/>
                <w:sz w:val="28"/>
                <w:lang w:eastAsia="zh-CN"/>
              </w:rPr>
              <w:t>draft</w:t>
            </w:r>
          </w:p>
        </w:tc>
        <w:tc>
          <w:tcPr>
            <w:tcW w:w="709" w:type="dxa"/>
          </w:tcPr>
          <w:p w14:paraId="6744D219" w14:textId="77777777" w:rsidR="00467D74" w:rsidRDefault="0003723C">
            <w:pPr>
              <w:pStyle w:val="CRCoverPage"/>
              <w:tabs>
                <w:tab w:val="right" w:pos="625"/>
              </w:tabs>
              <w:spacing w:after="0"/>
              <w:jc w:val="center"/>
            </w:pPr>
            <w:r>
              <w:rPr>
                <w:b/>
                <w:bCs/>
                <w:sz w:val="28"/>
              </w:rPr>
              <w:t>rev</w:t>
            </w:r>
          </w:p>
        </w:tc>
        <w:tc>
          <w:tcPr>
            <w:tcW w:w="992" w:type="dxa"/>
            <w:shd w:val="pct30" w:color="FFFF00" w:fill="auto"/>
          </w:tcPr>
          <w:p w14:paraId="563CFE32" w14:textId="77777777" w:rsidR="00467D74" w:rsidRDefault="0003723C">
            <w:pPr>
              <w:pStyle w:val="CRCoverPage"/>
              <w:spacing w:after="0"/>
              <w:ind w:right="560"/>
              <w:jc w:val="right"/>
              <w:rPr>
                <w:b/>
                <w:lang w:eastAsia="zh-CN"/>
              </w:rPr>
            </w:pPr>
            <w:r>
              <w:rPr>
                <w:rFonts w:hint="eastAsia"/>
                <w:b/>
                <w:lang w:eastAsia="zh-CN"/>
              </w:rPr>
              <w:t>-</w:t>
            </w:r>
          </w:p>
        </w:tc>
        <w:tc>
          <w:tcPr>
            <w:tcW w:w="2410" w:type="dxa"/>
          </w:tcPr>
          <w:p w14:paraId="7CF09A54" w14:textId="77777777" w:rsidR="00467D74" w:rsidRDefault="0003723C">
            <w:pPr>
              <w:pStyle w:val="CRCoverPage"/>
              <w:tabs>
                <w:tab w:val="right" w:pos="1825"/>
              </w:tabs>
              <w:spacing w:after="0"/>
              <w:jc w:val="center"/>
            </w:pPr>
            <w:r>
              <w:rPr>
                <w:b/>
                <w:sz w:val="28"/>
                <w:szCs w:val="28"/>
              </w:rPr>
              <w:t>Current version:</w:t>
            </w:r>
          </w:p>
        </w:tc>
        <w:tc>
          <w:tcPr>
            <w:tcW w:w="1701" w:type="dxa"/>
            <w:shd w:val="pct30" w:color="FFFF00" w:fill="auto"/>
          </w:tcPr>
          <w:p w14:paraId="355D8460" w14:textId="77777777" w:rsidR="00467D74" w:rsidRDefault="0003723C">
            <w:pPr>
              <w:pStyle w:val="CRCoverPage"/>
              <w:spacing w:after="0"/>
              <w:ind w:right="560"/>
              <w:jc w:val="right"/>
              <w:rPr>
                <w:sz w:val="28"/>
              </w:rPr>
            </w:pPr>
            <w:r>
              <w:rPr>
                <w:b/>
                <w:sz w:val="28"/>
                <w:lang w:eastAsia="zh-CN"/>
              </w:rPr>
              <w:t>16.6.</w:t>
            </w:r>
            <w:r>
              <w:rPr>
                <w:rFonts w:hint="eastAsia"/>
                <w:b/>
                <w:sz w:val="28"/>
                <w:lang w:eastAsia="zh-CN"/>
              </w:rPr>
              <w:t>0</w:t>
            </w:r>
          </w:p>
        </w:tc>
        <w:tc>
          <w:tcPr>
            <w:tcW w:w="143" w:type="dxa"/>
            <w:tcBorders>
              <w:right w:val="single" w:sz="4" w:space="0" w:color="auto"/>
            </w:tcBorders>
          </w:tcPr>
          <w:p w14:paraId="5FAC1417" w14:textId="77777777" w:rsidR="00467D74" w:rsidRDefault="00467D74">
            <w:pPr>
              <w:pStyle w:val="CRCoverPage"/>
              <w:spacing w:after="0"/>
            </w:pPr>
          </w:p>
        </w:tc>
      </w:tr>
      <w:tr w:rsidR="00467D74" w14:paraId="098E79B9" w14:textId="77777777">
        <w:tc>
          <w:tcPr>
            <w:tcW w:w="9641" w:type="dxa"/>
            <w:gridSpan w:val="9"/>
            <w:tcBorders>
              <w:left w:val="single" w:sz="4" w:space="0" w:color="auto"/>
              <w:right w:val="single" w:sz="4" w:space="0" w:color="auto"/>
            </w:tcBorders>
          </w:tcPr>
          <w:p w14:paraId="7274E552" w14:textId="77777777" w:rsidR="00467D74" w:rsidRDefault="00467D74">
            <w:pPr>
              <w:pStyle w:val="CRCoverPage"/>
              <w:spacing w:after="0"/>
            </w:pPr>
          </w:p>
        </w:tc>
      </w:tr>
      <w:tr w:rsidR="00467D74" w14:paraId="6E5B5BE7" w14:textId="77777777">
        <w:tc>
          <w:tcPr>
            <w:tcW w:w="9641" w:type="dxa"/>
            <w:gridSpan w:val="9"/>
            <w:tcBorders>
              <w:top w:val="single" w:sz="4" w:space="0" w:color="auto"/>
            </w:tcBorders>
          </w:tcPr>
          <w:p w14:paraId="39E0564B" w14:textId="77777777" w:rsidR="00467D74" w:rsidRDefault="0003723C">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467D74" w14:paraId="05CD3D47" w14:textId="77777777">
        <w:tc>
          <w:tcPr>
            <w:tcW w:w="9641" w:type="dxa"/>
            <w:gridSpan w:val="9"/>
          </w:tcPr>
          <w:p w14:paraId="41E192E5" w14:textId="77777777" w:rsidR="00467D74" w:rsidRDefault="00467D74">
            <w:pPr>
              <w:pStyle w:val="CRCoverPage"/>
              <w:spacing w:after="0"/>
              <w:rPr>
                <w:sz w:val="8"/>
                <w:szCs w:val="8"/>
              </w:rPr>
            </w:pPr>
          </w:p>
        </w:tc>
      </w:tr>
    </w:tbl>
    <w:p w14:paraId="2DB4775B" w14:textId="77777777" w:rsidR="00467D74" w:rsidRDefault="00467D7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67D74" w14:paraId="4AA66041" w14:textId="77777777">
        <w:tc>
          <w:tcPr>
            <w:tcW w:w="2835" w:type="dxa"/>
          </w:tcPr>
          <w:p w14:paraId="7F539820" w14:textId="77777777" w:rsidR="00467D74" w:rsidRDefault="0003723C">
            <w:pPr>
              <w:pStyle w:val="CRCoverPage"/>
              <w:tabs>
                <w:tab w:val="right" w:pos="2751"/>
              </w:tabs>
              <w:spacing w:after="0"/>
              <w:rPr>
                <w:b/>
                <w:i/>
              </w:rPr>
            </w:pPr>
            <w:r>
              <w:rPr>
                <w:b/>
                <w:i/>
              </w:rPr>
              <w:t>Proposed change affects:</w:t>
            </w:r>
          </w:p>
        </w:tc>
        <w:tc>
          <w:tcPr>
            <w:tcW w:w="1418" w:type="dxa"/>
          </w:tcPr>
          <w:p w14:paraId="44FFFB10" w14:textId="77777777" w:rsidR="00467D74" w:rsidRDefault="000372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4F5CF8" w14:textId="77777777" w:rsidR="00467D74" w:rsidRDefault="00467D74">
            <w:pPr>
              <w:pStyle w:val="CRCoverPage"/>
              <w:spacing w:after="0"/>
              <w:jc w:val="center"/>
              <w:rPr>
                <w:b/>
                <w:caps/>
              </w:rPr>
            </w:pPr>
          </w:p>
        </w:tc>
        <w:tc>
          <w:tcPr>
            <w:tcW w:w="709" w:type="dxa"/>
            <w:tcBorders>
              <w:left w:val="single" w:sz="4" w:space="0" w:color="auto"/>
            </w:tcBorders>
          </w:tcPr>
          <w:p w14:paraId="1EAE6CDD" w14:textId="77777777" w:rsidR="00467D74" w:rsidRDefault="000372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931ACD" w14:textId="77777777" w:rsidR="00467D74" w:rsidRDefault="00467D74">
            <w:pPr>
              <w:pStyle w:val="CRCoverPage"/>
              <w:spacing w:after="0"/>
              <w:jc w:val="center"/>
              <w:rPr>
                <w:b/>
                <w:caps/>
                <w:lang w:eastAsia="zh-CN"/>
              </w:rPr>
            </w:pPr>
          </w:p>
        </w:tc>
        <w:tc>
          <w:tcPr>
            <w:tcW w:w="2126" w:type="dxa"/>
          </w:tcPr>
          <w:p w14:paraId="3A77ED02" w14:textId="77777777" w:rsidR="00467D74" w:rsidRDefault="000372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CC4AF5" w14:textId="77777777" w:rsidR="00467D74" w:rsidRDefault="0003723C">
            <w:pPr>
              <w:pStyle w:val="CRCoverPage"/>
              <w:spacing w:after="0"/>
              <w:jc w:val="center"/>
              <w:rPr>
                <w:b/>
                <w:caps/>
                <w:lang w:eastAsia="zh-CN"/>
              </w:rPr>
            </w:pPr>
            <w:r>
              <w:rPr>
                <w:rFonts w:hint="eastAsia"/>
                <w:b/>
                <w:caps/>
                <w:lang w:eastAsia="zh-CN"/>
              </w:rPr>
              <w:t>X</w:t>
            </w:r>
          </w:p>
        </w:tc>
        <w:tc>
          <w:tcPr>
            <w:tcW w:w="1418" w:type="dxa"/>
            <w:tcBorders>
              <w:left w:val="nil"/>
            </w:tcBorders>
          </w:tcPr>
          <w:p w14:paraId="29645BB1" w14:textId="77777777" w:rsidR="00467D74" w:rsidRDefault="000372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1E621B" w14:textId="77777777" w:rsidR="00467D74" w:rsidRDefault="00467D74">
            <w:pPr>
              <w:pStyle w:val="CRCoverPage"/>
              <w:spacing w:after="0"/>
              <w:jc w:val="center"/>
              <w:rPr>
                <w:b/>
                <w:bCs/>
                <w:caps/>
              </w:rPr>
            </w:pPr>
          </w:p>
        </w:tc>
      </w:tr>
    </w:tbl>
    <w:p w14:paraId="6BC76B29" w14:textId="77777777" w:rsidR="00467D74" w:rsidRDefault="00467D74">
      <w:pPr>
        <w:rPr>
          <w:sz w:val="8"/>
          <w:szCs w:val="8"/>
        </w:rPr>
      </w:pPr>
    </w:p>
    <w:tbl>
      <w:tblPr>
        <w:tblW w:w="9682" w:type="dxa"/>
        <w:tblLayout w:type="fixed"/>
        <w:tblCellMar>
          <w:left w:w="42" w:type="dxa"/>
          <w:right w:w="42" w:type="dxa"/>
        </w:tblCellMar>
        <w:tblLook w:val="04A0" w:firstRow="1" w:lastRow="0" w:firstColumn="1" w:lastColumn="0" w:noHBand="0" w:noVBand="1"/>
      </w:tblPr>
      <w:tblGrid>
        <w:gridCol w:w="42"/>
        <w:gridCol w:w="1843"/>
        <w:gridCol w:w="809"/>
        <w:gridCol w:w="42"/>
        <w:gridCol w:w="284"/>
        <w:gridCol w:w="284"/>
        <w:gridCol w:w="567"/>
        <w:gridCol w:w="1700"/>
        <w:gridCol w:w="567"/>
        <w:gridCol w:w="143"/>
        <w:gridCol w:w="281"/>
        <w:gridCol w:w="993"/>
        <w:gridCol w:w="2085"/>
        <w:gridCol w:w="42"/>
      </w:tblGrid>
      <w:tr w:rsidR="00467D74" w14:paraId="77122508" w14:textId="77777777">
        <w:trPr>
          <w:gridBefore w:val="1"/>
          <w:wBefore w:w="42" w:type="dxa"/>
        </w:trPr>
        <w:tc>
          <w:tcPr>
            <w:tcW w:w="9640" w:type="dxa"/>
            <w:gridSpan w:val="13"/>
          </w:tcPr>
          <w:p w14:paraId="5C670405" w14:textId="77777777" w:rsidR="00467D74" w:rsidRDefault="00467D74">
            <w:pPr>
              <w:pStyle w:val="CRCoverPage"/>
              <w:spacing w:after="0"/>
              <w:rPr>
                <w:sz w:val="8"/>
                <w:szCs w:val="8"/>
              </w:rPr>
            </w:pPr>
          </w:p>
        </w:tc>
      </w:tr>
      <w:tr w:rsidR="00467D74" w14:paraId="6AB23EE2" w14:textId="77777777">
        <w:trPr>
          <w:gridBefore w:val="1"/>
          <w:wBefore w:w="42" w:type="dxa"/>
        </w:trPr>
        <w:tc>
          <w:tcPr>
            <w:tcW w:w="1843" w:type="dxa"/>
            <w:tcBorders>
              <w:top w:val="single" w:sz="4" w:space="0" w:color="auto"/>
              <w:left w:val="single" w:sz="4" w:space="0" w:color="auto"/>
            </w:tcBorders>
          </w:tcPr>
          <w:p w14:paraId="0E238F5B" w14:textId="77777777" w:rsidR="00467D74" w:rsidRDefault="0003723C">
            <w:pPr>
              <w:pStyle w:val="CRCoverPage"/>
              <w:tabs>
                <w:tab w:val="right" w:pos="1759"/>
              </w:tabs>
              <w:spacing w:after="0"/>
              <w:rPr>
                <w:b/>
                <w:i/>
              </w:rPr>
            </w:pPr>
            <w:r>
              <w:rPr>
                <w:b/>
                <w:i/>
              </w:rPr>
              <w:t>Title:</w:t>
            </w:r>
            <w:r>
              <w:rPr>
                <w:b/>
                <w:i/>
              </w:rPr>
              <w:tab/>
            </w:r>
          </w:p>
        </w:tc>
        <w:tc>
          <w:tcPr>
            <w:tcW w:w="7797" w:type="dxa"/>
            <w:gridSpan w:val="12"/>
            <w:tcBorders>
              <w:top w:val="single" w:sz="4" w:space="0" w:color="auto"/>
              <w:right w:val="single" w:sz="4" w:space="0" w:color="auto"/>
            </w:tcBorders>
            <w:shd w:val="pct30" w:color="FFFF00" w:fill="auto"/>
          </w:tcPr>
          <w:p w14:paraId="053F5BD2" w14:textId="77777777" w:rsidR="00467D74" w:rsidRDefault="0003723C">
            <w:pPr>
              <w:pStyle w:val="TAL"/>
              <w:tabs>
                <w:tab w:val="left" w:pos="960"/>
              </w:tabs>
              <w:rPr>
                <w:b/>
                <w:i/>
                <w:sz w:val="20"/>
                <w:szCs w:val="21"/>
                <w:highlight w:val="yellow"/>
              </w:rPr>
            </w:pPr>
            <w:r>
              <w:rPr>
                <w:sz w:val="20"/>
                <w:szCs w:val="21"/>
                <w:lang w:eastAsia="zh-CN"/>
              </w:rPr>
              <w:t>Solution for random access issue on multiCarrier in NB-IoT</w:t>
            </w:r>
          </w:p>
        </w:tc>
      </w:tr>
      <w:tr w:rsidR="00467D74" w14:paraId="7E82BC94" w14:textId="77777777">
        <w:trPr>
          <w:gridBefore w:val="1"/>
          <w:wBefore w:w="42" w:type="dxa"/>
        </w:trPr>
        <w:tc>
          <w:tcPr>
            <w:tcW w:w="1843" w:type="dxa"/>
            <w:tcBorders>
              <w:left w:val="single" w:sz="4" w:space="0" w:color="auto"/>
            </w:tcBorders>
          </w:tcPr>
          <w:p w14:paraId="53235BC3" w14:textId="77777777" w:rsidR="00467D74" w:rsidRDefault="00467D74">
            <w:pPr>
              <w:pStyle w:val="CRCoverPage"/>
              <w:spacing w:after="0"/>
              <w:rPr>
                <w:b/>
                <w:i/>
                <w:sz w:val="8"/>
                <w:szCs w:val="8"/>
              </w:rPr>
            </w:pPr>
          </w:p>
        </w:tc>
        <w:tc>
          <w:tcPr>
            <w:tcW w:w="7797" w:type="dxa"/>
            <w:gridSpan w:val="12"/>
            <w:tcBorders>
              <w:right w:val="single" w:sz="4" w:space="0" w:color="auto"/>
            </w:tcBorders>
          </w:tcPr>
          <w:p w14:paraId="0E8424C1" w14:textId="77777777" w:rsidR="00467D74" w:rsidRDefault="00467D74">
            <w:pPr>
              <w:pStyle w:val="CRCoverPage"/>
              <w:spacing w:after="0"/>
              <w:rPr>
                <w:sz w:val="8"/>
                <w:szCs w:val="8"/>
              </w:rPr>
            </w:pPr>
          </w:p>
        </w:tc>
      </w:tr>
      <w:tr w:rsidR="00467D74" w14:paraId="10490DB3" w14:textId="77777777">
        <w:trPr>
          <w:gridBefore w:val="1"/>
          <w:wBefore w:w="42" w:type="dxa"/>
        </w:trPr>
        <w:tc>
          <w:tcPr>
            <w:tcW w:w="1843" w:type="dxa"/>
            <w:tcBorders>
              <w:left w:val="single" w:sz="4" w:space="0" w:color="auto"/>
            </w:tcBorders>
          </w:tcPr>
          <w:p w14:paraId="78896A01" w14:textId="77777777" w:rsidR="00467D74" w:rsidRDefault="0003723C">
            <w:pPr>
              <w:pStyle w:val="CRCoverPage"/>
              <w:tabs>
                <w:tab w:val="right" w:pos="1759"/>
              </w:tabs>
              <w:spacing w:after="0"/>
              <w:rPr>
                <w:b/>
                <w:i/>
              </w:rPr>
            </w:pPr>
            <w:r>
              <w:rPr>
                <w:b/>
                <w:i/>
              </w:rPr>
              <w:t>Source to WG:</w:t>
            </w:r>
          </w:p>
        </w:tc>
        <w:tc>
          <w:tcPr>
            <w:tcW w:w="7797" w:type="dxa"/>
            <w:gridSpan w:val="12"/>
            <w:tcBorders>
              <w:right w:val="single" w:sz="4" w:space="0" w:color="auto"/>
            </w:tcBorders>
            <w:shd w:val="pct30" w:color="FFFF00" w:fill="auto"/>
          </w:tcPr>
          <w:p w14:paraId="4AB4AC76" w14:textId="77777777" w:rsidR="00467D74" w:rsidRDefault="0003723C">
            <w:pPr>
              <w:pStyle w:val="CRCoverPage"/>
              <w:spacing w:after="0"/>
              <w:ind w:left="100"/>
            </w:pPr>
            <w:r>
              <w:rPr>
                <w:rFonts w:hint="eastAsia"/>
                <w:lang w:eastAsia="zh-CN"/>
              </w:rPr>
              <w:t>C</w:t>
            </w:r>
            <w:r>
              <w:rPr>
                <w:lang w:eastAsia="zh-CN"/>
              </w:rPr>
              <w:t>MCC</w:t>
            </w:r>
          </w:p>
        </w:tc>
      </w:tr>
      <w:tr w:rsidR="00467D74" w14:paraId="1C3C5378" w14:textId="77777777">
        <w:trPr>
          <w:gridBefore w:val="1"/>
          <w:wBefore w:w="42" w:type="dxa"/>
        </w:trPr>
        <w:tc>
          <w:tcPr>
            <w:tcW w:w="1843" w:type="dxa"/>
            <w:tcBorders>
              <w:left w:val="single" w:sz="4" w:space="0" w:color="auto"/>
            </w:tcBorders>
          </w:tcPr>
          <w:p w14:paraId="5D9F55E8" w14:textId="77777777" w:rsidR="00467D74" w:rsidRDefault="0003723C">
            <w:pPr>
              <w:pStyle w:val="CRCoverPage"/>
              <w:tabs>
                <w:tab w:val="right" w:pos="1759"/>
              </w:tabs>
              <w:spacing w:after="0"/>
              <w:rPr>
                <w:b/>
                <w:i/>
              </w:rPr>
            </w:pPr>
            <w:r>
              <w:rPr>
                <w:b/>
                <w:i/>
              </w:rPr>
              <w:t>Source to TSG:</w:t>
            </w:r>
          </w:p>
        </w:tc>
        <w:tc>
          <w:tcPr>
            <w:tcW w:w="7797" w:type="dxa"/>
            <w:gridSpan w:val="12"/>
            <w:tcBorders>
              <w:right w:val="single" w:sz="4" w:space="0" w:color="auto"/>
            </w:tcBorders>
            <w:shd w:val="pct30" w:color="FFFF00" w:fill="auto"/>
          </w:tcPr>
          <w:p w14:paraId="44AF82DE" w14:textId="77777777" w:rsidR="00467D74" w:rsidRDefault="0003723C">
            <w:pPr>
              <w:pStyle w:val="CRCoverPage"/>
              <w:spacing w:after="0"/>
              <w:ind w:left="100"/>
            </w:pPr>
            <w:r>
              <w:rPr>
                <w:rFonts w:hint="eastAsia"/>
                <w:lang w:eastAsia="zh-CN"/>
              </w:rPr>
              <w:t>R2</w:t>
            </w:r>
          </w:p>
        </w:tc>
      </w:tr>
      <w:tr w:rsidR="00467D74" w14:paraId="768AA074" w14:textId="77777777">
        <w:trPr>
          <w:gridBefore w:val="1"/>
          <w:wBefore w:w="42" w:type="dxa"/>
        </w:trPr>
        <w:tc>
          <w:tcPr>
            <w:tcW w:w="1843" w:type="dxa"/>
            <w:tcBorders>
              <w:left w:val="single" w:sz="4" w:space="0" w:color="auto"/>
            </w:tcBorders>
          </w:tcPr>
          <w:p w14:paraId="515AEDBF" w14:textId="77777777" w:rsidR="00467D74" w:rsidRDefault="00467D74">
            <w:pPr>
              <w:pStyle w:val="CRCoverPage"/>
              <w:spacing w:after="0"/>
              <w:rPr>
                <w:b/>
                <w:i/>
                <w:sz w:val="8"/>
                <w:szCs w:val="8"/>
              </w:rPr>
            </w:pPr>
          </w:p>
        </w:tc>
        <w:tc>
          <w:tcPr>
            <w:tcW w:w="7797" w:type="dxa"/>
            <w:gridSpan w:val="12"/>
            <w:tcBorders>
              <w:right w:val="single" w:sz="4" w:space="0" w:color="auto"/>
            </w:tcBorders>
          </w:tcPr>
          <w:p w14:paraId="285F9958" w14:textId="77777777" w:rsidR="00467D74" w:rsidRDefault="00467D74">
            <w:pPr>
              <w:pStyle w:val="CRCoverPage"/>
              <w:spacing w:after="0"/>
              <w:rPr>
                <w:sz w:val="8"/>
                <w:szCs w:val="8"/>
              </w:rPr>
            </w:pPr>
          </w:p>
        </w:tc>
      </w:tr>
      <w:tr w:rsidR="00467D74" w14:paraId="69B83DDB" w14:textId="77777777">
        <w:trPr>
          <w:gridBefore w:val="1"/>
          <w:wBefore w:w="42" w:type="dxa"/>
        </w:trPr>
        <w:tc>
          <w:tcPr>
            <w:tcW w:w="1843" w:type="dxa"/>
            <w:tcBorders>
              <w:left w:val="single" w:sz="4" w:space="0" w:color="auto"/>
            </w:tcBorders>
          </w:tcPr>
          <w:p w14:paraId="3F3A7A07" w14:textId="77777777" w:rsidR="00467D74" w:rsidRDefault="0003723C">
            <w:pPr>
              <w:pStyle w:val="CRCoverPage"/>
              <w:tabs>
                <w:tab w:val="right" w:pos="1759"/>
              </w:tabs>
              <w:spacing w:after="0"/>
              <w:rPr>
                <w:b/>
                <w:i/>
              </w:rPr>
            </w:pPr>
            <w:r>
              <w:rPr>
                <w:b/>
                <w:i/>
              </w:rPr>
              <w:t>Work item code:</w:t>
            </w:r>
          </w:p>
        </w:tc>
        <w:tc>
          <w:tcPr>
            <w:tcW w:w="3686" w:type="dxa"/>
            <w:gridSpan w:val="6"/>
            <w:shd w:val="pct30" w:color="FFFF00" w:fill="auto"/>
          </w:tcPr>
          <w:p w14:paraId="416829FF" w14:textId="77777777" w:rsidR="00467D74" w:rsidRDefault="0003723C">
            <w:pPr>
              <w:pStyle w:val="CRCoverPage"/>
              <w:spacing w:after="0"/>
              <w:ind w:left="100"/>
              <w:rPr>
                <w:lang w:eastAsia="zh-CN"/>
              </w:rPr>
            </w:pPr>
            <w:r>
              <w:t>NB_IOTenh3-Core</w:t>
            </w:r>
          </w:p>
        </w:tc>
        <w:tc>
          <w:tcPr>
            <w:tcW w:w="567" w:type="dxa"/>
            <w:tcBorders>
              <w:left w:val="nil"/>
            </w:tcBorders>
          </w:tcPr>
          <w:p w14:paraId="541FF21A" w14:textId="77777777" w:rsidR="00467D74" w:rsidRDefault="00467D74">
            <w:pPr>
              <w:pStyle w:val="CRCoverPage"/>
              <w:spacing w:after="0"/>
              <w:ind w:right="100"/>
            </w:pPr>
          </w:p>
        </w:tc>
        <w:tc>
          <w:tcPr>
            <w:tcW w:w="1417" w:type="dxa"/>
            <w:gridSpan w:val="3"/>
            <w:tcBorders>
              <w:left w:val="nil"/>
            </w:tcBorders>
          </w:tcPr>
          <w:p w14:paraId="6897C0CF" w14:textId="77777777" w:rsidR="00467D74" w:rsidRDefault="0003723C">
            <w:pPr>
              <w:pStyle w:val="CRCoverPage"/>
              <w:spacing w:after="0"/>
              <w:jc w:val="right"/>
            </w:pPr>
            <w:r>
              <w:rPr>
                <w:b/>
                <w:i/>
              </w:rPr>
              <w:t>Date:</w:t>
            </w:r>
          </w:p>
        </w:tc>
        <w:tc>
          <w:tcPr>
            <w:tcW w:w="2127" w:type="dxa"/>
            <w:gridSpan w:val="2"/>
            <w:tcBorders>
              <w:right w:val="single" w:sz="4" w:space="0" w:color="auto"/>
            </w:tcBorders>
            <w:shd w:val="pct30" w:color="FFFF00" w:fill="auto"/>
          </w:tcPr>
          <w:p w14:paraId="20CCBE96" w14:textId="77777777" w:rsidR="00467D74" w:rsidRDefault="0003723C">
            <w:pPr>
              <w:pStyle w:val="CRCoverPage"/>
              <w:spacing w:after="0"/>
              <w:ind w:left="100"/>
            </w:pPr>
            <w:r>
              <w:rPr>
                <w:lang w:eastAsia="zh-CN"/>
              </w:rPr>
              <w:t>2022-0</w:t>
            </w:r>
            <w:r>
              <w:rPr>
                <w:lang w:val="en-US" w:eastAsia="zh-CN"/>
              </w:rPr>
              <w:t>2</w:t>
            </w:r>
            <w:r>
              <w:rPr>
                <w:lang w:eastAsia="zh-CN"/>
              </w:rPr>
              <w:t>-2</w:t>
            </w:r>
            <w:r>
              <w:rPr>
                <w:lang w:val="en-US" w:eastAsia="zh-CN"/>
              </w:rPr>
              <w:t>5</w:t>
            </w:r>
          </w:p>
        </w:tc>
      </w:tr>
      <w:tr w:rsidR="00467D74" w14:paraId="3F978FB9" w14:textId="77777777">
        <w:trPr>
          <w:gridBefore w:val="1"/>
          <w:wBefore w:w="42" w:type="dxa"/>
        </w:trPr>
        <w:tc>
          <w:tcPr>
            <w:tcW w:w="1843" w:type="dxa"/>
            <w:tcBorders>
              <w:left w:val="single" w:sz="4" w:space="0" w:color="auto"/>
            </w:tcBorders>
          </w:tcPr>
          <w:p w14:paraId="5C29F1B1" w14:textId="77777777" w:rsidR="00467D74" w:rsidRDefault="00467D74">
            <w:pPr>
              <w:pStyle w:val="CRCoverPage"/>
              <w:spacing w:after="0"/>
              <w:rPr>
                <w:b/>
                <w:i/>
                <w:sz w:val="8"/>
                <w:szCs w:val="8"/>
              </w:rPr>
            </w:pPr>
          </w:p>
        </w:tc>
        <w:tc>
          <w:tcPr>
            <w:tcW w:w="1986" w:type="dxa"/>
            <w:gridSpan w:val="5"/>
          </w:tcPr>
          <w:p w14:paraId="502A0C29" w14:textId="77777777" w:rsidR="00467D74" w:rsidRDefault="00467D74">
            <w:pPr>
              <w:pStyle w:val="CRCoverPage"/>
              <w:spacing w:after="0"/>
              <w:rPr>
                <w:sz w:val="8"/>
                <w:szCs w:val="8"/>
              </w:rPr>
            </w:pPr>
          </w:p>
        </w:tc>
        <w:tc>
          <w:tcPr>
            <w:tcW w:w="2267" w:type="dxa"/>
            <w:gridSpan w:val="2"/>
          </w:tcPr>
          <w:p w14:paraId="78215A35" w14:textId="77777777" w:rsidR="00467D74" w:rsidRDefault="00467D74">
            <w:pPr>
              <w:pStyle w:val="CRCoverPage"/>
              <w:spacing w:after="0"/>
              <w:rPr>
                <w:sz w:val="8"/>
                <w:szCs w:val="8"/>
              </w:rPr>
            </w:pPr>
          </w:p>
        </w:tc>
        <w:tc>
          <w:tcPr>
            <w:tcW w:w="1417" w:type="dxa"/>
            <w:gridSpan w:val="3"/>
          </w:tcPr>
          <w:p w14:paraId="328E90E0" w14:textId="77777777" w:rsidR="00467D74" w:rsidRDefault="00467D74">
            <w:pPr>
              <w:pStyle w:val="CRCoverPage"/>
              <w:spacing w:after="0"/>
              <w:rPr>
                <w:sz w:val="8"/>
                <w:szCs w:val="8"/>
              </w:rPr>
            </w:pPr>
          </w:p>
        </w:tc>
        <w:tc>
          <w:tcPr>
            <w:tcW w:w="2127" w:type="dxa"/>
            <w:gridSpan w:val="2"/>
            <w:tcBorders>
              <w:right w:val="single" w:sz="4" w:space="0" w:color="auto"/>
            </w:tcBorders>
          </w:tcPr>
          <w:p w14:paraId="2258B153" w14:textId="77777777" w:rsidR="00467D74" w:rsidRDefault="00467D74">
            <w:pPr>
              <w:pStyle w:val="CRCoverPage"/>
              <w:spacing w:after="0"/>
              <w:rPr>
                <w:sz w:val="8"/>
                <w:szCs w:val="8"/>
              </w:rPr>
            </w:pPr>
          </w:p>
        </w:tc>
      </w:tr>
      <w:tr w:rsidR="00467D74" w14:paraId="46DAD05D" w14:textId="77777777">
        <w:trPr>
          <w:gridBefore w:val="1"/>
          <w:wBefore w:w="42" w:type="dxa"/>
          <w:cantSplit/>
        </w:trPr>
        <w:tc>
          <w:tcPr>
            <w:tcW w:w="1843" w:type="dxa"/>
            <w:tcBorders>
              <w:left w:val="single" w:sz="4" w:space="0" w:color="auto"/>
            </w:tcBorders>
          </w:tcPr>
          <w:p w14:paraId="34718C7E" w14:textId="77777777" w:rsidR="00467D74" w:rsidRDefault="0003723C">
            <w:pPr>
              <w:pStyle w:val="CRCoverPage"/>
              <w:tabs>
                <w:tab w:val="right" w:pos="1759"/>
              </w:tabs>
              <w:spacing w:after="0"/>
              <w:rPr>
                <w:b/>
                <w:i/>
              </w:rPr>
            </w:pPr>
            <w:r>
              <w:rPr>
                <w:b/>
                <w:i/>
              </w:rPr>
              <w:t>Category:</w:t>
            </w:r>
          </w:p>
        </w:tc>
        <w:tc>
          <w:tcPr>
            <w:tcW w:w="851" w:type="dxa"/>
            <w:gridSpan w:val="2"/>
            <w:shd w:val="pct30" w:color="FFFF00" w:fill="auto"/>
          </w:tcPr>
          <w:p w14:paraId="032780EA" w14:textId="77777777" w:rsidR="00467D74" w:rsidRDefault="0003723C">
            <w:pPr>
              <w:pStyle w:val="CRCoverPage"/>
              <w:spacing w:after="0"/>
              <w:ind w:left="100" w:right="-609"/>
              <w:rPr>
                <w:b/>
              </w:rPr>
            </w:pPr>
            <w:r>
              <w:rPr>
                <w:b/>
                <w:lang w:val="en-US" w:eastAsia="zh-CN"/>
              </w:rPr>
              <w:t>F</w:t>
            </w:r>
          </w:p>
        </w:tc>
        <w:tc>
          <w:tcPr>
            <w:tcW w:w="3402" w:type="dxa"/>
            <w:gridSpan w:val="5"/>
            <w:tcBorders>
              <w:left w:val="nil"/>
            </w:tcBorders>
          </w:tcPr>
          <w:p w14:paraId="1D893AE5" w14:textId="77777777" w:rsidR="00467D74" w:rsidRDefault="00467D74">
            <w:pPr>
              <w:pStyle w:val="CRCoverPage"/>
              <w:spacing w:after="0"/>
            </w:pPr>
          </w:p>
        </w:tc>
        <w:tc>
          <w:tcPr>
            <w:tcW w:w="1417" w:type="dxa"/>
            <w:gridSpan w:val="3"/>
            <w:tcBorders>
              <w:left w:val="nil"/>
            </w:tcBorders>
          </w:tcPr>
          <w:p w14:paraId="34A52B47" w14:textId="77777777" w:rsidR="00467D74" w:rsidRDefault="0003723C">
            <w:pPr>
              <w:pStyle w:val="CRCoverPage"/>
              <w:spacing w:after="0"/>
              <w:jc w:val="right"/>
              <w:rPr>
                <w:b/>
                <w:i/>
              </w:rPr>
            </w:pPr>
            <w:r>
              <w:rPr>
                <w:b/>
                <w:i/>
              </w:rPr>
              <w:t>Release:</w:t>
            </w:r>
          </w:p>
        </w:tc>
        <w:tc>
          <w:tcPr>
            <w:tcW w:w="2127" w:type="dxa"/>
            <w:gridSpan w:val="2"/>
            <w:tcBorders>
              <w:right w:val="single" w:sz="4" w:space="0" w:color="auto"/>
            </w:tcBorders>
            <w:shd w:val="pct30" w:color="FFFF00" w:fill="auto"/>
          </w:tcPr>
          <w:p w14:paraId="3F7A033B" w14:textId="77777777" w:rsidR="00467D74" w:rsidRDefault="0003723C">
            <w:pPr>
              <w:pStyle w:val="CRCoverPage"/>
              <w:spacing w:after="0"/>
              <w:ind w:left="100"/>
            </w:pPr>
            <w:r>
              <w:rPr>
                <w:lang w:eastAsia="zh-CN"/>
              </w:rPr>
              <w:t>Rel-1</w:t>
            </w:r>
            <w:r>
              <w:rPr>
                <w:lang w:val="en-US" w:eastAsia="zh-CN"/>
              </w:rPr>
              <w:t>6</w:t>
            </w:r>
          </w:p>
        </w:tc>
      </w:tr>
      <w:tr w:rsidR="00467D74" w14:paraId="11B2FFB5" w14:textId="77777777">
        <w:trPr>
          <w:gridBefore w:val="1"/>
          <w:wBefore w:w="42" w:type="dxa"/>
        </w:trPr>
        <w:tc>
          <w:tcPr>
            <w:tcW w:w="1843" w:type="dxa"/>
            <w:tcBorders>
              <w:left w:val="single" w:sz="4" w:space="0" w:color="auto"/>
              <w:bottom w:val="single" w:sz="4" w:space="0" w:color="auto"/>
            </w:tcBorders>
          </w:tcPr>
          <w:p w14:paraId="53786922" w14:textId="77777777" w:rsidR="00467D74" w:rsidRDefault="00467D74">
            <w:pPr>
              <w:pStyle w:val="CRCoverPage"/>
              <w:spacing w:after="0"/>
              <w:rPr>
                <w:b/>
                <w:i/>
              </w:rPr>
            </w:pPr>
          </w:p>
        </w:tc>
        <w:tc>
          <w:tcPr>
            <w:tcW w:w="4677" w:type="dxa"/>
            <w:gridSpan w:val="9"/>
            <w:tcBorders>
              <w:bottom w:val="single" w:sz="4" w:space="0" w:color="auto"/>
            </w:tcBorders>
          </w:tcPr>
          <w:p w14:paraId="4D662607" w14:textId="77777777" w:rsidR="00467D74" w:rsidRDefault="000372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CDAADD" w14:textId="77777777" w:rsidR="00467D74" w:rsidRDefault="0003723C">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3"/>
            <w:tcBorders>
              <w:bottom w:val="single" w:sz="4" w:space="0" w:color="auto"/>
              <w:right w:val="single" w:sz="4" w:space="0" w:color="auto"/>
            </w:tcBorders>
          </w:tcPr>
          <w:p w14:paraId="0720D5B4" w14:textId="77777777" w:rsidR="00467D74" w:rsidRDefault="000372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67D74" w14:paraId="7824BA9C" w14:textId="77777777">
        <w:trPr>
          <w:gridBefore w:val="1"/>
          <w:wBefore w:w="42" w:type="dxa"/>
        </w:trPr>
        <w:tc>
          <w:tcPr>
            <w:tcW w:w="1843" w:type="dxa"/>
          </w:tcPr>
          <w:p w14:paraId="1B0887C4" w14:textId="77777777" w:rsidR="00467D74" w:rsidRDefault="00467D74">
            <w:pPr>
              <w:pStyle w:val="CRCoverPage"/>
              <w:spacing w:after="0"/>
              <w:rPr>
                <w:b/>
                <w:i/>
                <w:sz w:val="8"/>
                <w:szCs w:val="8"/>
              </w:rPr>
            </w:pPr>
          </w:p>
        </w:tc>
        <w:tc>
          <w:tcPr>
            <w:tcW w:w="7797" w:type="dxa"/>
            <w:gridSpan w:val="12"/>
          </w:tcPr>
          <w:p w14:paraId="314D28D8" w14:textId="77777777" w:rsidR="00467D74" w:rsidRDefault="00467D74">
            <w:pPr>
              <w:pStyle w:val="CRCoverPage"/>
              <w:spacing w:after="0"/>
              <w:rPr>
                <w:sz w:val="8"/>
                <w:szCs w:val="8"/>
              </w:rPr>
            </w:pPr>
          </w:p>
        </w:tc>
      </w:tr>
      <w:tr w:rsidR="00467D74" w14:paraId="1F9DA57A" w14:textId="77777777">
        <w:trPr>
          <w:gridBefore w:val="1"/>
          <w:wBefore w:w="42" w:type="dxa"/>
        </w:trPr>
        <w:tc>
          <w:tcPr>
            <w:tcW w:w="2694" w:type="dxa"/>
            <w:gridSpan w:val="3"/>
            <w:tcBorders>
              <w:top w:val="single" w:sz="4" w:space="0" w:color="auto"/>
              <w:left w:val="single" w:sz="4" w:space="0" w:color="auto"/>
            </w:tcBorders>
          </w:tcPr>
          <w:p w14:paraId="3417F233" w14:textId="77777777" w:rsidR="00467D74" w:rsidRDefault="0003723C">
            <w:pPr>
              <w:pStyle w:val="CRCoverPage"/>
              <w:tabs>
                <w:tab w:val="right" w:pos="2184"/>
              </w:tabs>
              <w:spacing w:after="0"/>
              <w:rPr>
                <w:b/>
                <w:i/>
              </w:rPr>
            </w:pPr>
            <w:r>
              <w:rPr>
                <w:b/>
                <w:i/>
              </w:rPr>
              <w:t>Reason for change:</w:t>
            </w:r>
          </w:p>
        </w:tc>
        <w:tc>
          <w:tcPr>
            <w:tcW w:w="6946" w:type="dxa"/>
            <w:gridSpan w:val="10"/>
            <w:tcBorders>
              <w:top w:val="single" w:sz="4" w:space="0" w:color="auto"/>
              <w:right w:val="single" w:sz="4" w:space="0" w:color="auto"/>
            </w:tcBorders>
            <w:shd w:val="pct30" w:color="FFFF00" w:fill="auto"/>
          </w:tcPr>
          <w:p w14:paraId="15B36E5D" w14:textId="77777777" w:rsidR="00467D74" w:rsidRDefault="0003723C">
            <w:pPr>
              <w:rPr>
                <w:rFonts w:ascii="Arial" w:hAnsi="Arial" w:cs="Arial"/>
                <w:lang w:eastAsia="zh-CN"/>
              </w:rPr>
            </w:pPr>
            <w:r>
              <w:rPr>
                <w:rFonts w:ascii="Arial" w:hAnsi="Arial" w:cs="Arial"/>
                <w:lang w:val="en-US" w:eastAsia="zh-CN"/>
              </w:rPr>
              <w:t xml:space="preserve">In real NB-IoT network, single-carrier cells are deployed to meet coverage requirements for most scenarios, and multi-carriers cells are deployed for concurrent service scenarios to meet capacity expansion requirements. The anchor carriers are deployed with inter frequency to reduce interference among cells, and it’s generally that the non-anchor carriers in one cell are deployed on the same frequency as the anchor carrier in the neighbour cells. The downlink narrowband reference-signal EPRE (Energy Per Resource Element) of the non-anchor carriers is generally lower relative to the downlink narrowband reference-signal EPRE of the anchor carrier to reduce the interference between the non-anchor carrier and the neighbour cells using the same frequency. </w:t>
            </w:r>
            <w:r>
              <w:rPr>
                <w:rFonts w:ascii="Arial" w:eastAsia="等线" w:hAnsi="Arial" w:cs="Arial"/>
                <w:lang w:eastAsia="zh-CN"/>
              </w:rPr>
              <w:t>Due to lower EPRE of non-anchor</w:t>
            </w:r>
            <w:r>
              <w:rPr>
                <w:rFonts w:ascii="Arial" w:eastAsia="等线" w:hAnsi="Arial" w:cs="Arial"/>
                <w:lang w:val="en-US" w:eastAsia="zh-CN"/>
              </w:rPr>
              <w:t xml:space="preserve"> carrier</w:t>
            </w:r>
            <w:r>
              <w:rPr>
                <w:rFonts w:ascii="Arial" w:eastAsia="等线" w:hAnsi="Arial" w:cs="Arial"/>
                <w:lang w:eastAsia="zh-CN"/>
              </w:rPr>
              <w:t xml:space="preserve"> than EPRE of anchor </w:t>
            </w:r>
            <w:r>
              <w:rPr>
                <w:rFonts w:ascii="Arial" w:eastAsia="等线" w:hAnsi="Arial" w:cs="Arial"/>
                <w:lang w:val="en-US" w:eastAsia="zh-CN"/>
              </w:rPr>
              <w:t xml:space="preserve">carrier, </w:t>
            </w:r>
            <w:r>
              <w:rPr>
                <w:rFonts w:ascii="Arial" w:eastAsia="等线" w:hAnsi="Arial" w:cs="Arial"/>
                <w:lang w:eastAsia="zh-CN"/>
              </w:rPr>
              <w:t xml:space="preserve">coverage of non-anchor carrier </w:t>
            </w:r>
            <w:r>
              <w:rPr>
                <w:rFonts w:ascii="Arial" w:eastAsia="等线" w:hAnsi="Arial" w:cs="Arial"/>
                <w:lang w:val="en-US" w:eastAsia="zh-CN"/>
              </w:rPr>
              <w:t xml:space="preserve">is </w:t>
            </w:r>
            <w:r>
              <w:rPr>
                <w:rFonts w:ascii="Arial" w:eastAsia="等线" w:hAnsi="Arial" w:cs="Arial"/>
                <w:lang w:eastAsia="zh-CN"/>
              </w:rPr>
              <w:t xml:space="preserve">shrunken </w:t>
            </w:r>
            <w:r>
              <w:rPr>
                <w:rFonts w:ascii="Arial" w:eastAsia="等线" w:hAnsi="Arial" w:cs="Arial"/>
                <w:lang w:val="en-US" w:eastAsia="zh-CN"/>
              </w:rPr>
              <w:t xml:space="preserve">than the anchor carrier. </w:t>
            </w:r>
            <w:r>
              <w:rPr>
                <w:rFonts w:ascii="Arial" w:eastAsia="等线" w:hAnsi="Arial" w:cs="Arial"/>
                <w:lang w:eastAsia="zh-CN"/>
              </w:rPr>
              <w:t xml:space="preserve">Non-anchor carrier suffered more UL interference </w:t>
            </w:r>
            <w:r>
              <w:rPr>
                <w:rFonts w:ascii="Arial" w:eastAsia="等线" w:hAnsi="Arial" w:cs="Arial"/>
                <w:lang w:val="en-US" w:eastAsia="zh-CN"/>
              </w:rPr>
              <w:t xml:space="preserve">from the same frequency neighborhood cell with uplink service terminals. </w:t>
            </w:r>
            <w:r>
              <w:rPr>
                <w:rFonts w:ascii="Arial" w:eastAsia="等线" w:hAnsi="Arial" w:cs="Arial"/>
                <w:lang w:eastAsia="zh-CN"/>
              </w:rPr>
              <w:t xml:space="preserve">This may degrade uplink performance. </w:t>
            </w:r>
            <w:r>
              <w:rPr>
                <w:rFonts w:ascii="Arial" w:eastAsia="等线" w:hAnsi="Arial" w:cs="Arial"/>
                <w:lang w:val="en-US" w:eastAsia="zh-CN"/>
              </w:rPr>
              <w:t>According to the actual coverage, there is the overlapping area that the UE’s CE levels is different between on the anchor carrier and non-anchor carriers, and CE level on the non-anchor carriers is usually worse than the CE level for the anchor carrier.</w:t>
            </w:r>
            <w:r>
              <w:rPr>
                <w:rFonts w:ascii="Arial" w:hAnsi="Arial" w:cs="Arial"/>
                <w:lang w:eastAsia="zh-CN"/>
              </w:rPr>
              <w:t xml:space="preserve"> The UE may fail to access to the non-anchor carrier or try more times to access to the non-anchor carrier with the nprach resource</w:t>
            </w:r>
            <w:r>
              <w:rPr>
                <w:rFonts w:ascii="Arial" w:hAnsi="Arial" w:cs="Arial"/>
                <w:lang w:val="en-US" w:eastAsia="zh-CN"/>
              </w:rPr>
              <w:t xml:space="preserve"> based on the anchor carrier’s CE level. </w:t>
            </w:r>
          </w:p>
        </w:tc>
      </w:tr>
      <w:tr w:rsidR="00467D74" w14:paraId="23CDA2F6" w14:textId="77777777">
        <w:trPr>
          <w:gridBefore w:val="1"/>
          <w:wBefore w:w="42" w:type="dxa"/>
        </w:trPr>
        <w:tc>
          <w:tcPr>
            <w:tcW w:w="2694" w:type="dxa"/>
            <w:gridSpan w:val="3"/>
            <w:tcBorders>
              <w:left w:val="single" w:sz="4" w:space="0" w:color="auto"/>
            </w:tcBorders>
          </w:tcPr>
          <w:p w14:paraId="7DE1FBEE" w14:textId="77777777" w:rsidR="00467D74" w:rsidRDefault="00467D74">
            <w:pPr>
              <w:pStyle w:val="CRCoverPage"/>
              <w:spacing w:after="0"/>
              <w:rPr>
                <w:b/>
                <w:i/>
                <w:sz w:val="8"/>
                <w:szCs w:val="8"/>
              </w:rPr>
            </w:pPr>
          </w:p>
        </w:tc>
        <w:tc>
          <w:tcPr>
            <w:tcW w:w="6946" w:type="dxa"/>
            <w:gridSpan w:val="10"/>
            <w:tcBorders>
              <w:right w:val="single" w:sz="4" w:space="0" w:color="auto"/>
            </w:tcBorders>
          </w:tcPr>
          <w:p w14:paraId="618AC5A8" w14:textId="77777777" w:rsidR="00467D74" w:rsidRDefault="00467D74">
            <w:pPr>
              <w:pStyle w:val="CRCoverPage"/>
              <w:spacing w:after="0"/>
              <w:rPr>
                <w:sz w:val="8"/>
                <w:szCs w:val="8"/>
              </w:rPr>
            </w:pPr>
          </w:p>
        </w:tc>
      </w:tr>
      <w:tr w:rsidR="00467D74" w14:paraId="0B951AED" w14:textId="77777777">
        <w:trPr>
          <w:gridAfter w:val="1"/>
          <w:wAfter w:w="42" w:type="dxa"/>
        </w:trPr>
        <w:tc>
          <w:tcPr>
            <w:tcW w:w="2694" w:type="dxa"/>
            <w:gridSpan w:val="3"/>
            <w:tcBorders>
              <w:left w:val="single" w:sz="4" w:space="0" w:color="auto"/>
            </w:tcBorders>
          </w:tcPr>
          <w:p w14:paraId="22F1848C" w14:textId="77777777" w:rsidR="00467D74" w:rsidRDefault="0003723C">
            <w:pPr>
              <w:pStyle w:val="CRCoverPage"/>
              <w:tabs>
                <w:tab w:val="right" w:pos="2184"/>
              </w:tabs>
              <w:spacing w:after="0"/>
              <w:rPr>
                <w:b/>
                <w:i/>
              </w:rPr>
            </w:pPr>
            <w:r>
              <w:rPr>
                <w:b/>
                <w:i/>
              </w:rPr>
              <w:t>Summary of change:</w:t>
            </w:r>
          </w:p>
        </w:tc>
        <w:tc>
          <w:tcPr>
            <w:tcW w:w="6946" w:type="dxa"/>
            <w:gridSpan w:val="10"/>
            <w:tcBorders>
              <w:right w:val="single" w:sz="4" w:space="0" w:color="auto"/>
            </w:tcBorders>
            <w:shd w:val="pct30" w:color="FFFF00" w:fill="auto"/>
          </w:tcPr>
          <w:p w14:paraId="2676A5C9" w14:textId="77777777" w:rsidR="00467D74" w:rsidRDefault="0003723C">
            <w:pPr>
              <w:pStyle w:val="CRCoverPage"/>
              <w:spacing w:after="0"/>
              <w:rPr>
                <w:ins w:id="1" w:author="作者"/>
                <w:lang w:val="en-US" w:eastAsia="zh-CN"/>
              </w:rPr>
            </w:pPr>
            <w:r>
              <w:rPr>
                <w:lang w:eastAsia="zh-CN"/>
              </w:rPr>
              <w:t>M</w:t>
            </w:r>
            <w:r>
              <w:rPr>
                <w:rFonts w:hint="eastAsia"/>
                <w:lang w:eastAsia="zh-CN"/>
              </w:rPr>
              <w:t>odify</w:t>
            </w:r>
            <w:r>
              <w:rPr>
                <w:lang w:eastAsia="zh-CN"/>
              </w:rPr>
              <w:t xml:space="preserve"> the 5.1.1 </w:t>
            </w:r>
            <w:r>
              <w:rPr>
                <w:lang w:val="en-US" w:eastAsia="zh-CN"/>
              </w:rPr>
              <w:t xml:space="preserve">and 5.1.2 </w:t>
            </w:r>
            <w:r>
              <w:rPr>
                <w:lang w:eastAsia="zh-CN"/>
              </w:rPr>
              <w:t xml:space="preserve">to </w:t>
            </w:r>
            <w:r>
              <w:rPr>
                <w:rFonts w:hint="eastAsia"/>
                <w:lang w:eastAsia="zh-CN"/>
              </w:rPr>
              <w:t>introduce</w:t>
            </w:r>
            <w:r>
              <w:rPr>
                <w:lang w:eastAsia="zh-CN"/>
              </w:rPr>
              <w:t xml:space="preserve"> a new RSRP Threshold list for each non-anchor carrier</w:t>
            </w:r>
            <w:r>
              <w:rPr>
                <w:lang w:val="en-US" w:eastAsia="zh-CN"/>
              </w:rPr>
              <w:t xml:space="preserve"> for random access to determine </w:t>
            </w:r>
            <w:r>
              <w:rPr>
                <w:color w:val="000000"/>
                <w:lang w:val="en-US" w:eastAsia="zh-CN"/>
              </w:rPr>
              <w:t>UE’s CE level</w:t>
            </w:r>
            <w:r>
              <w:rPr>
                <w:rFonts w:hint="eastAsia"/>
                <w:color w:val="000000"/>
                <w:lang w:val="en-US" w:eastAsia="zh-CN"/>
              </w:rPr>
              <w:t xml:space="preserve"> o</w:t>
            </w:r>
            <w:r>
              <w:rPr>
                <w:color w:val="000000"/>
                <w:lang w:val="en-US" w:eastAsia="zh-CN"/>
              </w:rPr>
              <w:t>n</w:t>
            </w:r>
            <w:r>
              <w:rPr>
                <w:rFonts w:hint="eastAsia"/>
                <w:color w:val="000000"/>
                <w:lang w:val="en-US" w:eastAsia="zh-CN"/>
              </w:rPr>
              <w:t xml:space="preserve"> non-</w:t>
            </w:r>
            <w:r>
              <w:rPr>
                <w:color w:val="000000"/>
                <w:lang w:val="en-US" w:eastAsia="zh-CN"/>
              </w:rPr>
              <w:t>a</w:t>
            </w:r>
            <w:r>
              <w:rPr>
                <w:rFonts w:hint="eastAsia"/>
                <w:color w:val="000000"/>
                <w:lang w:val="en-US" w:eastAsia="zh-CN"/>
              </w:rPr>
              <w:t>nchor carrier</w:t>
            </w:r>
            <w:r>
              <w:rPr>
                <w:lang w:val="en-US" w:eastAsia="zh-CN"/>
              </w:rPr>
              <w:t xml:space="preserve"> and </w:t>
            </w:r>
            <w:r>
              <w:rPr>
                <w:rFonts w:eastAsia="等线"/>
                <w:color w:val="000000"/>
                <w:lang w:val="en-US" w:eastAsia="zh-CN"/>
              </w:rPr>
              <w:t>exclude the non-anchor carriers with worse CEL than the anchor carrier when building the list of NPRACH resources</w:t>
            </w:r>
            <w:r>
              <w:rPr>
                <w:lang w:val="en-US" w:eastAsia="zh-CN"/>
              </w:rPr>
              <w:t>.</w:t>
            </w:r>
          </w:p>
          <w:p w14:paraId="30C2C8F7" w14:textId="77777777" w:rsidR="00467D74" w:rsidRDefault="0003723C">
            <w:pPr>
              <w:pStyle w:val="CRCoverPage"/>
              <w:spacing w:after="0"/>
              <w:ind w:left="100"/>
              <w:rPr>
                <w:rFonts w:eastAsia="Malgun Gothic"/>
                <w:b/>
                <w:lang w:eastAsia="ko-KR"/>
              </w:rPr>
            </w:pPr>
            <w:r>
              <w:rPr>
                <w:b/>
                <w:lang w:eastAsia="ko-KR"/>
              </w:rPr>
              <w:t>Impact analysis</w:t>
            </w:r>
          </w:p>
          <w:p w14:paraId="3BA4875E" w14:textId="77777777" w:rsidR="00467D74" w:rsidRDefault="0003723C">
            <w:pPr>
              <w:pStyle w:val="CRCoverPage"/>
              <w:spacing w:after="0"/>
              <w:ind w:left="100"/>
              <w:rPr>
                <w:u w:val="single"/>
                <w:lang w:eastAsia="ko-KR"/>
              </w:rPr>
            </w:pPr>
            <w:r>
              <w:rPr>
                <w:u w:val="single"/>
                <w:lang w:eastAsia="ko-KR"/>
              </w:rPr>
              <w:t>Impacted functionality:</w:t>
            </w:r>
          </w:p>
          <w:p w14:paraId="31EA009C" w14:textId="3C31D263" w:rsidR="00467D74" w:rsidRDefault="0003723C">
            <w:pPr>
              <w:pStyle w:val="CRCoverPage"/>
              <w:spacing w:after="0"/>
              <w:ind w:left="100"/>
              <w:rPr>
                <w:rFonts w:eastAsia="宋体"/>
                <w:lang w:eastAsia="zh-CN"/>
              </w:rPr>
            </w:pPr>
            <w:r>
              <w:rPr>
                <w:rFonts w:eastAsia="宋体"/>
                <w:lang w:eastAsia="zh-CN"/>
              </w:rPr>
              <w:t>Random Access</w:t>
            </w:r>
            <w:r w:rsidR="001C6B0E">
              <w:rPr>
                <w:rFonts w:eastAsia="宋体"/>
                <w:lang w:eastAsia="zh-CN"/>
              </w:rPr>
              <w:t xml:space="preserve"> for multi-carriers</w:t>
            </w:r>
          </w:p>
          <w:p w14:paraId="792623E1" w14:textId="77777777" w:rsidR="00467D74" w:rsidRDefault="00467D74">
            <w:pPr>
              <w:pStyle w:val="CRCoverPage"/>
              <w:spacing w:after="0"/>
              <w:ind w:left="100"/>
              <w:rPr>
                <w:lang w:eastAsia="ko-KR"/>
              </w:rPr>
            </w:pPr>
          </w:p>
          <w:p w14:paraId="473B6C51" w14:textId="77777777" w:rsidR="00467D74" w:rsidRDefault="0003723C">
            <w:pPr>
              <w:pStyle w:val="CRCoverPage"/>
              <w:spacing w:after="0"/>
              <w:ind w:left="100"/>
              <w:rPr>
                <w:u w:val="single"/>
                <w:lang w:eastAsia="ko-KR"/>
              </w:rPr>
            </w:pPr>
            <w:r>
              <w:rPr>
                <w:u w:val="single"/>
                <w:lang w:eastAsia="ko-KR"/>
              </w:rPr>
              <w:t>Inter-operability:</w:t>
            </w:r>
          </w:p>
          <w:p w14:paraId="126CBE34" w14:textId="77777777" w:rsidR="001C6B0E" w:rsidRPr="002E1D3B" w:rsidRDefault="001C6B0E" w:rsidP="001C6B0E">
            <w:pPr>
              <w:spacing w:after="0" w:line="259" w:lineRule="auto"/>
              <w:ind w:firstLineChars="50" w:firstLine="100"/>
              <w:rPr>
                <w:rFonts w:ascii="Arial" w:hAnsi="Arial" w:cs="Arial"/>
                <w:noProof/>
                <w:lang w:eastAsia="zh-CN"/>
              </w:rPr>
            </w:pPr>
            <w:r w:rsidRPr="002E1D3B">
              <w:rPr>
                <w:rFonts w:ascii="Arial" w:hAnsi="Arial" w:cs="Arial"/>
                <w:noProof/>
                <w:lang w:eastAsia="zh-CN"/>
              </w:rPr>
              <w:lastRenderedPageBreak/>
              <w:t>If the network implements the change but not the UE, there is no inter-operability issue.</w:t>
            </w:r>
          </w:p>
          <w:p w14:paraId="4DB749C0" w14:textId="70C99812" w:rsidR="00467D74" w:rsidRDefault="001C6B0E" w:rsidP="001C6B0E">
            <w:pPr>
              <w:pStyle w:val="CRCoverPage"/>
              <w:spacing w:after="0"/>
              <w:rPr>
                <w:lang w:eastAsia="ko-KR"/>
              </w:rPr>
            </w:pPr>
            <w:r w:rsidRPr="002E1D3B">
              <w:rPr>
                <w:rFonts w:cs="Arial"/>
                <w:noProof/>
                <w:lang w:eastAsia="zh-CN"/>
              </w:rPr>
              <w:t xml:space="preserve">If the UE implements the change but not the network, there is no inter-operability issue. </w:t>
            </w:r>
          </w:p>
        </w:tc>
      </w:tr>
      <w:tr w:rsidR="00467D74" w14:paraId="27AD8065" w14:textId="77777777">
        <w:trPr>
          <w:gridAfter w:val="1"/>
          <w:wAfter w:w="42" w:type="dxa"/>
        </w:trPr>
        <w:tc>
          <w:tcPr>
            <w:tcW w:w="2694" w:type="dxa"/>
            <w:gridSpan w:val="3"/>
            <w:tcBorders>
              <w:left w:val="single" w:sz="4" w:space="0" w:color="auto"/>
            </w:tcBorders>
          </w:tcPr>
          <w:p w14:paraId="7236B735" w14:textId="77777777" w:rsidR="00467D74" w:rsidRDefault="00467D74">
            <w:pPr>
              <w:pStyle w:val="CRCoverPage"/>
              <w:spacing w:after="0"/>
              <w:rPr>
                <w:b/>
                <w:i/>
                <w:sz w:val="8"/>
                <w:szCs w:val="8"/>
              </w:rPr>
            </w:pPr>
          </w:p>
        </w:tc>
        <w:tc>
          <w:tcPr>
            <w:tcW w:w="6946" w:type="dxa"/>
            <w:gridSpan w:val="10"/>
            <w:tcBorders>
              <w:right w:val="single" w:sz="4" w:space="0" w:color="auto"/>
            </w:tcBorders>
          </w:tcPr>
          <w:p w14:paraId="381F668A" w14:textId="77777777" w:rsidR="00467D74" w:rsidRDefault="00467D74">
            <w:pPr>
              <w:pStyle w:val="CRCoverPage"/>
              <w:spacing w:after="0"/>
              <w:rPr>
                <w:sz w:val="8"/>
                <w:szCs w:val="8"/>
              </w:rPr>
            </w:pPr>
          </w:p>
        </w:tc>
      </w:tr>
      <w:tr w:rsidR="00467D74" w14:paraId="4C1C7711" w14:textId="77777777">
        <w:trPr>
          <w:gridAfter w:val="1"/>
          <w:wAfter w:w="42" w:type="dxa"/>
        </w:trPr>
        <w:tc>
          <w:tcPr>
            <w:tcW w:w="2694" w:type="dxa"/>
            <w:gridSpan w:val="3"/>
            <w:tcBorders>
              <w:left w:val="single" w:sz="4" w:space="0" w:color="auto"/>
              <w:bottom w:val="single" w:sz="4" w:space="0" w:color="auto"/>
            </w:tcBorders>
          </w:tcPr>
          <w:p w14:paraId="46236860" w14:textId="77777777" w:rsidR="00467D74" w:rsidRDefault="0003723C">
            <w:pPr>
              <w:pStyle w:val="CRCoverPage"/>
              <w:tabs>
                <w:tab w:val="right" w:pos="2184"/>
              </w:tabs>
              <w:spacing w:after="0"/>
              <w:rPr>
                <w:b/>
                <w:i/>
              </w:rPr>
            </w:pPr>
            <w:r>
              <w:rPr>
                <w:b/>
                <w:i/>
              </w:rPr>
              <w:t>Consequences if not approved:</w:t>
            </w:r>
          </w:p>
        </w:tc>
        <w:tc>
          <w:tcPr>
            <w:tcW w:w="6946" w:type="dxa"/>
            <w:gridSpan w:val="10"/>
            <w:tcBorders>
              <w:bottom w:val="single" w:sz="4" w:space="0" w:color="auto"/>
              <w:right w:val="single" w:sz="4" w:space="0" w:color="auto"/>
            </w:tcBorders>
            <w:shd w:val="pct30" w:color="FFFF00" w:fill="auto"/>
          </w:tcPr>
          <w:p w14:paraId="576801DE" w14:textId="34DF1CDC" w:rsidR="00467D74" w:rsidRDefault="001C6B0E">
            <w:pPr>
              <w:pStyle w:val="CRCoverPage"/>
              <w:spacing w:after="0"/>
              <w:ind w:left="100"/>
              <w:rPr>
                <w:lang w:eastAsia="zh-CN"/>
              </w:rPr>
            </w:pPr>
            <w:r w:rsidRPr="002E1D3B">
              <w:rPr>
                <w:lang w:eastAsia="zh-CN"/>
              </w:rPr>
              <w:t>RSRP Threshold list for each non-anchor carrier for random access to determine UE’s CE level on non-anchor carrier</w:t>
            </w:r>
            <w:r w:rsidR="009B3713" w:rsidRPr="009B3713">
              <w:rPr>
                <w:lang w:eastAsia="zh-CN"/>
              </w:rPr>
              <w:t xml:space="preserve"> may not be supported.</w:t>
            </w:r>
          </w:p>
        </w:tc>
      </w:tr>
      <w:tr w:rsidR="00467D74" w14:paraId="74A5D13A" w14:textId="77777777">
        <w:trPr>
          <w:gridBefore w:val="1"/>
          <w:wBefore w:w="42" w:type="dxa"/>
        </w:trPr>
        <w:tc>
          <w:tcPr>
            <w:tcW w:w="2694" w:type="dxa"/>
            <w:gridSpan w:val="3"/>
          </w:tcPr>
          <w:p w14:paraId="7B10A3B5" w14:textId="77777777" w:rsidR="00467D74" w:rsidRDefault="00467D74">
            <w:pPr>
              <w:pStyle w:val="CRCoverPage"/>
              <w:spacing w:after="0"/>
              <w:rPr>
                <w:b/>
                <w:i/>
                <w:sz w:val="8"/>
                <w:szCs w:val="8"/>
              </w:rPr>
            </w:pPr>
          </w:p>
        </w:tc>
        <w:tc>
          <w:tcPr>
            <w:tcW w:w="6946" w:type="dxa"/>
            <w:gridSpan w:val="10"/>
          </w:tcPr>
          <w:p w14:paraId="48656378" w14:textId="77777777" w:rsidR="00467D74" w:rsidRDefault="00467D74">
            <w:pPr>
              <w:pStyle w:val="CRCoverPage"/>
              <w:spacing w:after="0"/>
              <w:rPr>
                <w:sz w:val="8"/>
                <w:szCs w:val="8"/>
              </w:rPr>
            </w:pPr>
          </w:p>
        </w:tc>
      </w:tr>
      <w:tr w:rsidR="00467D74" w14:paraId="2BB7BE7D" w14:textId="77777777">
        <w:trPr>
          <w:gridBefore w:val="1"/>
          <w:wBefore w:w="42" w:type="dxa"/>
        </w:trPr>
        <w:tc>
          <w:tcPr>
            <w:tcW w:w="2694" w:type="dxa"/>
            <w:gridSpan w:val="3"/>
            <w:tcBorders>
              <w:top w:val="single" w:sz="4" w:space="0" w:color="auto"/>
              <w:left w:val="single" w:sz="4" w:space="0" w:color="auto"/>
            </w:tcBorders>
          </w:tcPr>
          <w:p w14:paraId="185887B9" w14:textId="77777777" w:rsidR="00467D74" w:rsidRDefault="0003723C">
            <w:pPr>
              <w:pStyle w:val="CRCoverPage"/>
              <w:tabs>
                <w:tab w:val="right" w:pos="2184"/>
              </w:tabs>
              <w:spacing w:after="0"/>
              <w:rPr>
                <w:b/>
                <w:i/>
              </w:rPr>
            </w:pPr>
            <w:r>
              <w:rPr>
                <w:b/>
                <w:i/>
              </w:rPr>
              <w:t>Clauses affected:</w:t>
            </w:r>
          </w:p>
        </w:tc>
        <w:tc>
          <w:tcPr>
            <w:tcW w:w="6946" w:type="dxa"/>
            <w:gridSpan w:val="10"/>
            <w:tcBorders>
              <w:top w:val="single" w:sz="4" w:space="0" w:color="auto"/>
              <w:right w:val="single" w:sz="4" w:space="0" w:color="auto"/>
            </w:tcBorders>
            <w:shd w:val="pct30" w:color="FFFF00" w:fill="auto"/>
          </w:tcPr>
          <w:p w14:paraId="175B7C2E" w14:textId="77777777" w:rsidR="00467D74" w:rsidRDefault="0003723C">
            <w:pPr>
              <w:pStyle w:val="CRCoverPage"/>
              <w:spacing w:after="0"/>
              <w:ind w:left="100"/>
              <w:rPr>
                <w:lang w:val="en-US" w:eastAsia="zh-CN"/>
              </w:rPr>
            </w:pPr>
            <w:r>
              <w:rPr>
                <w:lang w:eastAsia="zh-CN"/>
              </w:rPr>
              <w:t>5.1.1</w:t>
            </w:r>
            <w:r>
              <w:rPr>
                <w:lang w:val="en-US" w:eastAsia="zh-CN"/>
              </w:rPr>
              <w:t xml:space="preserve"> and 5.1.2</w:t>
            </w:r>
          </w:p>
        </w:tc>
      </w:tr>
      <w:tr w:rsidR="00467D74" w14:paraId="423AE7B5" w14:textId="77777777">
        <w:trPr>
          <w:gridBefore w:val="1"/>
          <w:wBefore w:w="42" w:type="dxa"/>
        </w:trPr>
        <w:tc>
          <w:tcPr>
            <w:tcW w:w="2694" w:type="dxa"/>
            <w:gridSpan w:val="3"/>
            <w:tcBorders>
              <w:left w:val="single" w:sz="4" w:space="0" w:color="auto"/>
            </w:tcBorders>
          </w:tcPr>
          <w:p w14:paraId="431389B7" w14:textId="77777777" w:rsidR="00467D74" w:rsidRDefault="00467D74">
            <w:pPr>
              <w:pStyle w:val="CRCoverPage"/>
              <w:spacing w:after="0"/>
              <w:rPr>
                <w:b/>
                <w:i/>
                <w:sz w:val="8"/>
                <w:szCs w:val="8"/>
              </w:rPr>
            </w:pPr>
          </w:p>
        </w:tc>
        <w:tc>
          <w:tcPr>
            <w:tcW w:w="6946" w:type="dxa"/>
            <w:gridSpan w:val="10"/>
            <w:tcBorders>
              <w:right w:val="single" w:sz="4" w:space="0" w:color="auto"/>
            </w:tcBorders>
          </w:tcPr>
          <w:p w14:paraId="5F97162F" w14:textId="77777777" w:rsidR="00467D74" w:rsidRDefault="00467D74">
            <w:pPr>
              <w:pStyle w:val="CRCoverPage"/>
              <w:spacing w:after="0"/>
              <w:rPr>
                <w:sz w:val="8"/>
                <w:szCs w:val="8"/>
              </w:rPr>
            </w:pPr>
          </w:p>
        </w:tc>
      </w:tr>
      <w:tr w:rsidR="00467D74" w14:paraId="1CB63ADB" w14:textId="77777777">
        <w:trPr>
          <w:gridBefore w:val="1"/>
          <w:wBefore w:w="42" w:type="dxa"/>
        </w:trPr>
        <w:tc>
          <w:tcPr>
            <w:tcW w:w="2694" w:type="dxa"/>
            <w:gridSpan w:val="3"/>
            <w:tcBorders>
              <w:left w:val="single" w:sz="4" w:space="0" w:color="auto"/>
            </w:tcBorders>
          </w:tcPr>
          <w:p w14:paraId="68D7F467" w14:textId="77777777" w:rsidR="00467D74" w:rsidRDefault="00467D7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FC7F19A" w14:textId="77777777" w:rsidR="00467D74" w:rsidRDefault="000372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8C8725" w14:textId="77777777" w:rsidR="00467D74" w:rsidRDefault="0003723C">
            <w:pPr>
              <w:pStyle w:val="CRCoverPage"/>
              <w:spacing w:after="0"/>
              <w:jc w:val="center"/>
              <w:rPr>
                <w:b/>
                <w:caps/>
              </w:rPr>
            </w:pPr>
            <w:r>
              <w:rPr>
                <w:b/>
                <w:caps/>
              </w:rPr>
              <w:t>N</w:t>
            </w:r>
          </w:p>
        </w:tc>
        <w:tc>
          <w:tcPr>
            <w:tcW w:w="2977" w:type="dxa"/>
            <w:gridSpan w:val="4"/>
          </w:tcPr>
          <w:p w14:paraId="4E298D5A" w14:textId="77777777" w:rsidR="00467D74" w:rsidRDefault="00467D74">
            <w:pPr>
              <w:pStyle w:val="CRCoverPage"/>
              <w:tabs>
                <w:tab w:val="right" w:pos="2893"/>
              </w:tabs>
              <w:spacing w:after="0"/>
            </w:pPr>
          </w:p>
        </w:tc>
        <w:tc>
          <w:tcPr>
            <w:tcW w:w="3401" w:type="dxa"/>
            <w:gridSpan w:val="4"/>
            <w:tcBorders>
              <w:right w:val="single" w:sz="4" w:space="0" w:color="auto"/>
            </w:tcBorders>
            <w:shd w:val="clear" w:color="FFFF00" w:fill="auto"/>
          </w:tcPr>
          <w:p w14:paraId="2B2099BA" w14:textId="77777777" w:rsidR="00467D74" w:rsidRDefault="00467D74">
            <w:pPr>
              <w:pStyle w:val="CRCoverPage"/>
              <w:spacing w:after="0"/>
              <w:ind w:left="99"/>
            </w:pPr>
          </w:p>
        </w:tc>
      </w:tr>
      <w:tr w:rsidR="00467D74" w14:paraId="05BB2F30" w14:textId="77777777">
        <w:trPr>
          <w:gridBefore w:val="1"/>
          <w:wBefore w:w="42" w:type="dxa"/>
        </w:trPr>
        <w:tc>
          <w:tcPr>
            <w:tcW w:w="2694" w:type="dxa"/>
            <w:gridSpan w:val="3"/>
            <w:tcBorders>
              <w:left w:val="single" w:sz="4" w:space="0" w:color="auto"/>
            </w:tcBorders>
          </w:tcPr>
          <w:p w14:paraId="15FCA593" w14:textId="77777777" w:rsidR="00467D74" w:rsidRDefault="000372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868ACDB" w14:textId="77777777" w:rsidR="00467D74" w:rsidRDefault="00467D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C06BC" w14:textId="77777777" w:rsidR="00467D74" w:rsidRDefault="0003723C">
            <w:pPr>
              <w:pStyle w:val="CRCoverPage"/>
              <w:spacing w:after="0"/>
              <w:jc w:val="center"/>
              <w:rPr>
                <w:b/>
                <w:caps/>
                <w:lang w:eastAsia="zh-CN"/>
              </w:rPr>
            </w:pPr>
            <w:r>
              <w:rPr>
                <w:rFonts w:hint="eastAsia"/>
                <w:b/>
                <w:caps/>
                <w:lang w:eastAsia="zh-CN"/>
              </w:rPr>
              <w:t>X</w:t>
            </w:r>
          </w:p>
        </w:tc>
        <w:tc>
          <w:tcPr>
            <w:tcW w:w="2977" w:type="dxa"/>
            <w:gridSpan w:val="4"/>
          </w:tcPr>
          <w:p w14:paraId="025AFE1E" w14:textId="77777777" w:rsidR="00467D74" w:rsidRDefault="0003723C">
            <w:pPr>
              <w:pStyle w:val="CRCoverPage"/>
              <w:tabs>
                <w:tab w:val="right" w:pos="2893"/>
              </w:tabs>
              <w:spacing w:after="0"/>
            </w:pPr>
            <w:r>
              <w:t xml:space="preserve"> Other core specifications</w:t>
            </w:r>
            <w:r>
              <w:tab/>
            </w:r>
          </w:p>
        </w:tc>
        <w:tc>
          <w:tcPr>
            <w:tcW w:w="3401" w:type="dxa"/>
            <w:gridSpan w:val="4"/>
            <w:tcBorders>
              <w:right w:val="single" w:sz="4" w:space="0" w:color="auto"/>
            </w:tcBorders>
            <w:shd w:val="pct30" w:color="FFFF00" w:fill="auto"/>
          </w:tcPr>
          <w:p w14:paraId="77D371A1" w14:textId="77777777" w:rsidR="00467D74" w:rsidRDefault="0003723C">
            <w:pPr>
              <w:pStyle w:val="CRCoverPage"/>
              <w:spacing w:after="0"/>
              <w:ind w:left="99"/>
            </w:pPr>
            <w:r>
              <w:t xml:space="preserve">TS/TR ... CR ... </w:t>
            </w:r>
          </w:p>
        </w:tc>
      </w:tr>
      <w:tr w:rsidR="00467D74" w14:paraId="59F01BF8" w14:textId="77777777">
        <w:trPr>
          <w:gridBefore w:val="1"/>
          <w:wBefore w:w="42" w:type="dxa"/>
        </w:trPr>
        <w:tc>
          <w:tcPr>
            <w:tcW w:w="2694" w:type="dxa"/>
            <w:gridSpan w:val="3"/>
            <w:tcBorders>
              <w:left w:val="single" w:sz="4" w:space="0" w:color="auto"/>
            </w:tcBorders>
          </w:tcPr>
          <w:p w14:paraId="790E0074" w14:textId="77777777" w:rsidR="00467D74" w:rsidRDefault="000372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9344EF0" w14:textId="77777777" w:rsidR="00467D74" w:rsidRDefault="00467D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51D23" w14:textId="77777777" w:rsidR="00467D74" w:rsidRDefault="0003723C">
            <w:pPr>
              <w:pStyle w:val="CRCoverPage"/>
              <w:spacing w:after="0"/>
              <w:jc w:val="center"/>
              <w:rPr>
                <w:b/>
                <w:caps/>
                <w:lang w:eastAsia="zh-CN"/>
              </w:rPr>
            </w:pPr>
            <w:r>
              <w:rPr>
                <w:rFonts w:hint="eastAsia"/>
                <w:b/>
                <w:caps/>
                <w:lang w:eastAsia="zh-CN"/>
              </w:rPr>
              <w:t>X</w:t>
            </w:r>
          </w:p>
        </w:tc>
        <w:tc>
          <w:tcPr>
            <w:tcW w:w="2977" w:type="dxa"/>
            <w:gridSpan w:val="4"/>
          </w:tcPr>
          <w:p w14:paraId="62FB9A49" w14:textId="77777777" w:rsidR="00467D74" w:rsidRDefault="0003723C">
            <w:pPr>
              <w:pStyle w:val="CRCoverPage"/>
              <w:spacing w:after="0"/>
            </w:pPr>
            <w:r>
              <w:t xml:space="preserve"> Test specifications</w:t>
            </w:r>
          </w:p>
        </w:tc>
        <w:tc>
          <w:tcPr>
            <w:tcW w:w="3401" w:type="dxa"/>
            <w:gridSpan w:val="4"/>
            <w:tcBorders>
              <w:right w:val="single" w:sz="4" w:space="0" w:color="auto"/>
            </w:tcBorders>
            <w:shd w:val="pct30" w:color="FFFF00" w:fill="auto"/>
          </w:tcPr>
          <w:p w14:paraId="695AC2CD" w14:textId="77777777" w:rsidR="00467D74" w:rsidRDefault="0003723C">
            <w:pPr>
              <w:pStyle w:val="CRCoverPage"/>
              <w:spacing w:after="0"/>
              <w:ind w:left="99"/>
            </w:pPr>
            <w:r>
              <w:t xml:space="preserve">TS/TR ... CR ... </w:t>
            </w:r>
          </w:p>
        </w:tc>
      </w:tr>
      <w:tr w:rsidR="00467D74" w14:paraId="14A526A4" w14:textId="77777777">
        <w:trPr>
          <w:gridBefore w:val="1"/>
          <w:wBefore w:w="42" w:type="dxa"/>
        </w:trPr>
        <w:tc>
          <w:tcPr>
            <w:tcW w:w="2694" w:type="dxa"/>
            <w:gridSpan w:val="3"/>
            <w:tcBorders>
              <w:left w:val="single" w:sz="4" w:space="0" w:color="auto"/>
            </w:tcBorders>
          </w:tcPr>
          <w:p w14:paraId="6B6DEFB4" w14:textId="77777777" w:rsidR="00467D74" w:rsidRDefault="000372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391BAD5" w14:textId="77777777" w:rsidR="00467D74" w:rsidRDefault="00467D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973B1" w14:textId="77777777" w:rsidR="00467D74" w:rsidRDefault="0003723C">
            <w:pPr>
              <w:pStyle w:val="CRCoverPage"/>
              <w:spacing w:after="0"/>
              <w:jc w:val="center"/>
              <w:rPr>
                <w:b/>
                <w:caps/>
                <w:lang w:eastAsia="zh-CN"/>
              </w:rPr>
            </w:pPr>
            <w:r>
              <w:rPr>
                <w:rFonts w:hint="eastAsia"/>
                <w:b/>
                <w:caps/>
                <w:lang w:eastAsia="zh-CN"/>
              </w:rPr>
              <w:t>X</w:t>
            </w:r>
          </w:p>
        </w:tc>
        <w:tc>
          <w:tcPr>
            <w:tcW w:w="2977" w:type="dxa"/>
            <w:gridSpan w:val="4"/>
          </w:tcPr>
          <w:p w14:paraId="3D981FF2" w14:textId="77777777" w:rsidR="00467D74" w:rsidRDefault="0003723C">
            <w:pPr>
              <w:pStyle w:val="CRCoverPage"/>
              <w:spacing w:after="0"/>
            </w:pPr>
            <w:r>
              <w:t xml:space="preserve"> O&amp;M Specifications</w:t>
            </w:r>
          </w:p>
        </w:tc>
        <w:tc>
          <w:tcPr>
            <w:tcW w:w="3401" w:type="dxa"/>
            <w:gridSpan w:val="4"/>
            <w:tcBorders>
              <w:right w:val="single" w:sz="4" w:space="0" w:color="auto"/>
            </w:tcBorders>
            <w:shd w:val="pct30" w:color="FFFF00" w:fill="auto"/>
          </w:tcPr>
          <w:p w14:paraId="100E6E2B" w14:textId="77777777" w:rsidR="00467D74" w:rsidRDefault="0003723C">
            <w:pPr>
              <w:pStyle w:val="CRCoverPage"/>
              <w:spacing w:after="0"/>
              <w:ind w:left="99"/>
            </w:pPr>
            <w:r>
              <w:t xml:space="preserve">TS/TR ... CR ... </w:t>
            </w:r>
          </w:p>
        </w:tc>
      </w:tr>
      <w:tr w:rsidR="00467D74" w14:paraId="38158A51" w14:textId="77777777">
        <w:trPr>
          <w:gridBefore w:val="1"/>
          <w:wBefore w:w="42" w:type="dxa"/>
        </w:trPr>
        <w:tc>
          <w:tcPr>
            <w:tcW w:w="2694" w:type="dxa"/>
            <w:gridSpan w:val="3"/>
            <w:tcBorders>
              <w:left w:val="single" w:sz="4" w:space="0" w:color="auto"/>
            </w:tcBorders>
          </w:tcPr>
          <w:p w14:paraId="1EC80BD7" w14:textId="77777777" w:rsidR="00467D74" w:rsidRDefault="00467D74">
            <w:pPr>
              <w:pStyle w:val="CRCoverPage"/>
              <w:spacing w:after="0"/>
              <w:rPr>
                <w:b/>
                <w:i/>
              </w:rPr>
            </w:pPr>
          </w:p>
        </w:tc>
        <w:tc>
          <w:tcPr>
            <w:tcW w:w="6946" w:type="dxa"/>
            <w:gridSpan w:val="10"/>
            <w:tcBorders>
              <w:right w:val="single" w:sz="4" w:space="0" w:color="auto"/>
            </w:tcBorders>
          </w:tcPr>
          <w:p w14:paraId="7B7AFBA9" w14:textId="77777777" w:rsidR="00467D74" w:rsidRDefault="00467D74">
            <w:pPr>
              <w:pStyle w:val="CRCoverPage"/>
              <w:spacing w:after="0"/>
            </w:pPr>
          </w:p>
        </w:tc>
      </w:tr>
      <w:tr w:rsidR="00467D74" w14:paraId="3CFC6941" w14:textId="77777777">
        <w:trPr>
          <w:gridBefore w:val="1"/>
          <w:wBefore w:w="42" w:type="dxa"/>
        </w:trPr>
        <w:tc>
          <w:tcPr>
            <w:tcW w:w="2694" w:type="dxa"/>
            <w:gridSpan w:val="3"/>
            <w:tcBorders>
              <w:left w:val="single" w:sz="4" w:space="0" w:color="auto"/>
              <w:bottom w:val="single" w:sz="4" w:space="0" w:color="auto"/>
            </w:tcBorders>
          </w:tcPr>
          <w:p w14:paraId="2D680C16" w14:textId="77777777" w:rsidR="00467D74" w:rsidRDefault="0003723C">
            <w:pPr>
              <w:pStyle w:val="CRCoverPage"/>
              <w:tabs>
                <w:tab w:val="right" w:pos="2184"/>
              </w:tabs>
              <w:spacing w:after="0"/>
              <w:rPr>
                <w:b/>
                <w:i/>
              </w:rPr>
            </w:pPr>
            <w:r>
              <w:rPr>
                <w:b/>
                <w:i/>
              </w:rPr>
              <w:t>Other comments:</w:t>
            </w:r>
          </w:p>
        </w:tc>
        <w:tc>
          <w:tcPr>
            <w:tcW w:w="6946" w:type="dxa"/>
            <w:gridSpan w:val="10"/>
            <w:tcBorders>
              <w:bottom w:val="single" w:sz="4" w:space="0" w:color="auto"/>
              <w:right w:val="single" w:sz="4" w:space="0" w:color="auto"/>
            </w:tcBorders>
            <w:shd w:val="pct30" w:color="FFFF00" w:fill="auto"/>
          </w:tcPr>
          <w:p w14:paraId="0BA4667C" w14:textId="77777777" w:rsidR="00467D74" w:rsidRDefault="00467D74">
            <w:pPr>
              <w:pStyle w:val="CRCoverPage"/>
              <w:spacing w:after="0"/>
              <w:ind w:left="100"/>
            </w:pPr>
          </w:p>
        </w:tc>
      </w:tr>
      <w:tr w:rsidR="00467D74" w14:paraId="7BABEEE8" w14:textId="77777777">
        <w:trPr>
          <w:gridBefore w:val="1"/>
          <w:wBefore w:w="42" w:type="dxa"/>
        </w:trPr>
        <w:tc>
          <w:tcPr>
            <w:tcW w:w="2694" w:type="dxa"/>
            <w:gridSpan w:val="3"/>
            <w:tcBorders>
              <w:top w:val="single" w:sz="4" w:space="0" w:color="auto"/>
              <w:bottom w:val="single" w:sz="4" w:space="0" w:color="auto"/>
            </w:tcBorders>
          </w:tcPr>
          <w:p w14:paraId="3A5EC405" w14:textId="77777777" w:rsidR="00467D74" w:rsidRDefault="00467D74">
            <w:pPr>
              <w:pStyle w:val="CRCoverPage"/>
              <w:tabs>
                <w:tab w:val="right" w:pos="2184"/>
              </w:tabs>
              <w:spacing w:after="0"/>
              <w:rPr>
                <w:b/>
                <w:i/>
                <w:sz w:val="8"/>
                <w:szCs w:val="8"/>
              </w:rPr>
            </w:pPr>
          </w:p>
        </w:tc>
        <w:tc>
          <w:tcPr>
            <w:tcW w:w="6946" w:type="dxa"/>
            <w:gridSpan w:val="10"/>
            <w:tcBorders>
              <w:top w:val="single" w:sz="4" w:space="0" w:color="auto"/>
              <w:bottom w:val="single" w:sz="4" w:space="0" w:color="auto"/>
            </w:tcBorders>
            <w:shd w:val="solid" w:color="FFFFFF" w:themeColor="background1" w:fill="auto"/>
          </w:tcPr>
          <w:p w14:paraId="6092D2C0" w14:textId="77777777" w:rsidR="00467D74" w:rsidRDefault="00467D74">
            <w:pPr>
              <w:pStyle w:val="CRCoverPage"/>
              <w:spacing w:after="0"/>
              <w:ind w:left="100"/>
              <w:rPr>
                <w:sz w:val="8"/>
                <w:szCs w:val="8"/>
              </w:rPr>
            </w:pPr>
          </w:p>
        </w:tc>
      </w:tr>
      <w:tr w:rsidR="00467D74" w14:paraId="14A8E1D2" w14:textId="77777777">
        <w:trPr>
          <w:gridBefore w:val="1"/>
          <w:wBefore w:w="42" w:type="dxa"/>
        </w:trPr>
        <w:tc>
          <w:tcPr>
            <w:tcW w:w="2694" w:type="dxa"/>
            <w:gridSpan w:val="3"/>
            <w:tcBorders>
              <w:top w:val="single" w:sz="4" w:space="0" w:color="auto"/>
              <w:left w:val="single" w:sz="4" w:space="0" w:color="auto"/>
              <w:bottom w:val="single" w:sz="4" w:space="0" w:color="auto"/>
            </w:tcBorders>
          </w:tcPr>
          <w:p w14:paraId="0DF92E59" w14:textId="77777777" w:rsidR="00467D74" w:rsidRDefault="0003723C">
            <w:pPr>
              <w:pStyle w:val="CRCoverPage"/>
              <w:tabs>
                <w:tab w:val="right" w:pos="2184"/>
              </w:tabs>
              <w:spacing w:after="0"/>
              <w:rPr>
                <w:b/>
                <w:i/>
              </w:rPr>
            </w:pPr>
            <w:r>
              <w:rPr>
                <w:b/>
                <w:i/>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2B73CDBF" w14:textId="77777777" w:rsidR="00467D74" w:rsidRDefault="00467D74">
            <w:pPr>
              <w:pStyle w:val="CRCoverPage"/>
              <w:spacing w:after="0"/>
              <w:ind w:left="100"/>
              <w:rPr>
                <w:lang w:eastAsia="zh-CN"/>
              </w:rPr>
            </w:pPr>
          </w:p>
        </w:tc>
      </w:tr>
    </w:tbl>
    <w:p w14:paraId="2DEBE911" w14:textId="77777777" w:rsidR="00467D74" w:rsidRDefault="0003723C">
      <w:pPr>
        <w:spacing w:after="0"/>
        <w:rPr>
          <w:rFonts w:eastAsia="Malgun Gothic"/>
          <w:i/>
        </w:rPr>
      </w:pPr>
      <w:bookmarkStart w:id="2" w:name="_Toc53006485"/>
      <w:bookmarkStart w:id="3" w:name="_Toc46486959"/>
      <w:bookmarkStart w:id="4" w:name="_Toc52836837"/>
      <w:bookmarkStart w:id="5" w:name="_Toc46439361"/>
      <w:bookmarkStart w:id="6" w:name="_Toc46444198"/>
      <w:bookmarkStart w:id="7" w:name="_Toc52837845"/>
      <w:r>
        <w:rPr>
          <w:rFonts w:eastAsia="Malgun Gothic"/>
          <w:i/>
        </w:rPr>
        <w:br w:type="page"/>
      </w:r>
    </w:p>
    <w:p w14:paraId="4E58F85B" w14:textId="77777777" w:rsidR="00467D74" w:rsidRDefault="0003723C">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rPr>
        <w:lastRenderedPageBreak/>
        <w:t>Start of Change</w:t>
      </w:r>
    </w:p>
    <w:p w14:paraId="463CAA54" w14:textId="77777777" w:rsidR="00467D74" w:rsidRDefault="0003723C">
      <w:bookmarkStart w:id="8" w:name="_Hlk43123999"/>
      <w:bookmarkEnd w:id="2"/>
      <w:bookmarkEnd w:id="3"/>
      <w:bookmarkEnd w:id="4"/>
      <w:bookmarkEnd w:id="5"/>
      <w:bookmarkEnd w:id="6"/>
      <w:bookmarkEnd w:id="7"/>
      <w:r>
        <w:rPr>
          <w:rFonts w:hint="eastAsia"/>
          <w:color w:val="FF0000"/>
          <w:lang w:eastAsia="zh-CN"/>
        </w:rPr>
        <w:t>/</w:t>
      </w:r>
      <w:r>
        <w:rPr>
          <w:color w:val="FF0000"/>
          <w:lang w:eastAsia="zh-CN"/>
        </w:rPr>
        <w:t>*Partially omitted*/</w:t>
      </w:r>
    </w:p>
    <w:p w14:paraId="205F283E" w14:textId="77777777" w:rsidR="00467D74" w:rsidRDefault="0003723C">
      <w:pPr>
        <w:pStyle w:val="3"/>
      </w:pPr>
      <w:bookmarkStart w:id="9" w:name="_Toc83651765"/>
      <w:r>
        <w:t>5.1.1</w:t>
      </w:r>
      <w:r>
        <w:tab/>
        <w:t>Random Access Procedure initialization</w:t>
      </w:r>
      <w:bookmarkEnd w:id="9"/>
    </w:p>
    <w:p w14:paraId="7D979030" w14:textId="77777777" w:rsidR="00467D74" w:rsidRDefault="0003723C">
      <w:pPr>
        <w:rPr>
          <w:rFonts w:eastAsia="?? ??"/>
        </w:rPr>
      </w:pPr>
      <w:r>
        <w:rPr>
          <w:rFonts w:eastAsia="?? ??"/>
        </w:rPr>
        <w:t xml:space="preserve">The Random Access procedure described in this clause is initiated by a PDCCH order, by the MAC sublayer itself or by the RRC sublayer. </w:t>
      </w:r>
      <w:r>
        <w:t>Random Access procedure on an SCell shall only be initiated by a PDCCH order. If a MAC entity receives a PDCCH transmission consistent with a PDCCH order, as specified inTS 36.212 [5], masked with its C-RNTI, and for a specific Serving Cell, the MAC entity shall initiate a Random Access procedure on this Serving Cell. For Random Access on</w:t>
      </w:r>
      <w:r>
        <w:rPr>
          <w:rFonts w:eastAsia="?? ??"/>
        </w:rPr>
        <w:t xml:space="preserve"> the SpCell a PDCCH order or RRC optionally indicate the </w:t>
      </w:r>
      <w:r>
        <w:rPr>
          <w:i/>
          <w:iCs/>
        </w:rPr>
        <w:t>ra-PreambleIndex</w:t>
      </w:r>
      <w:r>
        <w:t xml:space="preserve"> and the </w:t>
      </w:r>
      <w:r>
        <w:rPr>
          <w:i/>
          <w:iCs/>
        </w:rPr>
        <w:t>ra-PRACH-MaskIndex</w:t>
      </w:r>
      <w:r>
        <w:rPr>
          <w:iCs/>
        </w:rPr>
        <w:t>, except for NB-IoT where the subcarrier index is indicated;</w:t>
      </w:r>
      <w:r>
        <w:rPr>
          <w:i/>
          <w:iCs/>
        </w:rPr>
        <w:t xml:space="preserve"> </w:t>
      </w:r>
      <w:r>
        <w:rPr>
          <w:iCs/>
        </w:rPr>
        <w:t xml:space="preserve">and for Random Access on an SCell, the PDCCH order indicates the </w:t>
      </w:r>
      <w:r>
        <w:rPr>
          <w:i/>
          <w:iCs/>
        </w:rPr>
        <w:t>ra-PreambleIndex</w:t>
      </w:r>
      <w:r>
        <w:t xml:space="preserve"> with a value different from 000000 and the </w:t>
      </w:r>
      <w:r>
        <w:rPr>
          <w:i/>
          <w:iCs/>
        </w:rPr>
        <w:t>ra-PRACH-MaskIndex</w:t>
      </w:r>
      <w:r>
        <w:t xml:space="preserve">. For the pTAG preamble transmission on PRACH and reception of a PDCCH order are only supported for SpCell. </w:t>
      </w:r>
      <w:r>
        <w:rPr>
          <w:rFonts w:eastAsia="?? ??"/>
        </w:rPr>
        <w:t>If the UE is an NB-IoT UE, the Random Access procedure is performed on the anchor carrier or one of the non-anchor carriers for which PRACH resource has been configured in system information.</w:t>
      </w:r>
    </w:p>
    <w:p w14:paraId="3A836E16" w14:textId="77777777" w:rsidR="00467D74" w:rsidRDefault="0003723C">
      <w:r>
        <w:rPr>
          <w:rFonts w:eastAsia="?? ??"/>
        </w:rPr>
        <w:t xml:space="preserve">Before the procedure can be initiated, the following information </w:t>
      </w:r>
      <w:r>
        <w:rPr>
          <w:lang w:eastAsia="zh-CN"/>
        </w:rPr>
        <w:t xml:space="preserve">for related Serving Cell </w:t>
      </w:r>
      <w:r>
        <w:rPr>
          <w:rFonts w:eastAsia="?? ??"/>
        </w:rPr>
        <w:t>is assumed to be available for UEs other than NB-IoT UEs, BL</w:t>
      </w:r>
      <w:r>
        <w:t xml:space="preserve"> UEs or UEs in enhanced coverage, as specified in TS 36.331 </w:t>
      </w:r>
      <w:r>
        <w:rPr>
          <w:rFonts w:eastAsia="?? ??"/>
        </w:rPr>
        <w:t>[8], unless explicitly stated otherwise</w:t>
      </w:r>
      <w:r>
        <w:t>:</w:t>
      </w:r>
    </w:p>
    <w:p w14:paraId="5F230427" w14:textId="77777777" w:rsidR="00467D74" w:rsidRDefault="0003723C">
      <w:pPr>
        <w:pStyle w:val="B1"/>
      </w:pPr>
      <w:r>
        <w:t>-</w:t>
      </w:r>
      <w:r>
        <w:tab/>
        <w:t xml:space="preserve">the available set of PRACH resources for the transmission of the Random Access Preamble, </w:t>
      </w:r>
      <w:r>
        <w:rPr>
          <w:i/>
        </w:rPr>
        <w:t>prach-ConfigIndex</w:t>
      </w:r>
      <w:r>
        <w:t>.</w:t>
      </w:r>
    </w:p>
    <w:p w14:paraId="5D6334EB" w14:textId="77777777" w:rsidR="00467D74" w:rsidRDefault="0003723C">
      <w:pPr>
        <w:pStyle w:val="B1"/>
      </w:pPr>
      <w:r>
        <w:t>-</w:t>
      </w:r>
      <w:r>
        <w:tab/>
        <w:t>the groups of Random Access Preambles and the set of available Random Access Preambles in each group (SpCell only):</w:t>
      </w:r>
    </w:p>
    <w:p w14:paraId="41F1F2AA" w14:textId="77777777" w:rsidR="00467D74" w:rsidRDefault="0003723C">
      <w:pPr>
        <w:pStyle w:val="B1"/>
      </w:pPr>
      <w:r>
        <w:tab/>
        <w:t xml:space="preserve">The preambles that are contained in Random Access Preambles group A and Random Access Preambles group B are calculated from the parameters </w:t>
      </w:r>
      <w:r>
        <w:rPr>
          <w:i/>
        </w:rPr>
        <w:t>numberOfRA-Preambles</w:t>
      </w:r>
      <w:r>
        <w:t xml:space="preserve"> and </w:t>
      </w:r>
      <w:r>
        <w:rPr>
          <w:i/>
        </w:rPr>
        <w:t>sizeOfRA-PreamblesGroupA</w:t>
      </w:r>
      <w:r>
        <w:t>:</w:t>
      </w:r>
    </w:p>
    <w:p w14:paraId="79F72EAF" w14:textId="77777777" w:rsidR="00467D74" w:rsidRDefault="0003723C">
      <w:pPr>
        <w:pStyle w:val="B1"/>
      </w:pPr>
      <w:r>
        <w:tab/>
        <w:t xml:space="preserve">If </w:t>
      </w:r>
      <w:r>
        <w:rPr>
          <w:i/>
        </w:rPr>
        <w:t xml:space="preserve">sizeOfRA-PreamblesGroupA </w:t>
      </w:r>
      <w:r>
        <w:t xml:space="preserve">is equal to </w:t>
      </w:r>
      <w:r>
        <w:rPr>
          <w:i/>
        </w:rPr>
        <w:t>numberOfRA-Preambles</w:t>
      </w:r>
      <w:r>
        <w:t xml:space="preserve"> then there is no Random Access Preambles group B. The preambles in Random Access Preamble group A are the preambles 0 to </w:t>
      </w:r>
      <w:r>
        <w:rPr>
          <w:i/>
        </w:rPr>
        <w:t>sizeOfRA-PreamblesGroupA</w:t>
      </w:r>
      <w:r>
        <w:t xml:space="preserve"> – 1 and, if it exists, the preambles in Random Access Preamble group B are the preambles </w:t>
      </w:r>
      <w:r>
        <w:rPr>
          <w:i/>
        </w:rPr>
        <w:t>sizeOfRA-PreamblesGroupA</w:t>
      </w:r>
      <w:r>
        <w:t xml:space="preserve"> to </w:t>
      </w:r>
      <w:r>
        <w:rPr>
          <w:i/>
        </w:rPr>
        <w:t xml:space="preserve">numberOfRA-Preambles </w:t>
      </w:r>
      <w:r>
        <w:t>– 1 from the set of 64 preambles as defined in TS 36.211 [7].</w:t>
      </w:r>
    </w:p>
    <w:p w14:paraId="1AC6E1FE" w14:textId="77777777" w:rsidR="00467D74" w:rsidRDefault="0003723C">
      <w:pPr>
        <w:pStyle w:val="B1"/>
      </w:pPr>
      <w:r>
        <w:t>-</w:t>
      </w:r>
      <w:r>
        <w:tab/>
        <w:t xml:space="preserve">if Random Access Preambles group B exists, the thresholds, </w:t>
      </w:r>
      <w:r>
        <w:rPr>
          <w:i/>
        </w:rPr>
        <w:t>messagePowerOffsetGroupB</w:t>
      </w:r>
      <w:r>
        <w:t xml:space="preserve"> and </w:t>
      </w:r>
      <w:r>
        <w:rPr>
          <w:i/>
        </w:rPr>
        <w:t>messageSizeGroupA</w:t>
      </w:r>
      <w:r>
        <w:t>, the configured UE transmitted power of the Serving Cell performing the Random Access Procedure, P</w:t>
      </w:r>
      <w:r>
        <w:rPr>
          <w:vertAlign w:val="subscript"/>
        </w:rPr>
        <w:t>CMAX, c</w:t>
      </w:r>
      <w:r>
        <w:t xml:space="preserve">, as specified in TS 36.101 [10], and the offset between the preamble and Msg3, </w:t>
      </w:r>
      <w:r>
        <w:rPr>
          <w:i/>
        </w:rPr>
        <w:t>deltaPreambleMsg3</w:t>
      </w:r>
      <w:r>
        <w:t xml:space="preserve">, that are required for selecting one of the two groups of Random Access Preambles </w:t>
      </w:r>
      <w:r>
        <w:rPr>
          <w:lang w:eastAsia="zh-CN"/>
        </w:rPr>
        <w:t>(SpCell only)</w:t>
      </w:r>
      <w:r>
        <w:t>.</w:t>
      </w:r>
    </w:p>
    <w:p w14:paraId="5AD88ED6" w14:textId="77777777" w:rsidR="00467D74" w:rsidRDefault="0003723C">
      <w:pPr>
        <w:pStyle w:val="B1"/>
      </w:pPr>
      <w:r>
        <w:t>-</w:t>
      </w:r>
      <w:r>
        <w:tab/>
        <w:t>the RA response window size</w:t>
      </w:r>
      <w:r>
        <w:rPr>
          <w:i/>
        </w:rPr>
        <w:t xml:space="preserve"> ra-ResponseWindowSize</w:t>
      </w:r>
      <w:r>
        <w:t>.</w:t>
      </w:r>
    </w:p>
    <w:p w14:paraId="40EC7F1C" w14:textId="77777777" w:rsidR="00467D74" w:rsidRDefault="0003723C">
      <w:pPr>
        <w:pStyle w:val="B1"/>
      </w:pPr>
      <w:r>
        <w:t>-</w:t>
      </w:r>
      <w:r>
        <w:tab/>
        <w:t xml:space="preserve">the power-ramping factor </w:t>
      </w:r>
      <w:r>
        <w:rPr>
          <w:i/>
        </w:rPr>
        <w:t>powerRampingStep</w:t>
      </w:r>
      <w:r>
        <w:t>.</w:t>
      </w:r>
    </w:p>
    <w:p w14:paraId="4BD52711" w14:textId="77777777" w:rsidR="00467D74" w:rsidRDefault="0003723C">
      <w:pPr>
        <w:pStyle w:val="B1"/>
      </w:pPr>
      <w:r>
        <w:t>-</w:t>
      </w:r>
      <w:r>
        <w:tab/>
        <w:t xml:space="preserve">the maximum number of preamble transmission </w:t>
      </w:r>
      <w:r>
        <w:rPr>
          <w:i/>
        </w:rPr>
        <w:t>preambleTransMax</w:t>
      </w:r>
      <w:r>
        <w:t>.</w:t>
      </w:r>
    </w:p>
    <w:p w14:paraId="4B48A578" w14:textId="77777777" w:rsidR="00467D74" w:rsidRDefault="0003723C">
      <w:pPr>
        <w:pStyle w:val="B1"/>
      </w:pPr>
      <w:r>
        <w:t>-</w:t>
      </w:r>
      <w:r>
        <w:tab/>
        <w:t xml:space="preserve">the initial preamble power </w:t>
      </w:r>
      <w:r>
        <w:rPr>
          <w:i/>
        </w:rPr>
        <w:t>preambleInitialReceivedTargetPower</w:t>
      </w:r>
      <w:r>
        <w:t>.</w:t>
      </w:r>
    </w:p>
    <w:p w14:paraId="3D00D4D2" w14:textId="77777777" w:rsidR="00467D74" w:rsidRDefault="0003723C">
      <w:pPr>
        <w:pStyle w:val="B1"/>
      </w:pPr>
      <w:r>
        <w:t>-</w:t>
      </w:r>
      <w:r>
        <w:tab/>
        <w:t>the preamble format based offset DELTA_PREAMBLE (see clause 7.6).</w:t>
      </w:r>
    </w:p>
    <w:p w14:paraId="63F1492A" w14:textId="77777777" w:rsidR="00467D74" w:rsidRDefault="0003723C">
      <w:pPr>
        <w:pStyle w:val="B1"/>
        <w:rPr>
          <w:rFonts w:eastAsia="?? ??"/>
        </w:rPr>
      </w:pPr>
      <w:r>
        <w:t>-</w:t>
      </w:r>
      <w:r>
        <w:tab/>
        <w:t xml:space="preserve">the maximum number of Msg3 HARQ transmissions </w:t>
      </w:r>
      <w:r>
        <w:rPr>
          <w:i/>
        </w:rPr>
        <w:t>maxHARQ-Msg3Tx</w:t>
      </w:r>
      <w:r>
        <w:t xml:space="preserve"> </w:t>
      </w:r>
      <w:r>
        <w:rPr>
          <w:lang w:eastAsia="zh-CN"/>
        </w:rPr>
        <w:t>(SpCell only)</w:t>
      </w:r>
      <w:r>
        <w:t>.</w:t>
      </w:r>
    </w:p>
    <w:p w14:paraId="3A90B809" w14:textId="77777777" w:rsidR="00467D74" w:rsidRDefault="0003723C">
      <w:pPr>
        <w:pStyle w:val="B1"/>
        <w:rPr>
          <w:rFonts w:eastAsia="?? ??"/>
        </w:rPr>
      </w:pPr>
      <w:r>
        <w:rPr>
          <w:rFonts w:eastAsia="?? ??"/>
        </w:rPr>
        <w:t>-</w:t>
      </w:r>
      <w:r>
        <w:rPr>
          <w:rFonts w:eastAsia="?? ??"/>
        </w:rPr>
        <w:tab/>
        <w:t xml:space="preserve">the Contention Resolution Timer </w:t>
      </w:r>
      <w:r>
        <w:rPr>
          <w:rFonts w:eastAsia="?? ??"/>
          <w:i/>
        </w:rPr>
        <w:t>mac-ContentionResolutionTimer</w:t>
      </w:r>
      <w:r>
        <w:t xml:space="preserve"> </w:t>
      </w:r>
      <w:r>
        <w:rPr>
          <w:lang w:eastAsia="zh-CN"/>
        </w:rPr>
        <w:t>(SpCell only)</w:t>
      </w:r>
      <w:r>
        <w:rPr>
          <w:rFonts w:eastAsia="?? ??"/>
        </w:rPr>
        <w:t>.</w:t>
      </w:r>
    </w:p>
    <w:p w14:paraId="5CF0FAB3" w14:textId="77777777" w:rsidR="00467D74" w:rsidRDefault="0003723C">
      <w:pPr>
        <w:pStyle w:val="NO"/>
        <w:rPr>
          <w:rFonts w:eastAsia="?? ??"/>
        </w:rPr>
      </w:pPr>
      <w:r>
        <w:rPr>
          <w:rFonts w:eastAsia="?? ??"/>
        </w:rPr>
        <w:t>NOTE 1:</w:t>
      </w:r>
      <w:r>
        <w:rPr>
          <w:rFonts w:eastAsia="?? ??"/>
        </w:rPr>
        <w:tab/>
        <w:t>The above parameters may be updated from upper layers before each Random Access procedure is initiated.</w:t>
      </w:r>
    </w:p>
    <w:p w14:paraId="23CE7F2B" w14:textId="77777777" w:rsidR="00467D74" w:rsidRDefault="0003723C">
      <w:r>
        <w:rPr>
          <w:rFonts w:eastAsia="?? ??"/>
        </w:rPr>
        <w:t xml:space="preserve">The following information </w:t>
      </w:r>
      <w:r>
        <w:rPr>
          <w:lang w:eastAsia="zh-CN"/>
        </w:rPr>
        <w:t xml:space="preserve">for related Serving Cell </w:t>
      </w:r>
      <w:r>
        <w:rPr>
          <w:rFonts w:eastAsia="?? ??"/>
        </w:rPr>
        <w:t>is assumed to be available before the procedure can be initiated for NB-IoT UEs, BL</w:t>
      </w:r>
      <w:r>
        <w:t xml:space="preserve"> UEs or UEs in enhanced coverage, as specified in TS 36.331 </w:t>
      </w:r>
      <w:r>
        <w:rPr>
          <w:rFonts w:eastAsia="?? ??"/>
        </w:rPr>
        <w:t>[8]</w:t>
      </w:r>
      <w:r>
        <w:t>:</w:t>
      </w:r>
    </w:p>
    <w:p w14:paraId="43F15BCE" w14:textId="77777777" w:rsidR="00467D74" w:rsidRDefault="0003723C">
      <w:pPr>
        <w:pStyle w:val="B1"/>
      </w:pPr>
      <w:r>
        <w:t>-</w:t>
      </w:r>
      <w:r>
        <w:tab/>
        <w:t>if the UE is a BL UE or a UE in enhanced coverage:</w:t>
      </w:r>
    </w:p>
    <w:p w14:paraId="1D5BB6BE" w14:textId="77777777" w:rsidR="00467D74" w:rsidRDefault="0003723C">
      <w:pPr>
        <w:pStyle w:val="B2"/>
      </w:pPr>
      <w:r>
        <w:t>-</w:t>
      </w:r>
      <w:r>
        <w:tab/>
        <w:t xml:space="preserve">the available set of PRACH resources associated with each enhanced coverage level supported in the Serving Cell for the transmission of the Random Access Preamble, </w:t>
      </w:r>
      <w:r>
        <w:rPr>
          <w:i/>
        </w:rPr>
        <w:t>prach-ConfigIndex</w:t>
      </w:r>
      <w:r>
        <w:t>.</w:t>
      </w:r>
    </w:p>
    <w:p w14:paraId="627E66BF" w14:textId="77777777" w:rsidR="00467D74" w:rsidRDefault="0003723C">
      <w:pPr>
        <w:pStyle w:val="B2"/>
      </w:pPr>
      <w:r>
        <w:lastRenderedPageBreak/>
        <w:t>-</w:t>
      </w:r>
      <w:r>
        <w:tab/>
        <w:t xml:space="preserve">for EDT, the available set of PRACH resources associated with EDT for each enhanced coverage level supported in the Serving Cell for the transmission of the Random Access Preamble, </w:t>
      </w:r>
      <w:r>
        <w:rPr>
          <w:i/>
        </w:rPr>
        <w:t>prach-ConfigIndex</w:t>
      </w:r>
      <w:r>
        <w:t>.</w:t>
      </w:r>
    </w:p>
    <w:p w14:paraId="2638916B" w14:textId="77777777" w:rsidR="00467D74" w:rsidRDefault="0003723C">
      <w:pPr>
        <w:pStyle w:val="B2"/>
      </w:pPr>
      <w:r>
        <w:t>-</w:t>
      </w:r>
      <w:r>
        <w:tab/>
        <w:t>the groups of Random Access Preambles and the set of available Random Access Preambles in each group(SpCell only):</w:t>
      </w:r>
    </w:p>
    <w:p w14:paraId="632F7C27" w14:textId="77777777" w:rsidR="00467D74" w:rsidRDefault="0003723C">
      <w:pPr>
        <w:pStyle w:val="B3"/>
      </w:pPr>
      <w:r>
        <w:t>-</w:t>
      </w:r>
      <w:r>
        <w:tab/>
        <w:t>except for EDT:</w:t>
      </w:r>
    </w:p>
    <w:p w14:paraId="2FBACC8B" w14:textId="77777777" w:rsidR="00467D74" w:rsidRDefault="0003723C">
      <w:pPr>
        <w:pStyle w:val="B4"/>
      </w:pPr>
      <w:r>
        <w:t>-</w:t>
      </w:r>
      <w:r>
        <w:tab/>
        <w:t xml:space="preserve">if </w:t>
      </w:r>
      <w:r>
        <w:rPr>
          <w:i/>
        </w:rPr>
        <w:t>sizeOfRA-PreamblesGroupA</w:t>
      </w:r>
      <w:r>
        <w:t xml:space="preserve"> is not equal to </w:t>
      </w:r>
      <w:r>
        <w:rPr>
          <w:i/>
        </w:rPr>
        <w:t>numberOfRA-Preambles</w:t>
      </w:r>
      <w:r>
        <w:t>:</w:t>
      </w:r>
    </w:p>
    <w:p w14:paraId="2C45CB50" w14:textId="77777777" w:rsidR="00467D74" w:rsidRDefault="0003723C">
      <w:pPr>
        <w:pStyle w:val="B5"/>
      </w:pPr>
      <w:r>
        <w:t>-</w:t>
      </w:r>
      <w:r>
        <w:tab/>
        <w:t>Random Access Preambles group A and B exist and are calculated as above;</w:t>
      </w:r>
    </w:p>
    <w:p w14:paraId="0C95753C" w14:textId="77777777" w:rsidR="00467D74" w:rsidRDefault="0003723C">
      <w:pPr>
        <w:pStyle w:val="B4"/>
      </w:pPr>
      <w:r>
        <w:t>-</w:t>
      </w:r>
      <w:r>
        <w:tab/>
        <w:t>else:</w:t>
      </w:r>
    </w:p>
    <w:p w14:paraId="5CBF48F9" w14:textId="77777777" w:rsidR="00467D74" w:rsidRDefault="0003723C">
      <w:pPr>
        <w:pStyle w:val="B5"/>
      </w:pPr>
      <w:r>
        <w:t>-</w:t>
      </w:r>
      <w:r>
        <w:tab/>
        <w:t xml:space="preserve">the preambles that are contained in Random Access Preamble groups for each enhanced coverage level, if it exists, are the preambles </w:t>
      </w:r>
      <w:r>
        <w:rPr>
          <w:i/>
        </w:rPr>
        <w:t>firstPreamble</w:t>
      </w:r>
      <w:r>
        <w:t xml:space="preserve"> to </w:t>
      </w:r>
      <w:r>
        <w:rPr>
          <w:i/>
        </w:rPr>
        <w:t>lastPreamble</w:t>
      </w:r>
      <w:r>
        <w:t>.</w:t>
      </w:r>
    </w:p>
    <w:p w14:paraId="315F71EB" w14:textId="77777777" w:rsidR="00467D74" w:rsidRDefault="0003723C">
      <w:pPr>
        <w:pStyle w:val="B2"/>
        <w:rPr>
          <w:rFonts w:eastAsia="?? ??"/>
        </w:rPr>
      </w:pPr>
      <w:r>
        <w:rPr>
          <w:rFonts w:eastAsia="?? ??"/>
        </w:rPr>
        <w:t>-</w:t>
      </w:r>
      <w:r>
        <w:rPr>
          <w:rFonts w:eastAsia="?? ??"/>
        </w:rPr>
        <w:tab/>
        <w:t xml:space="preserve">for EDT, the preambles that are contained in Random Access Preamble groups for each enhanced coverage level, if it exists, </w:t>
      </w:r>
      <w:r>
        <w:rPr>
          <w:rFonts w:eastAsia="?? ??"/>
          <w:lang w:eastAsia="en-GB"/>
        </w:rPr>
        <w:t xml:space="preserve">are the preambles </w:t>
      </w:r>
      <w:r>
        <w:rPr>
          <w:rFonts w:eastAsia="?? ??"/>
          <w:i/>
          <w:lang w:eastAsia="en-GB"/>
        </w:rPr>
        <w:t>firstPreamble</w:t>
      </w:r>
      <w:r>
        <w:rPr>
          <w:rFonts w:eastAsia="?? ??"/>
          <w:lang w:eastAsia="en-GB"/>
        </w:rPr>
        <w:t xml:space="preserve"> to </w:t>
      </w:r>
      <w:r>
        <w:rPr>
          <w:rFonts w:eastAsia="?? ??"/>
          <w:i/>
          <w:lang w:eastAsia="en-GB"/>
        </w:rPr>
        <w:t>edt-LastPreamble</w:t>
      </w:r>
      <w:r>
        <w:rPr>
          <w:rFonts w:eastAsia="?? ??"/>
          <w:lang w:eastAsia="en-GB"/>
        </w:rPr>
        <w:t xml:space="preserve"> if PRACH resources configured by </w:t>
      </w:r>
      <w:r>
        <w:rPr>
          <w:rFonts w:eastAsia="?? ??"/>
          <w:i/>
          <w:lang w:eastAsia="en-GB"/>
        </w:rPr>
        <w:t>edt-PRACH-ParametersCE</w:t>
      </w:r>
      <w:r>
        <w:rPr>
          <w:rFonts w:eastAsia="?? ??"/>
          <w:lang w:eastAsia="en-GB"/>
        </w:rPr>
        <w:t xml:space="preserve"> are different from the PRACH resources configured by </w:t>
      </w:r>
      <w:r>
        <w:rPr>
          <w:rFonts w:eastAsia="?? ??"/>
          <w:i/>
          <w:lang w:eastAsia="en-GB"/>
        </w:rPr>
        <w:t>PRACH-ParametersCE</w:t>
      </w:r>
      <w:r>
        <w:rPr>
          <w:rFonts w:eastAsia="?? ??"/>
          <w:lang w:eastAsia="en-GB"/>
        </w:rPr>
        <w:t xml:space="preserve"> for all enhanced coverage levels and </w:t>
      </w:r>
      <w:r>
        <w:rPr>
          <w:rFonts w:eastAsia="?? ??"/>
          <w:i/>
          <w:lang w:eastAsia="en-GB"/>
        </w:rPr>
        <w:t>edt-PRACH-ParametersCE</w:t>
      </w:r>
      <w:r>
        <w:rPr>
          <w:rFonts w:eastAsia="?? ??"/>
        </w:rPr>
        <w:t xml:space="preserve"> for all other enhanced coverage levels</w:t>
      </w:r>
      <w:r>
        <w:rPr>
          <w:rFonts w:eastAsia="?? ??"/>
          <w:lang w:eastAsia="en-GB"/>
        </w:rPr>
        <w:t xml:space="preserve">, otherwise the preambles for EDT </w:t>
      </w:r>
      <w:r>
        <w:rPr>
          <w:rFonts w:eastAsia="?? ??"/>
        </w:rPr>
        <w:t xml:space="preserve">are the preambles </w:t>
      </w:r>
      <w:r>
        <w:rPr>
          <w:rFonts w:eastAsia="?? ??"/>
          <w:i/>
        </w:rPr>
        <w:t>lastPreamble</w:t>
      </w:r>
      <w:r>
        <w:rPr>
          <w:rFonts w:eastAsia="?? ??"/>
        </w:rPr>
        <w:t xml:space="preserve">+1 to </w:t>
      </w:r>
      <w:r>
        <w:rPr>
          <w:rFonts w:eastAsia="?? ??"/>
          <w:i/>
        </w:rPr>
        <w:t>edt-LastPreamble</w:t>
      </w:r>
      <w:r>
        <w:rPr>
          <w:rFonts w:eastAsia="?? ??"/>
        </w:rPr>
        <w:t>.</w:t>
      </w:r>
    </w:p>
    <w:p w14:paraId="35A208B5" w14:textId="77777777" w:rsidR="00467D74" w:rsidRDefault="0003723C">
      <w:pPr>
        <w:pStyle w:val="NO"/>
      </w:pPr>
      <w:r>
        <w:t>NOTE 2:</w:t>
      </w:r>
      <w:r>
        <w:tab/>
        <w:t>When a PRACH resource is shared for multiple enhanced coverage levels, and enhanced coverage levels are differentiated by different preamble indices, Group A and Group B is not used for this PRACH resource.</w:t>
      </w:r>
    </w:p>
    <w:p w14:paraId="2434D468" w14:textId="77777777" w:rsidR="00467D74" w:rsidRDefault="0003723C">
      <w:pPr>
        <w:pStyle w:val="B1"/>
      </w:pPr>
      <w:r>
        <w:t>-</w:t>
      </w:r>
      <w:r>
        <w:tab/>
        <w:t>if the UE is an NB-IoT UE:</w:t>
      </w:r>
    </w:p>
    <w:p w14:paraId="19C56CA8" w14:textId="77777777" w:rsidR="00467D74" w:rsidRDefault="0003723C">
      <w:pPr>
        <w:pStyle w:val="B2"/>
      </w:pPr>
      <w:r>
        <w:rPr>
          <w:rFonts w:eastAsia="?? ??"/>
        </w:rPr>
        <w:t>-</w:t>
      </w:r>
      <w:r>
        <w:rPr>
          <w:rFonts w:eastAsia="?? ??"/>
        </w:rPr>
        <w:tab/>
      </w:r>
      <w:r>
        <w:t xml:space="preserve">the available set of PRACH resources supported in the Serving Cell on the anchor carrier, </w:t>
      </w:r>
      <w:r>
        <w:rPr>
          <w:i/>
        </w:rPr>
        <w:t>nprach-ParametersList</w:t>
      </w:r>
      <w:r>
        <w:t>, and on the non-anchor carriers, in</w:t>
      </w:r>
      <w:r>
        <w:rPr>
          <w:i/>
        </w:rPr>
        <w:t xml:space="preserve"> ul-ConfigList</w:t>
      </w:r>
      <w:r>
        <w:t>.</w:t>
      </w:r>
    </w:p>
    <w:p w14:paraId="45E61876" w14:textId="77777777" w:rsidR="00467D74" w:rsidRDefault="0003723C">
      <w:pPr>
        <w:pStyle w:val="B2"/>
      </w:pPr>
      <w:r>
        <w:t>-</w:t>
      </w:r>
      <w:r>
        <w:tab/>
        <w:t xml:space="preserve">for EDT, the available set of PRACH resources associated with EDT on anchor carrier, </w:t>
      </w:r>
      <w:r>
        <w:rPr>
          <w:i/>
        </w:rPr>
        <w:t>nprach-ParametersList-EDT</w:t>
      </w:r>
      <w:r>
        <w:t xml:space="preserve">, and on the non-anchor carriers, in </w:t>
      </w:r>
      <w:r>
        <w:rPr>
          <w:i/>
        </w:rPr>
        <w:t>ul-ConfigList</w:t>
      </w:r>
      <w:r>
        <w:t>.</w:t>
      </w:r>
    </w:p>
    <w:p w14:paraId="27453FE2" w14:textId="77777777" w:rsidR="00467D74" w:rsidRDefault="0003723C">
      <w:pPr>
        <w:pStyle w:val="B2"/>
      </w:pPr>
      <w:r>
        <w:t>-</w:t>
      </w:r>
      <w:r>
        <w:tab/>
        <w:t>for random access resource selection and preamble transmission:</w:t>
      </w:r>
    </w:p>
    <w:p w14:paraId="26B092DA" w14:textId="77777777" w:rsidR="00467D74" w:rsidRDefault="0003723C">
      <w:pPr>
        <w:pStyle w:val="B3"/>
        <w:ind w:hanging="283"/>
      </w:pPr>
      <w:r>
        <w:t>-</w:t>
      </w:r>
      <w:r>
        <w:tab/>
        <w:t>a PRACH resource is mapped into an enhanced coverage level.</w:t>
      </w:r>
    </w:p>
    <w:p w14:paraId="5EFE6F30" w14:textId="77777777" w:rsidR="00467D74" w:rsidRDefault="0003723C">
      <w:pPr>
        <w:pStyle w:val="B3"/>
      </w:pPr>
      <w:r>
        <w:t>-</w:t>
      </w:r>
      <w:r>
        <w:tab/>
        <w:t xml:space="preserve">each PRACH resource contains a set of </w:t>
      </w:r>
      <w:r>
        <w:rPr>
          <w:rFonts w:cs="Courier New"/>
          <w:i/>
          <w:szCs w:val="16"/>
        </w:rPr>
        <w:t>nprach-NumSubcarriers</w:t>
      </w:r>
      <w:r>
        <w:t xml:space="preserve"> subcarriers which can be partitioned into one or two groups for single/multi-tone Msg3 transmission by </w:t>
      </w:r>
      <w:r>
        <w:rPr>
          <w:rFonts w:cs="Courier New"/>
          <w:i/>
          <w:szCs w:val="16"/>
        </w:rPr>
        <w:t>nprach-SubcarrierMSG3-RangeStart</w:t>
      </w:r>
      <w:r>
        <w:rPr>
          <w:rFonts w:cs="Courier New"/>
          <w:szCs w:val="16"/>
        </w:rPr>
        <w:t xml:space="preserve"> and </w:t>
      </w:r>
      <w:r>
        <w:rPr>
          <w:i/>
        </w:rPr>
        <w:t>nprach-NumCBRA-StartSubcarriers</w:t>
      </w:r>
      <w:r>
        <w:t xml:space="preserve"> as specified in TS 36.211 [7], clause 10.1.6.1. Each group is referred to as a Random Access Preamble group below in the procedure text.</w:t>
      </w:r>
    </w:p>
    <w:p w14:paraId="61FC74E7" w14:textId="77777777" w:rsidR="00467D74" w:rsidRDefault="0003723C">
      <w:pPr>
        <w:pStyle w:val="B4"/>
      </w:pPr>
      <w:r>
        <w:t>-</w:t>
      </w:r>
      <w:r>
        <w:tab/>
        <w:t>a subcarrier is identified by the subcarrier index in the range:</w:t>
      </w:r>
      <w:r>
        <w:br/>
        <w:t>[</w:t>
      </w:r>
      <w:r>
        <w:rPr>
          <w:i/>
        </w:rPr>
        <w:t>nprach-SubcarrierOffset</w:t>
      </w:r>
      <w:r>
        <w:t xml:space="preserve">, </w:t>
      </w:r>
      <w:r>
        <w:rPr>
          <w:i/>
        </w:rPr>
        <w:t>nprach-SubcarrierOffset</w:t>
      </w:r>
      <w:r>
        <w:t xml:space="preserve"> + </w:t>
      </w:r>
      <w:r>
        <w:rPr>
          <w:i/>
        </w:rPr>
        <w:t xml:space="preserve">nprach-NumSubcarriers </w:t>
      </w:r>
      <w:r>
        <w:t>-1]</w:t>
      </w:r>
    </w:p>
    <w:p w14:paraId="2D1DB469" w14:textId="77777777" w:rsidR="00467D74" w:rsidRDefault="0003723C">
      <w:pPr>
        <w:pStyle w:val="B4"/>
      </w:pPr>
      <w:r>
        <w:t>-</w:t>
      </w:r>
      <w:r>
        <w:tab/>
        <w:t>each subcarrier of a Random Access Preamble group corresponds to a Random Access Preamble.</w:t>
      </w:r>
    </w:p>
    <w:p w14:paraId="679EE899" w14:textId="77777777" w:rsidR="00467D74" w:rsidRDefault="0003723C">
      <w:pPr>
        <w:pStyle w:val="B3"/>
      </w:pPr>
      <w:r>
        <w:t>-</w:t>
      </w:r>
      <w:r>
        <w:tab/>
        <w:t xml:space="preserve">when the subcarrier index is explicitly sent from the eNB as part of a PDCCH order </w:t>
      </w:r>
      <w:r>
        <w:rPr>
          <w:i/>
        </w:rPr>
        <w:t>ra-PreambleIndex</w:t>
      </w:r>
      <w:r>
        <w:t xml:space="preserve"> shall be set to the signalled subcarrier index.</w:t>
      </w:r>
    </w:p>
    <w:p w14:paraId="564E2839" w14:textId="77777777" w:rsidR="00467D74" w:rsidRDefault="0003723C">
      <w:pPr>
        <w:pStyle w:val="B2"/>
      </w:pPr>
      <w:r>
        <w:t>-</w:t>
      </w:r>
      <w:r>
        <w:tab/>
        <w:t>the mapping of the PRACH resources into enhanced coverage levels is determined according to the following:</w:t>
      </w:r>
    </w:p>
    <w:p w14:paraId="0F69E91A" w14:textId="77777777" w:rsidR="00467D74" w:rsidRDefault="0003723C">
      <w:pPr>
        <w:pStyle w:val="B3"/>
      </w:pPr>
      <w:r>
        <w:t>-</w:t>
      </w:r>
      <w:r>
        <w:tab/>
        <w:t xml:space="preserve">the number of enhanced coverage levels is equal to one plus the number of RSRP thresholds present in </w:t>
      </w:r>
      <w:r>
        <w:rPr>
          <w:i/>
          <w:lang w:eastAsia="zh-TW"/>
        </w:rPr>
        <w:t>rsrp</w:t>
      </w:r>
      <w:r>
        <w:rPr>
          <w:i/>
        </w:rPr>
        <w:t>-ThresholdsPrachInfoList</w:t>
      </w:r>
      <w:r>
        <w:t>.</w:t>
      </w:r>
    </w:p>
    <w:p w14:paraId="6D204E7A" w14:textId="77777777" w:rsidR="00467D74" w:rsidRDefault="0003723C">
      <w:pPr>
        <w:pStyle w:val="B3"/>
      </w:pPr>
      <w:r>
        <w:t>-</w:t>
      </w:r>
      <w:r>
        <w:tab/>
      </w:r>
      <w:ins w:id="10" w:author="作者">
        <w:r>
          <w:t>the number of enhanced coverage levels</w:t>
        </w:r>
        <w:r>
          <w:rPr>
            <w:i/>
          </w:rPr>
          <w:t xml:space="preserve"> </w:t>
        </w:r>
        <w:r>
          <w:rPr>
            <w:rFonts w:hint="eastAsia"/>
            <w:i/>
            <w:lang w:eastAsia="zh-CN"/>
          </w:rPr>
          <w:t>for</w:t>
        </w:r>
        <w:r>
          <w:rPr>
            <w:i/>
          </w:rPr>
          <w:t xml:space="preserve"> </w:t>
        </w:r>
        <w:r>
          <w:rPr>
            <w:rFonts w:hint="eastAsia"/>
            <w:i/>
            <w:lang w:eastAsia="zh-CN"/>
          </w:rPr>
          <w:t>each</w:t>
        </w:r>
        <w:r>
          <w:rPr>
            <w:i/>
          </w:rPr>
          <w:t xml:space="preserve"> </w:t>
        </w:r>
        <w:r>
          <w:rPr>
            <w:rFonts w:hint="eastAsia"/>
            <w:i/>
            <w:lang w:eastAsia="zh-CN"/>
          </w:rPr>
          <w:t>n</w:t>
        </w:r>
        <w:r>
          <w:rPr>
            <w:i/>
            <w:lang w:eastAsia="zh-CN"/>
          </w:rPr>
          <w:t>o</w:t>
        </w:r>
        <w:r>
          <w:rPr>
            <w:rFonts w:hint="eastAsia"/>
            <w:i/>
            <w:lang w:eastAsia="zh-CN"/>
          </w:rPr>
          <w:t>n-Anchor</w:t>
        </w:r>
        <w:r>
          <w:t xml:space="preserve"> is equal to one plus the number of RSRP thresholds present in</w:t>
        </w:r>
        <w:r>
          <w:rPr>
            <w:i/>
            <w:lang w:eastAsia="zh-TW"/>
          </w:rPr>
          <w:t xml:space="preserve"> </w:t>
        </w:r>
        <w:r>
          <w:rPr>
            <w:i/>
          </w:rPr>
          <w:t>rsrp-ThresholdsPrachNonAnchorInfoList.</w:t>
        </w:r>
      </w:ins>
    </w:p>
    <w:p w14:paraId="0B6F9BD4" w14:textId="77777777" w:rsidR="00467D74" w:rsidRDefault="0003723C">
      <w:pPr>
        <w:pStyle w:val="B3"/>
      </w:pPr>
      <w:r>
        <w:t>-</w:t>
      </w:r>
      <w:r>
        <w:tab/>
        <w:t xml:space="preserve">each enhanced coverage level has one anchor carrier PRACH resource present in </w:t>
      </w:r>
      <w:r>
        <w:rPr>
          <w:i/>
        </w:rPr>
        <w:t>nprach-ParametersList</w:t>
      </w:r>
      <w:r>
        <w:t xml:space="preserve"> and zero or one PRACH resource for each non-anchor carrier signalled in </w:t>
      </w:r>
      <w:r>
        <w:rPr>
          <w:i/>
        </w:rPr>
        <w:t>ul-ConfigList</w:t>
      </w:r>
      <w:r>
        <w:t>.</w:t>
      </w:r>
    </w:p>
    <w:p w14:paraId="53B9D115" w14:textId="77777777" w:rsidR="00467D74" w:rsidRDefault="0003723C">
      <w:pPr>
        <w:pStyle w:val="B3"/>
      </w:pPr>
      <w:r>
        <w:t>-</w:t>
      </w:r>
      <w:r>
        <w:tab/>
        <w:t xml:space="preserve">for EDT, each enhanced coverage level has zero or one anchor carrier PRACH resource present in </w:t>
      </w:r>
      <w:r>
        <w:rPr>
          <w:i/>
        </w:rPr>
        <w:t>nprach-ParametersList-EDT</w:t>
      </w:r>
      <w:r>
        <w:t xml:space="preserve"> and zero or one PRACH resource for each non-anchor carrier signalled in </w:t>
      </w:r>
      <w:r>
        <w:rPr>
          <w:i/>
        </w:rPr>
        <w:t>ul-ConfigList</w:t>
      </w:r>
      <w:r>
        <w:t>.</w:t>
      </w:r>
    </w:p>
    <w:p w14:paraId="1A96EDE5" w14:textId="77777777" w:rsidR="00467D74" w:rsidRDefault="0003723C">
      <w:pPr>
        <w:pStyle w:val="B3"/>
      </w:pPr>
      <w:r>
        <w:lastRenderedPageBreak/>
        <w:t>-</w:t>
      </w:r>
      <w:r>
        <w:tab/>
        <w:t xml:space="preserve">enhanced coverage levels are numbered from 0 and the mapping of PRACH resources to enhanced coverage levels are done in increasing </w:t>
      </w:r>
      <w:r>
        <w:rPr>
          <w:i/>
        </w:rPr>
        <w:t>numRepetitionsPerPreambleAttempt</w:t>
      </w:r>
      <w:r>
        <w:t xml:space="preserve"> order.</w:t>
      </w:r>
    </w:p>
    <w:p w14:paraId="2B3126CF" w14:textId="77777777" w:rsidR="00467D74" w:rsidRDefault="0003723C">
      <w:pPr>
        <w:pStyle w:val="B3"/>
      </w:pPr>
      <w:r>
        <w:t>-</w:t>
      </w:r>
      <w:r>
        <w:tab/>
        <w:t>when multiple carriers provide PRACH resources for the same enhanced coverage level, the UE will randomly select one of them using the following selection probabilities:</w:t>
      </w:r>
    </w:p>
    <w:p w14:paraId="17AAAB05" w14:textId="77777777" w:rsidR="00467D74" w:rsidRDefault="0003723C">
      <w:pPr>
        <w:pStyle w:val="B4"/>
        <w:rPr>
          <w:i/>
        </w:rPr>
      </w:pPr>
      <w:r>
        <w:t>-</w:t>
      </w:r>
      <w:r>
        <w:tab/>
        <w:t xml:space="preserve">the selection probability of the anchor carrier PRACH resource for the given enhanced coverage level, </w:t>
      </w:r>
      <w:r>
        <w:rPr>
          <w:i/>
        </w:rPr>
        <w:t>nprach-ProbabilityAnchor</w:t>
      </w:r>
      <w:r>
        <w:t xml:space="preserve">, is given by the corresponding entry in </w:t>
      </w:r>
      <w:r>
        <w:rPr>
          <w:i/>
        </w:rPr>
        <w:t>nprach-ProbabilityAnchorList</w:t>
      </w:r>
    </w:p>
    <w:p w14:paraId="096F8DCD" w14:textId="77777777" w:rsidR="00467D74" w:rsidRDefault="0003723C">
      <w:pPr>
        <w:pStyle w:val="B4"/>
      </w:pPr>
      <w:r>
        <w:t>-</w:t>
      </w:r>
      <w:r>
        <w:tab/>
        <w:t>the selection probability is equal for all non-anchor carrier PRACH resources and the probability of selecting one PRACH resource on a given non-anchor carrier is (1-</w:t>
      </w:r>
      <w:r>
        <w:rPr>
          <w:i/>
        </w:rPr>
        <w:t xml:space="preserve"> nprach-ProbabilityAnchor</w:t>
      </w:r>
      <w:r>
        <w:t>)/(number of non-anchor NPRACH resources)</w:t>
      </w:r>
    </w:p>
    <w:p w14:paraId="179FA0AE" w14:textId="77777777" w:rsidR="00467D74" w:rsidRDefault="0003723C">
      <w:pPr>
        <w:pStyle w:val="B1"/>
      </w:pPr>
      <w:r>
        <w:t>-</w:t>
      </w:r>
      <w:r>
        <w:tab/>
        <w:t xml:space="preserve">the criteria to select PRACH resources based on RSRP measurement per enhanced coverage level supported in the Serving Cell </w:t>
      </w:r>
      <w:r>
        <w:rPr>
          <w:i/>
        </w:rPr>
        <w:t>rsrp-ThresholdsPrachInfoList</w:t>
      </w:r>
      <w:r>
        <w:t>.</w:t>
      </w:r>
    </w:p>
    <w:p w14:paraId="61E3F752" w14:textId="12129B6B" w:rsidR="00467D74" w:rsidRDefault="0003723C">
      <w:pPr>
        <w:pStyle w:val="B1"/>
      </w:pPr>
      <w:ins w:id="11" w:author="作者">
        <w:r>
          <w:t>-</w:t>
        </w:r>
        <w:r>
          <w:tab/>
          <w:t xml:space="preserve">the criteria to select PRACH resources for the non-anchor carrier based on RSRP measurement on the non-anchor carrier per enhanced coverage level supported in the Serving Cell </w:t>
        </w:r>
        <w:r>
          <w:rPr>
            <w:i/>
          </w:rPr>
          <w:t>rsrp-ThresholdsPrachNonAnchorInfoList.</w:t>
        </w:r>
        <w:r>
          <w:rPr>
            <w:i/>
            <w:lang w:val="en-US"/>
          </w:rPr>
          <w:t xml:space="preserve"> </w:t>
        </w:r>
        <w:r>
          <w:rPr>
            <w:iCs/>
            <w:lang w:val="en-US"/>
          </w:rPr>
          <w:t xml:space="preserve">The RSRP measurement on the non-anchor carrier </w:t>
        </w:r>
        <w:r>
          <w:rPr>
            <w:rFonts w:eastAsia="等线"/>
            <w:color w:val="000000"/>
            <w:lang w:val="en-US" w:eastAsia="zh-CN"/>
          </w:rPr>
          <w:t xml:space="preserve">can be either deduced by </w:t>
        </w:r>
        <w:r w:rsidRPr="0097109A">
          <w:rPr>
            <w:rFonts w:eastAsia="等线"/>
            <w:i/>
            <w:iCs/>
            <w:color w:val="000000"/>
            <w:lang w:val="en-US" w:eastAsia="zh-CN"/>
            <w:rPrChange w:id="12" w:author="作者">
              <w:rPr>
                <w:rFonts w:eastAsia="等线"/>
                <w:color w:val="000000"/>
                <w:lang w:val="en-US" w:eastAsia="zh-CN"/>
              </w:rPr>
            </w:rPrChange>
          </w:rPr>
          <w:t>nrs-PowerOffsetNonAnchor</w:t>
        </w:r>
        <w:r w:rsidR="00594AF2">
          <w:rPr>
            <w:rFonts w:eastAsia="等线"/>
            <w:i/>
            <w:iCs/>
            <w:color w:val="000000"/>
            <w:lang w:val="en-US" w:eastAsia="zh-CN"/>
          </w:rPr>
          <w:t xml:space="preserve"> </w:t>
        </w:r>
        <w:r w:rsidR="00594AF2">
          <w:rPr>
            <w:rFonts w:eastAsia="等线"/>
            <w:color w:val="000000"/>
            <w:lang w:val="en-US" w:eastAsia="zh-CN"/>
          </w:rPr>
          <w:t>and the measured</w:t>
        </w:r>
        <w:r>
          <w:rPr>
            <w:rFonts w:eastAsia="等线"/>
            <w:color w:val="000000"/>
            <w:lang w:val="en-US" w:eastAsia="zh-CN"/>
          </w:rPr>
          <w:t xml:space="preserve"> RSRP on anchor carrier or </w:t>
        </w:r>
        <w:r w:rsidR="00594AF2">
          <w:rPr>
            <w:rFonts w:eastAsia="等线"/>
            <w:color w:val="000000"/>
            <w:lang w:val="en-US" w:eastAsia="zh-CN"/>
          </w:rPr>
          <w:t xml:space="preserve">by </w:t>
        </w:r>
        <w:r>
          <w:rPr>
            <w:color w:val="000000"/>
            <w:lang w:eastAsia="zh-CN"/>
          </w:rPr>
          <w:t xml:space="preserve">measured </w:t>
        </w:r>
        <w:r w:rsidR="00594AF2">
          <w:rPr>
            <w:color w:val="000000"/>
            <w:lang w:eastAsia="zh-CN"/>
          </w:rPr>
          <w:t>RSRP</w:t>
        </w:r>
        <w:r>
          <w:rPr>
            <w:color w:val="000000"/>
            <w:lang w:val="en-US" w:eastAsia="zh-CN"/>
          </w:rPr>
          <w:t xml:space="preserve"> on </w:t>
        </w:r>
        <w:r>
          <w:rPr>
            <w:color w:val="000000"/>
            <w:lang w:eastAsia="zh-CN"/>
          </w:rPr>
          <w:t>th</w:t>
        </w:r>
        <w:r>
          <w:rPr>
            <w:color w:val="000000"/>
            <w:lang w:val="en-US" w:eastAsia="zh-CN"/>
          </w:rPr>
          <w:t>e</w:t>
        </w:r>
        <w:r>
          <w:rPr>
            <w:color w:val="000000"/>
            <w:lang w:eastAsia="zh-CN"/>
          </w:rPr>
          <w:t xml:space="preserve"> non-anchor carrier</w:t>
        </w:r>
        <w:r>
          <w:rPr>
            <w:color w:val="000000"/>
            <w:lang w:val="en-US" w:eastAsia="zh-CN"/>
          </w:rPr>
          <w:t>.</w:t>
        </w:r>
      </w:ins>
    </w:p>
    <w:p w14:paraId="0193E2E7" w14:textId="77777777" w:rsidR="00467D74" w:rsidRDefault="0003723C">
      <w:pPr>
        <w:pStyle w:val="B1"/>
      </w:pPr>
      <w:r>
        <w:t>-</w:t>
      </w:r>
      <w:r>
        <w:tab/>
        <w:t xml:space="preserve">the maximum number of preamble transmission attempts per enhanced coverage level supported in the Serving Cell </w:t>
      </w:r>
      <w:r>
        <w:rPr>
          <w:i/>
        </w:rPr>
        <w:t>maxNumPreambleAttemptCE</w:t>
      </w:r>
      <w:r>
        <w:t>.</w:t>
      </w:r>
    </w:p>
    <w:p w14:paraId="217470CA" w14:textId="77777777" w:rsidR="00467D74" w:rsidRDefault="0003723C">
      <w:pPr>
        <w:pStyle w:val="B1"/>
      </w:pPr>
      <w:r>
        <w:t>-</w:t>
      </w:r>
      <w:r>
        <w:tab/>
        <w:t xml:space="preserve">the number of repetitions required for preamble transmission per attempt for each enhanced coverage level supported in the Serving Cell </w:t>
      </w:r>
      <w:r>
        <w:rPr>
          <w:i/>
        </w:rPr>
        <w:t>numRepetitionPerPreambleAttempt</w:t>
      </w:r>
      <w:r>
        <w:t>.</w:t>
      </w:r>
    </w:p>
    <w:p w14:paraId="0B17CA0E" w14:textId="77777777" w:rsidR="00467D74" w:rsidRDefault="0003723C">
      <w:pPr>
        <w:pStyle w:val="B1"/>
      </w:pPr>
      <w:r>
        <w:t>-</w:t>
      </w:r>
      <w:r>
        <w:tab/>
        <w:t>the configured UE transmitted power of the Serving Cell performing the Random Access Procedure, P</w:t>
      </w:r>
      <w:r>
        <w:rPr>
          <w:vertAlign w:val="subscript"/>
        </w:rPr>
        <w:t>CMAX, c</w:t>
      </w:r>
      <w:r>
        <w:t>, as specified in TS 36.101 [10].</w:t>
      </w:r>
    </w:p>
    <w:p w14:paraId="2AAF43CE" w14:textId="77777777" w:rsidR="00467D74" w:rsidRDefault="0003723C">
      <w:pPr>
        <w:pStyle w:val="B1"/>
      </w:pPr>
      <w:r>
        <w:t>-</w:t>
      </w:r>
      <w:r>
        <w:tab/>
        <w:t>the RA response window size</w:t>
      </w:r>
      <w:r>
        <w:rPr>
          <w:i/>
        </w:rPr>
        <w:t xml:space="preserve"> ra-ResponseWindowSize </w:t>
      </w:r>
      <w:r>
        <w:t xml:space="preserve">and </w:t>
      </w:r>
      <w:r>
        <w:rPr>
          <w:rFonts w:eastAsia="?? ??"/>
        </w:rPr>
        <w:t>the Contention Resolution Timer</w:t>
      </w:r>
      <w:r>
        <w:rPr>
          <w:rFonts w:eastAsia="?? ??"/>
          <w:i/>
        </w:rPr>
        <w:t xml:space="preserve"> mac-ContentionResolutionTimer</w:t>
      </w:r>
      <w:r>
        <w:t xml:space="preserve"> </w:t>
      </w:r>
      <w:r>
        <w:rPr>
          <w:lang w:eastAsia="zh-CN"/>
        </w:rPr>
        <w:t xml:space="preserve">(SpCell only) </w:t>
      </w:r>
      <w:r>
        <w:t>per enhanced coverage level supported in the Serving Cell.</w:t>
      </w:r>
    </w:p>
    <w:p w14:paraId="20C90753" w14:textId="77777777" w:rsidR="00467D74" w:rsidRDefault="0003723C">
      <w:pPr>
        <w:pStyle w:val="B1"/>
      </w:pPr>
      <w:r>
        <w:t>-</w:t>
      </w:r>
      <w:r>
        <w:tab/>
        <w:t xml:space="preserve">for EDT, the Contention Resolution Timer </w:t>
      </w:r>
      <w:r>
        <w:rPr>
          <w:i/>
        </w:rPr>
        <w:t>mac-ContentionResolutionTimer</w:t>
      </w:r>
      <w:r>
        <w:t xml:space="preserve"> configured for EDT (SpCell only) per enhanced coverage level supported in the Serving Cell.</w:t>
      </w:r>
    </w:p>
    <w:p w14:paraId="5B2AAFF0" w14:textId="77777777" w:rsidR="00467D74" w:rsidRDefault="0003723C">
      <w:pPr>
        <w:pStyle w:val="B1"/>
      </w:pPr>
      <w:r>
        <w:t>-</w:t>
      </w:r>
      <w:r>
        <w:tab/>
        <w:t xml:space="preserve">the power-ramping factor </w:t>
      </w:r>
      <w:r>
        <w:rPr>
          <w:i/>
        </w:rPr>
        <w:t>powerRampingStep</w:t>
      </w:r>
      <w:r>
        <w:t xml:space="preserve"> and optionally </w:t>
      </w:r>
      <w:r>
        <w:rPr>
          <w:i/>
        </w:rPr>
        <w:t>powerRampingStepCE1</w:t>
      </w:r>
      <w:r>
        <w:t>.</w:t>
      </w:r>
    </w:p>
    <w:p w14:paraId="0FAC75E6" w14:textId="77777777" w:rsidR="00467D74" w:rsidRDefault="0003723C">
      <w:pPr>
        <w:pStyle w:val="B1"/>
      </w:pPr>
      <w:r>
        <w:t>-</w:t>
      </w:r>
      <w:r>
        <w:tab/>
        <w:t xml:space="preserve">the maximum number of preamble transmission </w:t>
      </w:r>
      <w:r>
        <w:rPr>
          <w:i/>
        </w:rPr>
        <w:t>preambleTransMax-CE</w:t>
      </w:r>
      <w:r>
        <w:t>.</w:t>
      </w:r>
    </w:p>
    <w:p w14:paraId="6633C355" w14:textId="77777777" w:rsidR="00467D74" w:rsidRDefault="0003723C">
      <w:pPr>
        <w:pStyle w:val="B1"/>
      </w:pPr>
      <w:r>
        <w:t>-</w:t>
      </w:r>
      <w:r>
        <w:tab/>
        <w:t xml:space="preserve">the initial preamble power </w:t>
      </w:r>
      <w:r>
        <w:rPr>
          <w:i/>
        </w:rPr>
        <w:t>preambleInitialReceivedTargetPower</w:t>
      </w:r>
      <w:r>
        <w:t xml:space="preserve"> and optionally </w:t>
      </w:r>
      <w:r>
        <w:rPr>
          <w:i/>
        </w:rPr>
        <w:t>preambleInitialReceivedTargetPowerCE1</w:t>
      </w:r>
      <w:r>
        <w:t>.</w:t>
      </w:r>
    </w:p>
    <w:p w14:paraId="6AD9785B" w14:textId="77777777" w:rsidR="00467D74" w:rsidRDefault="0003723C">
      <w:pPr>
        <w:pStyle w:val="B1"/>
      </w:pPr>
      <w:r>
        <w:t>-</w:t>
      </w:r>
      <w:r>
        <w:tab/>
        <w:t>the preamble format based offset DELTA_PREAMBLE (see clause 7.6).</w:t>
      </w:r>
    </w:p>
    <w:p w14:paraId="33EB2B27" w14:textId="77777777" w:rsidR="00467D74" w:rsidRDefault="0003723C">
      <w:pPr>
        <w:pStyle w:val="B1"/>
        <w:rPr>
          <w:rFonts w:eastAsia="?? ??"/>
        </w:rPr>
      </w:pPr>
      <w:r>
        <w:t>-</w:t>
      </w:r>
      <w:r>
        <w:tab/>
        <w:t xml:space="preserve">for NB-IoT, the use of contention free random access </w:t>
      </w:r>
      <w:r>
        <w:rPr>
          <w:i/>
        </w:rPr>
        <w:t>ra-CFRA-Config</w:t>
      </w:r>
      <w:r>
        <w:t>.</w:t>
      </w:r>
    </w:p>
    <w:p w14:paraId="5FE346D1" w14:textId="77777777" w:rsidR="00467D74" w:rsidRDefault="0003723C">
      <w:pPr>
        <w:rPr>
          <w:rFonts w:eastAsia="?? ??"/>
        </w:rPr>
      </w:pPr>
      <w:r>
        <w:rPr>
          <w:rFonts w:eastAsia="?? ??"/>
        </w:rPr>
        <w:t>The Random Access procedure shall be performed as follows:</w:t>
      </w:r>
    </w:p>
    <w:p w14:paraId="2D209CFD" w14:textId="77777777" w:rsidR="00467D74" w:rsidRDefault="0003723C">
      <w:pPr>
        <w:pStyle w:val="B1"/>
        <w:rPr>
          <w:rFonts w:eastAsia="?? ??"/>
        </w:rPr>
      </w:pPr>
      <w:r>
        <w:rPr>
          <w:rFonts w:eastAsia="?? ??"/>
        </w:rPr>
        <w:t>-</w:t>
      </w:r>
      <w:r>
        <w:rPr>
          <w:rFonts w:eastAsia="?? ??"/>
        </w:rPr>
        <w:tab/>
        <w:t>flush the Msg3 buffer;</w:t>
      </w:r>
    </w:p>
    <w:p w14:paraId="57336050" w14:textId="77777777" w:rsidR="00467D74" w:rsidRDefault="0003723C">
      <w:pPr>
        <w:pStyle w:val="B1"/>
        <w:rPr>
          <w:rFonts w:eastAsia="?? ??"/>
        </w:rPr>
      </w:pPr>
      <w:r>
        <w:rPr>
          <w:rFonts w:eastAsia="?? ??"/>
        </w:rPr>
        <w:t>-</w:t>
      </w:r>
      <w:r>
        <w:rPr>
          <w:rFonts w:eastAsia="?? ??"/>
        </w:rPr>
        <w:tab/>
        <w:t>set the PREAMBLE_TRANSMISSION_COUNTER to 1;</w:t>
      </w:r>
    </w:p>
    <w:p w14:paraId="6902C510" w14:textId="77777777" w:rsidR="00467D74" w:rsidRDefault="0003723C">
      <w:pPr>
        <w:pStyle w:val="B1"/>
      </w:pPr>
      <w:r>
        <w:t>-</w:t>
      </w:r>
      <w:r>
        <w:tab/>
        <w:t>if the UE is an NB-IoT UE, a BL UE or a UE in enhanced coverage:</w:t>
      </w:r>
    </w:p>
    <w:p w14:paraId="2A4ED526" w14:textId="77777777" w:rsidR="00467D74" w:rsidRDefault="0003723C">
      <w:pPr>
        <w:pStyle w:val="B2"/>
        <w:rPr>
          <w:rFonts w:eastAsia="?? ??"/>
        </w:rPr>
      </w:pPr>
      <w:r>
        <w:rPr>
          <w:rFonts w:eastAsia="?? ??"/>
        </w:rPr>
        <w:t>-</w:t>
      </w:r>
      <w:r>
        <w:rPr>
          <w:rFonts w:eastAsia="?? ??"/>
        </w:rPr>
        <w:tab/>
        <w:t>set the PREAMBLE_TRANSMISSION_COUNTER_CE to 1;</w:t>
      </w:r>
    </w:p>
    <w:p w14:paraId="2D53E095" w14:textId="77777777" w:rsidR="00467D74" w:rsidRDefault="0003723C">
      <w:pPr>
        <w:pStyle w:val="B2"/>
        <w:rPr>
          <w:rFonts w:eastAsia="?? ??"/>
        </w:rPr>
      </w:pPr>
      <w:r>
        <w:rPr>
          <w:rFonts w:eastAsia="?? ??"/>
        </w:rPr>
        <w:t>-</w:t>
      </w:r>
      <w:r>
        <w:rPr>
          <w:rFonts w:eastAsia="?? ??"/>
        </w:rPr>
        <w:tab/>
        <w:t xml:space="preserve">if the starting enhanced coverage level, or for NB-IoT the </w:t>
      </w:r>
      <w:r>
        <w:rPr>
          <w:rFonts w:eastAsia="宋体"/>
          <w:lang w:eastAsia="zh-CN"/>
        </w:rPr>
        <w:t>starting</w:t>
      </w:r>
      <w:r>
        <w:rPr>
          <w:rFonts w:eastAsia="?? ??"/>
        </w:rPr>
        <w:t xml:space="preserve"> number of </w:t>
      </w:r>
      <w:r>
        <w:rPr>
          <w:rFonts w:eastAsia="宋体"/>
          <w:lang w:eastAsia="zh-CN"/>
        </w:rPr>
        <w:t>N</w:t>
      </w:r>
      <w:r>
        <w:rPr>
          <w:rFonts w:eastAsia="?? ??"/>
        </w:rPr>
        <w:t>PRACH repetitions, has been indicated in the PDCCH order which initiated the Random Access procedure, or if the starting enhanced coverage level has been provided by upper layers:</w:t>
      </w:r>
    </w:p>
    <w:p w14:paraId="05DB7C70" w14:textId="77777777" w:rsidR="00467D74" w:rsidRDefault="0003723C">
      <w:pPr>
        <w:pStyle w:val="B3"/>
        <w:rPr>
          <w:rFonts w:eastAsia="?? ??"/>
        </w:rPr>
      </w:pPr>
      <w:r>
        <w:rPr>
          <w:rFonts w:eastAsia="?? ??"/>
        </w:rPr>
        <w:t>-</w:t>
      </w:r>
      <w:r>
        <w:rPr>
          <w:rFonts w:eastAsia="?? ??"/>
        </w:rPr>
        <w:tab/>
        <w:t>the MAC entity considers itself to be in that enhanced coverage level regardless of the measured RSRP;</w:t>
      </w:r>
    </w:p>
    <w:p w14:paraId="50419307" w14:textId="77777777" w:rsidR="00467D74" w:rsidRDefault="0003723C">
      <w:pPr>
        <w:pStyle w:val="B2"/>
        <w:rPr>
          <w:rFonts w:eastAsia="?? ??"/>
        </w:rPr>
      </w:pPr>
      <w:r>
        <w:rPr>
          <w:rFonts w:eastAsia="?? ??"/>
        </w:rPr>
        <w:t>-</w:t>
      </w:r>
      <w:r>
        <w:rPr>
          <w:rFonts w:eastAsia="?? ??"/>
        </w:rPr>
        <w:tab/>
        <w:t>else:</w:t>
      </w:r>
    </w:p>
    <w:p w14:paraId="7EB2522D" w14:textId="77777777" w:rsidR="00467D74" w:rsidRDefault="0003723C">
      <w:pPr>
        <w:pStyle w:val="B3"/>
        <w:rPr>
          <w:rFonts w:eastAsia="?? ??"/>
        </w:rPr>
      </w:pPr>
      <w:r>
        <w:rPr>
          <w:rFonts w:eastAsia="?? ??"/>
        </w:rPr>
        <w:lastRenderedPageBreak/>
        <w:t>-</w:t>
      </w:r>
      <w:r>
        <w:rPr>
          <w:rFonts w:eastAsia="?? ??"/>
        </w:rPr>
        <w:tab/>
        <w:t>if the</w:t>
      </w:r>
      <w:r>
        <w:rPr>
          <w:rStyle w:val="TFChar"/>
          <w:rFonts w:eastAsia="?? ??"/>
          <w:b w:val="0"/>
        </w:rPr>
        <w:t xml:space="preserve"> </w:t>
      </w:r>
      <w:r>
        <w:rPr>
          <w:rFonts w:eastAsia="?? ??"/>
        </w:rPr>
        <w:t xml:space="preserve">RSRP threshold of </w:t>
      </w:r>
      <w:r>
        <w:t>enhanced coverage</w:t>
      </w:r>
      <w:r>
        <w:rPr>
          <w:rFonts w:eastAsia="?? ??"/>
        </w:rPr>
        <w:t xml:space="preserve"> level 3 is configured by upper layers in </w:t>
      </w:r>
      <w:r>
        <w:rPr>
          <w:i/>
        </w:rPr>
        <w:t xml:space="preserve">rsrp-ThresholdsPrachInfoList </w:t>
      </w:r>
      <w:r>
        <w:rPr>
          <w:rFonts w:eastAsia="?? ??"/>
        </w:rPr>
        <w:t>and the</w:t>
      </w:r>
      <w:r>
        <w:rPr>
          <w:rStyle w:val="TFChar"/>
          <w:rFonts w:eastAsia="?? ??"/>
        </w:rPr>
        <w:t xml:space="preserve"> </w:t>
      </w:r>
      <w:r>
        <w:rPr>
          <w:rFonts w:eastAsia="?? ??"/>
        </w:rPr>
        <w:t>measured RSRP is</w:t>
      </w:r>
      <w:r>
        <w:rPr>
          <w:rStyle w:val="TFChar"/>
          <w:rFonts w:eastAsia="?? ??"/>
          <w:b w:val="0"/>
        </w:rPr>
        <w:t xml:space="preserve"> </w:t>
      </w:r>
      <w:r>
        <w:rPr>
          <w:rFonts w:eastAsia="?? ??"/>
        </w:rPr>
        <w:t>less than the</w:t>
      </w:r>
      <w:r>
        <w:rPr>
          <w:rStyle w:val="TFChar"/>
          <w:rFonts w:eastAsia="?? ??"/>
        </w:rPr>
        <w:t xml:space="preserve"> </w:t>
      </w:r>
      <w:r>
        <w:rPr>
          <w:rFonts w:eastAsia="?? ??"/>
        </w:rPr>
        <w:t xml:space="preserve">RSRP threshold of </w:t>
      </w:r>
      <w:r>
        <w:t>enhanced coverage</w:t>
      </w:r>
      <w:r>
        <w:rPr>
          <w:rFonts w:eastAsia="?? ??"/>
        </w:rPr>
        <w:t xml:space="preserve"> level 3 and the UE is capable of </w:t>
      </w:r>
      <w:r>
        <w:t>enhanced coverage</w:t>
      </w:r>
      <w:r>
        <w:rPr>
          <w:rFonts w:eastAsia="?? ??"/>
        </w:rPr>
        <w:t xml:space="preserve"> level 3 then:</w:t>
      </w:r>
    </w:p>
    <w:p w14:paraId="1A077200" w14:textId="77777777" w:rsidR="00467D74" w:rsidRDefault="0003723C">
      <w:pPr>
        <w:pStyle w:val="B4"/>
        <w:rPr>
          <w:rFonts w:eastAsia="?? ??"/>
        </w:rPr>
      </w:pPr>
      <w:r>
        <w:rPr>
          <w:rFonts w:eastAsia="?? ??"/>
        </w:rPr>
        <w:t>-</w:t>
      </w:r>
      <w:r>
        <w:rPr>
          <w:rFonts w:eastAsia="?? ??"/>
        </w:rPr>
        <w:tab/>
        <w:t xml:space="preserve">the MAC entity considers to be in </w:t>
      </w:r>
      <w:r>
        <w:t>enhanced coverage</w:t>
      </w:r>
      <w:r>
        <w:rPr>
          <w:rFonts w:eastAsia="?? ??"/>
        </w:rPr>
        <w:t xml:space="preserve"> level 3;</w:t>
      </w:r>
    </w:p>
    <w:p w14:paraId="2AAD21F9" w14:textId="77777777" w:rsidR="00467D74" w:rsidRDefault="0003723C">
      <w:pPr>
        <w:pStyle w:val="B3"/>
        <w:rPr>
          <w:rFonts w:eastAsia="?? ??"/>
        </w:rPr>
      </w:pPr>
      <w:r>
        <w:rPr>
          <w:rFonts w:eastAsia="?? ??"/>
        </w:rPr>
        <w:t>-</w:t>
      </w:r>
      <w:r>
        <w:rPr>
          <w:rFonts w:eastAsia="?? ??"/>
        </w:rPr>
        <w:tab/>
        <w:t xml:space="preserve">else if the RSRP threshold of </w:t>
      </w:r>
      <w:r>
        <w:t>enhanced coverage</w:t>
      </w:r>
      <w:r>
        <w:rPr>
          <w:rFonts w:eastAsia="?? ??"/>
        </w:rPr>
        <w:t xml:space="preserve"> level 2 configured by upper layers in </w:t>
      </w:r>
      <w:r>
        <w:rPr>
          <w:i/>
        </w:rPr>
        <w:t xml:space="preserve">rsrp-ThresholdsPrachInfoList </w:t>
      </w:r>
      <w:r>
        <w:rPr>
          <w:rFonts w:eastAsia="?? ??"/>
        </w:rPr>
        <w:t xml:space="preserve">and the measured RSRP is less than the RSRP threshold of </w:t>
      </w:r>
      <w:r>
        <w:t>enhanced coverage</w:t>
      </w:r>
      <w:r>
        <w:rPr>
          <w:rFonts w:eastAsia="?? ??"/>
        </w:rPr>
        <w:t xml:space="preserve"> level 2 and the UE is capable of </w:t>
      </w:r>
      <w:r>
        <w:t>enhanced coverage</w:t>
      </w:r>
      <w:r>
        <w:rPr>
          <w:rFonts w:eastAsia="?? ??"/>
        </w:rPr>
        <w:t xml:space="preserve"> level 2 then:</w:t>
      </w:r>
    </w:p>
    <w:p w14:paraId="4EFD1B3B" w14:textId="77777777" w:rsidR="00467D74" w:rsidRDefault="0003723C">
      <w:pPr>
        <w:pStyle w:val="B4"/>
        <w:rPr>
          <w:rFonts w:eastAsia="?? ??"/>
        </w:rPr>
      </w:pPr>
      <w:r>
        <w:rPr>
          <w:rFonts w:eastAsia="?? ??"/>
        </w:rPr>
        <w:t>-</w:t>
      </w:r>
      <w:r>
        <w:rPr>
          <w:rFonts w:eastAsia="?? ??"/>
        </w:rPr>
        <w:tab/>
        <w:t xml:space="preserve">the MAC entity considers to be in </w:t>
      </w:r>
      <w:r>
        <w:t>enhanced coverage</w:t>
      </w:r>
      <w:r>
        <w:rPr>
          <w:rFonts w:eastAsia="?? ??"/>
        </w:rPr>
        <w:t xml:space="preserve"> level 2;</w:t>
      </w:r>
    </w:p>
    <w:p w14:paraId="5F0A951A" w14:textId="77777777" w:rsidR="00467D74" w:rsidRDefault="0003723C">
      <w:pPr>
        <w:pStyle w:val="B3"/>
        <w:rPr>
          <w:rFonts w:eastAsia="?? ??"/>
        </w:rPr>
      </w:pPr>
      <w:r>
        <w:rPr>
          <w:rFonts w:eastAsia="?? ??"/>
        </w:rPr>
        <w:t>-</w:t>
      </w:r>
      <w:r>
        <w:rPr>
          <w:rFonts w:eastAsia="?? ??"/>
        </w:rPr>
        <w:tab/>
        <w:t>else if</w:t>
      </w:r>
      <w:r>
        <w:rPr>
          <w:rStyle w:val="TFChar"/>
          <w:rFonts w:eastAsia="?? ??"/>
          <w:b w:val="0"/>
        </w:rPr>
        <w:t xml:space="preserve"> </w:t>
      </w:r>
      <w:r>
        <w:rPr>
          <w:rFonts w:eastAsia="?? ??"/>
        </w:rPr>
        <w:t>the measured RSRP is</w:t>
      </w:r>
      <w:r>
        <w:rPr>
          <w:rStyle w:val="TFChar"/>
          <w:rFonts w:eastAsia="?? ??"/>
        </w:rPr>
        <w:t xml:space="preserve"> </w:t>
      </w:r>
      <w:r>
        <w:rPr>
          <w:rFonts w:eastAsia="?? ??"/>
        </w:rPr>
        <w:t>less than the</w:t>
      </w:r>
      <w:r>
        <w:rPr>
          <w:rStyle w:val="TFChar"/>
          <w:rFonts w:eastAsia="?? ??"/>
        </w:rPr>
        <w:t xml:space="preserve"> </w:t>
      </w:r>
      <w:r>
        <w:rPr>
          <w:rFonts w:eastAsia="?? ??"/>
        </w:rPr>
        <w:t xml:space="preserve">RSRP threshold of </w:t>
      </w:r>
      <w:r>
        <w:t>enhanced coverage</w:t>
      </w:r>
      <w:r>
        <w:rPr>
          <w:rFonts w:eastAsia="?? ??"/>
        </w:rPr>
        <w:t xml:space="preserve"> level 1 as configured by upper layers</w:t>
      </w:r>
      <w:r>
        <w:rPr>
          <w:rStyle w:val="TFChar"/>
          <w:rFonts w:eastAsia="?? ??"/>
        </w:rPr>
        <w:t xml:space="preserve"> </w:t>
      </w:r>
      <w:r>
        <w:rPr>
          <w:rFonts w:eastAsia="?? ??"/>
        </w:rPr>
        <w:t xml:space="preserve">in </w:t>
      </w:r>
      <w:r>
        <w:rPr>
          <w:i/>
        </w:rPr>
        <w:t>rsrp-ThresholdsPrachInfoList</w:t>
      </w:r>
      <w:r>
        <w:rPr>
          <w:rFonts w:eastAsia="?? ??"/>
        </w:rPr>
        <w:t xml:space="preserve"> then:</w:t>
      </w:r>
    </w:p>
    <w:p w14:paraId="3406EB26" w14:textId="77777777" w:rsidR="00467D74" w:rsidRDefault="0003723C">
      <w:pPr>
        <w:pStyle w:val="B4"/>
        <w:rPr>
          <w:rFonts w:eastAsia="?? ??"/>
        </w:rPr>
      </w:pPr>
      <w:r>
        <w:rPr>
          <w:rFonts w:eastAsia="?? ??"/>
        </w:rPr>
        <w:t>-</w:t>
      </w:r>
      <w:r>
        <w:rPr>
          <w:rFonts w:eastAsia="?? ??"/>
        </w:rPr>
        <w:tab/>
        <w:t xml:space="preserve">the MAC entity considers to be in </w:t>
      </w:r>
      <w:r>
        <w:t>enhanced coverage</w:t>
      </w:r>
      <w:r>
        <w:rPr>
          <w:rFonts w:eastAsia="?? ??"/>
        </w:rPr>
        <w:t xml:space="preserve"> level 1;</w:t>
      </w:r>
    </w:p>
    <w:p w14:paraId="0877EF71" w14:textId="77777777" w:rsidR="00467D74" w:rsidRDefault="0003723C">
      <w:pPr>
        <w:pStyle w:val="B3"/>
        <w:rPr>
          <w:rFonts w:eastAsia="?? ??"/>
        </w:rPr>
      </w:pPr>
      <w:r>
        <w:rPr>
          <w:rFonts w:eastAsia="?? ??"/>
        </w:rPr>
        <w:t>-</w:t>
      </w:r>
      <w:r>
        <w:rPr>
          <w:rFonts w:eastAsia="?? ??"/>
        </w:rPr>
        <w:tab/>
        <w:t>else:</w:t>
      </w:r>
    </w:p>
    <w:p w14:paraId="7C298555" w14:textId="77777777" w:rsidR="00467D74" w:rsidRDefault="0003723C">
      <w:pPr>
        <w:pStyle w:val="B4"/>
        <w:rPr>
          <w:rFonts w:eastAsia="?? ??"/>
        </w:rPr>
      </w:pPr>
      <w:r>
        <w:rPr>
          <w:rFonts w:eastAsia="?? ??"/>
        </w:rPr>
        <w:t>-</w:t>
      </w:r>
      <w:r>
        <w:rPr>
          <w:rFonts w:eastAsia="?? ??"/>
        </w:rPr>
        <w:tab/>
        <w:t xml:space="preserve">the MAC entity considers to be in </w:t>
      </w:r>
      <w:r>
        <w:t>enhanced coverage</w:t>
      </w:r>
      <w:r>
        <w:rPr>
          <w:rFonts w:eastAsia="?? ??"/>
        </w:rPr>
        <w:t xml:space="preserve"> level 0;</w:t>
      </w:r>
    </w:p>
    <w:p w14:paraId="5FED126D" w14:textId="77777777" w:rsidR="00467D74" w:rsidRDefault="0003723C">
      <w:pPr>
        <w:ind w:left="851" w:hanging="284"/>
        <w:rPr>
          <w:ins w:id="13" w:author="作者"/>
          <w:rFonts w:eastAsia="?? ??"/>
        </w:rPr>
      </w:pPr>
      <w:ins w:id="14" w:author="作者">
        <w:r>
          <w:rPr>
            <w:rFonts w:eastAsia="?? ??"/>
          </w:rPr>
          <w:t>-</w:t>
        </w:r>
        <w:r>
          <w:rPr>
            <w:rFonts w:eastAsia="?? ??"/>
          </w:rPr>
          <w:tab/>
          <w:t xml:space="preserve">if </w:t>
        </w:r>
        <w:r>
          <w:rPr>
            <w:rFonts w:eastAsia="?? ??"/>
            <w:i/>
            <w:iCs/>
          </w:rPr>
          <w:t>rsrp-ThresholdsPrachNonAnchorInfoList</w:t>
        </w:r>
        <w:r>
          <w:rPr>
            <w:rFonts w:eastAsia="?? ??"/>
          </w:rPr>
          <w:t xml:space="preserve"> is configured:</w:t>
        </w:r>
      </w:ins>
    </w:p>
    <w:p w14:paraId="24E8C5E0" w14:textId="77777777" w:rsidR="00467D74" w:rsidRDefault="0003723C">
      <w:pPr>
        <w:ind w:left="1135" w:hanging="284"/>
        <w:rPr>
          <w:ins w:id="15" w:author="作者"/>
          <w:rFonts w:eastAsia="?? ??"/>
        </w:rPr>
      </w:pPr>
      <w:ins w:id="16" w:author="作者">
        <w:r>
          <w:rPr>
            <w:rFonts w:eastAsia="?? ??"/>
          </w:rPr>
          <w:t>-</w:t>
        </w:r>
        <w:r>
          <w:rPr>
            <w:rFonts w:eastAsia="?? ??"/>
          </w:rPr>
          <w:tab/>
          <w:t>if the</w:t>
        </w:r>
        <w:r>
          <w:rPr>
            <w:rFonts w:ascii="Arial" w:eastAsia="?? ??" w:hAnsi="Arial"/>
            <w:b/>
          </w:rPr>
          <w:t xml:space="preserve"> </w:t>
        </w:r>
        <w:r>
          <w:rPr>
            <w:rFonts w:eastAsia="?? ??"/>
          </w:rPr>
          <w:t xml:space="preserve">RSRP threshold of </w:t>
        </w:r>
        <w:r>
          <w:t>enhanced coverage</w:t>
        </w:r>
        <w:r>
          <w:rPr>
            <w:rFonts w:eastAsia="?? ??"/>
          </w:rPr>
          <w:t xml:space="preserve"> level 3 is configured by upper layers in</w:t>
        </w:r>
        <w:r>
          <w:rPr>
            <w:i/>
          </w:rPr>
          <w:t xml:space="preserve"> rsrp-ThresholdsPrachNonAnchorInfoList</w:t>
        </w:r>
        <w:r>
          <w:t xml:space="preserve"> for the non-anchor carriers</w:t>
        </w:r>
        <w:r>
          <w:rPr>
            <w:i/>
          </w:rPr>
          <w:t xml:space="preserve">, </w:t>
        </w:r>
        <w:r>
          <w:rPr>
            <w:rFonts w:eastAsia="?? ??"/>
          </w:rPr>
          <w:t>and the</w:t>
        </w:r>
        <w:r>
          <w:rPr>
            <w:rFonts w:ascii="Arial" w:eastAsia="?? ??" w:hAnsi="Arial"/>
            <w:b/>
          </w:rPr>
          <w:t xml:space="preserve"> </w:t>
        </w:r>
        <w:r>
          <w:rPr>
            <w:rFonts w:eastAsia="?? ??"/>
          </w:rPr>
          <w:t>measured RSRP for the non-anchor carrier is</w:t>
        </w:r>
        <w:r>
          <w:rPr>
            <w:rFonts w:ascii="Arial" w:eastAsia="?? ??" w:hAnsi="Arial"/>
            <w:b/>
          </w:rPr>
          <w:t xml:space="preserve"> </w:t>
        </w:r>
        <w:r>
          <w:rPr>
            <w:rFonts w:eastAsia="?? ??"/>
          </w:rPr>
          <w:t>less than the</w:t>
        </w:r>
        <w:r>
          <w:rPr>
            <w:rFonts w:ascii="Arial" w:eastAsia="?? ??" w:hAnsi="Arial"/>
            <w:b/>
          </w:rPr>
          <w:t xml:space="preserve"> </w:t>
        </w:r>
        <w:r>
          <w:rPr>
            <w:rFonts w:eastAsia="?? ??"/>
          </w:rPr>
          <w:t xml:space="preserve">RSRP threshold of </w:t>
        </w:r>
        <w:r>
          <w:t>enhanced coverage</w:t>
        </w:r>
        <w:r>
          <w:rPr>
            <w:rFonts w:eastAsia="?? ??"/>
          </w:rPr>
          <w:t xml:space="preserve"> level 3 and the UE is capable of </w:t>
        </w:r>
        <w:r>
          <w:t>enhanced coverage</w:t>
        </w:r>
        <w:r>
          <w:rPr>
            <w:rFonts w:eastAsia="?? ??"/>
          </w:rPr>
          <w:t xml:space="preserve"> level 3 then:</w:t>
        </w:r>
      </w:ins>
    </w:p>
    <w:p w14:paraId="10FBF9E5" w14:textId="77777777" w:rsidR="00467D74" w:rsidRDefault="0003723C">
      <w:pPr>
        <w:ind w:left="1418" w:hanging="284"/>
        <w:rPr>
          <w:ins w:id="17" w:author="作者"/>
          <w:rFonts w:eastAsia="?? ??"/>
        </w:rPr>
      </w:pPr>
      <w:ins w:id="18" w:author="作者">
        <w:r>
          <w:rPr>
            <w:rFonts w:eastAsia="?? ??"/>
          </w:rPr>
          <w:t>-</w:t>
        </w:r>
        <w:r>
          <w:rPr>
            <w:rFonts w:eastAsia="?? ??"/>
          </w:rPr>
          <w:tab/>
          <w:t xml:space="preserve">the MAC entity considers to be in </w:t>
        </w:r>
        <w:r>
          <w:t>enhanced coverage</w:t>
        </w:r>
        <w:r>
          <w:rPr>
            <w:rFonts w:eastAsia="?? ??"/>
          </w:rPr>
          <w:t xml:space="preserve"> level 3 for non-anchor carrier;</w:t>
        </w:r>
      </w:ins>
    </w:p>
    <w:p w14:paraId="2DAE7FAA" w14:textId="77777777" w:rsidR="00467D74" w:rsidRDefault="0003723C">
      <w:pPr>
        <w:ind w:left="1135" w:hanging="284"/>
        <w:rPr>
          <w:ins w:id="19" w:author="作者"/>
          <w:rFonts w:eastAsia="?? ??"/>
        </w:rPr>
      </w:pPr>
      <w:ins w:id="20" w:author="作者">
        <w:r>
          <w:rPr>
            <w:rFonts w:eastAsia="?? ??"/>
          </w:rPr>
          <w:t>-</w:t>
        </w:r>
        <w:r>
          <w:rPr>
            <w:rFonts w:eastAsia="?? ??"/>
          </w:rPr>
          <w:tab/>
          <w:t xml:space="preserve">else if the RSRP threshold of </w:t>
        </w:r>
        <w:r>
          <w:t>enhanced coverage</w:t>
        </w:r>
        <w:r>
          <w:rPr>
            <w:rFonts w:eastAsia="?? ??"/>
          </w:rPr>
          <w:t xml:space="preserve"> level 2 configured by upper layers in</w:t>
        </w:r>
        <w:r>
          <w:rPr>
            <w:i/>
          </w:rPr>
          <w:t xml:space="preserve"> rsrp-ThresholdsPrachNonAnchorInfoList </w:t>
        </w:r>
        <w:r>
          <w:t>for the non-anchor carrier,</w:t>
        </w:r>
        <w:r>
          <w:rPr>
            <w:i/>
          </w:rPr>
          <w:t xml:space="preserve"> </w:t>
        </w:r>
        <w:r>
          <w:rPr>
            <w:rFonts w:eastAsia="?? ??"/>
          </w:rPr>
          <w:t xml:space="preserve">and the measured RSRP for the non-anchor carrier is less than the RSRP threshold of </w:t>
        </w:r>
        <w:r>
          <w:t>enhanced coverage</w:t>
        </w:r>
        <w:r>
          <w:rPr>
            <w:rFonts w:eastAsia="?? ??"/>
          </w:rPr>
          <w:t xml:space="preserve"> level 2 and the UE is capable of </w:t>
        </w:r>
        <w:r>
          <w:t>enhanced coverage</w:t>
        </w:r>
        <w:r>
          <w:rPr>
            <w:rFonts w:eastAsia="?? ??"/>
          </w:rPr>
          <w:t xml:space="preserve"> level 2 then:</w:t>
        </w:r>
      </w:ins>
    </w:p>
    <w:p w14:paraId="1A645C73" w14:textId="77777777" w:rsidR="00467D74" w:rsidRDefault="0003723C">
      <w:pPr>
        <w:ind w:left="1418" w:hanging="284"/>
        <w:rPr>
          <w:ins w:id="21" w:author="作者"/>
          <w:rFonts w:eastAsia="?? ??"/>
        </w:rPr>
      </w:pPr>
      <w:ins w:id="22" w:author="作者">
        <w:r>
          <w:rPr>
            <w:rFonts w:eastAsia="?? ??"/>
          </w:rPr>
          <w:t>-</w:t>
        </w:r>
        <w:r>
          <w:rPr>
            <w:rFonts w:eastAsia="?? ??"/>
          </w:rPr>
          <w:tab/>
          <w:t xml:space="preserve">the MAC entity considers to be in </w:t>
        </w:r>
        <w:r>
          <w:t>enhanced coverage</w:t>
        </w:r>
        <w:r>
          <w:rPr>
            <w:rFonts w:eastAsia="?? ??"/>
          </w:rPr>
          <w:t xml:space="preserve"> level 2 for non-anchor carrier;</w:t>
        </w:r>
      </w:ins>
    </w:p>
    <w:p w14:paraId="173B6A64" w14:textId="77777777" w:rsidR="00467D74" w:rsidRDefault="0003723C">
      <w:pPr>
        <w:ind w:left="1135" w:hanging="284"/>
        <w:rPr>
          <w:ins w:id="23" w:author="作者"/>
          <w:rFonts w:eastAsia="?? ??"/>
        </w:rPr>
      </w:pPr>
      <w:ins w:id="24" w:author="作者">
        <w:r>
          <w:rPr>
            <w:rFonts w:eastAsia="?? ??"/>
          </w:rPr>
          <w:t>-</w:t>
        </w:r>
        <w:r>
          <w:rPr>
            <w:rFonts w:eastAsia="?? ??"/>
          </w:rPr>
          <w:tab/>
          <w:t>else if</w:t>
        </w:r>
        <w:r>
          <w:rPr>
            <w:rFonts w:ascii="Arial" w:eastAsia="?? ??" w:hAnsi="Arial"/>
            <w:b/>
          </w:rPr>
          <w:t xml:space="preserve"> </w:t>
        </w:r>
        <w:r>
          <w:rPr>
            <w:rFonts w:eastAsia="?? ??"/>
          </w:rPr>
          <w:t>the measured RSRP is</w:t>
        </w:r>
        <w:r>
          <w:rPr>
            <w:rFonts w:ascii="Arial" w:eastAsia="?? ??" w:hAnsi="Arial"/>
            <w:b/>
          </w:rPr>
          <w:t xml:space="preserve"> </w:t>
        </w:r>
        <w:r>
          <w:rPr>
            <w:rFonts w:eastAsia="?? ??"/>
          </w:rPr>
          <w:t>less than the</w:t>
        </w:r>
        <w:r>
          <w:rPr>
            <w:rFonts w:ascii="Arial" w:eastAsia="?? ??" w:hAnsi="Arial"/>
            <w:b/>
          </w:rPr>
          <w:t xml:space="preserve"> </w:t>
        </w:r>
        <w:r>
          <w:rPr>
            <w:rFonts w:eastAsia="?? ??"/>
          </w:rPr>
          <w:t xml:space="preserve">RSRP threshold of </w:t>
        </w:r>
        <w:r>
          <w:t>enhanced coverage</w:t>
        </w:r>
        <w:r>
          <w:rPr>
            <w:rFonts w:eastAsia="?? ??"/>
          </w:rPr>
          <w:t xml:space="preserve"> level 1 as configured by upper layers</w:t>
        </w:r>
        <w:r>
          <w:rPr>
            <w:rFonts w:ascii="Arial" w:eastAsia="?? ??" w:hAnsi="Arial"/>
            <w:b/>
          </w:rPr>
          <w:t xml:space="preserve"> </w:t>
        </w:r>
        <w:r>
          <w:rPr>
            <w:rFonts w:eastAsia="?? ??"/>
          </w:rPr>
          <w:t>in</w:t>
        </w:r>
        <w:r>
          <w:rPr>
            <w:i/>
          </w:rPr>
          <w:t xml:space="preserve"> rsrp-ThresholdsPrachNonAnchorInfoList </w:t>
        </w:r>
        <w:r>
          <w:t xml:space="preserve">for the non-anchor carrier, </w:t>
        </w:r>
        <w:r>
          <w:rPr>
            <w:rFonts w:eastAsia="?? ??"/>
          </w:rPr>
          <w:t>then:</w:t>
        </w:r>
      </w:ins>
    </w:p>
    <w:p w14:paraId="5D6D4429" w14:textId="77777777" w:rsidR="00467D74" w:rsidRDefault="0003723C">
      <w:pPr>
        <w:ind w:left="1418" w:hanging="284"/>
        <w:rPr>
          <w:ins w:id="25" w:author="作者"/>
          <w:rFonts w:eastAsia="?? ??"/>
        </w:rPr>
      </w:pPr>
      <w:ins w:id="26" w:author="作者">
        <w:r>
          <w:rPr>
            <w:rFonts w:eastAsia="?? ??"/>
          </w:rPr>
          <w:t>-</w:t>
        </w:r>
        <w:r>
          <w:rPr>
            <w:rFonts w:eastAsia="?? ??"/>
          </w:rPr>
          <w:tab/>
          <w:t xml:space="preserve">the MAC entity considers to be in </w:t>
        </w:r>
        <w:r>
          <w:t>enhanced coverage</w:t>
        </w:r>
        <w:r>
          <w:rPr>
            <w:rFonts w:eastAsia="?? ??"/>
          </w:rPr>
          <w:t xml:space="preserve"> level 1 for non-anchor carrier;</w:t>
        </w:r>
      </w:ins>
    </w:p>
    <w:p w14:paraId="43DCBDD3" w14:textId="77777777" w:rsidR="00467D74" w:rsidRDefault="0003723C">
      <w:pPr>
        <w:ind w:left="1135" w:hanging="284"/>
        <w:rPr>
          <w:ins w:id="27" w:author="作者"/>
          <w:rFonts w:eastAsia="?? ??"/>
        </w:rPr>
      </w:pPr>
      <w:ins w:id="28" w:author="作者">
        <w:r>
          <w:rPr>
            <w:rFonts w:eastAsia="?? ??"/>
          </w:rPr>
          <w:t>-</w:t>
        </w:r>
        <w:r>
          <w:rPr>
            <w:rFonts w:eastAsia="?? ??"/>
          </w:rPr>
          <w:tab/>
          <w:t>else:</w:t>
        </w:r>
      </w:ins>
    </w:p>
    <w:p w14:paraId="066B14D5" w14:textId="77777777" w:rsidR="00467D74" w:rsidRDefault="0003723C">
      <w:pPr>
        <w:ind w:left="1418" w:hanging="284"/>
        <w:rPr>
          <w:rFonts w:eastAsia="?? ??"/>
        </w:rPr>
      </w:pPr>
      <w:ins w:id="29" w:author="作者">
        <w:r>
          <w:rPr>
            <w:rFonts w:eastAsia="?? ??"/>
          </w:rPr>
          <w:t>-</w:t>
        </w:r>
        <w:r>
          <w:rPr>
            <w:rFonts w:eastAsia="?? ??"/>
          </w:rPr>
          <w:tab/>
          <w:t xml:space="preserve">the MAC entity considers to be in </w:t>
        </w:r>
        <w:r>
          <w:t>enhanced coverage</w:t>
        </w:r>
        <w:r>
          <w:rPr>
            <w:rFonts w:eastAsia="?? ??"/>
          </w:rPr>
          <w:t xml:space="preserve"> level 0 for non-anchor carrier;</w:t>
        </w:r>
      </w:ins>
    </w:p>
    <w:p w14:paraId="550AE64D" w14:textId="77777777" w:rsidR="00467D74" w:rsidRDefault="0003723C">
      <w:pPr>
        <w:pStyle w:val="B1"/>
      </w:pPr>
      <w:r>
        <w:t>-</w:t>
      </w:r>
      <w:r>
        <w:tab/>
        <w:t>set the backoff parameter value to 0 ms;</w:t>
      </w:r>
    </w:p>
    <w:p w14:paraId="1E31F749" w14:textId="77777777" w:rsidR="00467D74" w:rsidRDefault="0003723C">
      <w:pPr>
        <w:pStyle w:val="B1"/>
      </w:pPr>
      <w:r>
        <w:t>-</w:t>
      </w:r>
      <w:r>
        <w:tab/>
        <w:t>for the RN, suspend any RN subframe configuration;</w:t>
      </w:r>
    </w:p>
    <w:p w14:paraId="7DE860CA" w14:textId="77777777" w:rsidR="00467D74" w:rsidRDefault="0003723C">
      <w:pPr>
        <w:pStyle w:val="B1"/>
      </w:pPr>
      <w:r>
        <w:t>-</w:t>
      </w:r>
      <w:r>
        <w:tab/>
        <w:t>proceed to the selection of the Random Access Resource (see clause 5.1.2).</w:t>
      </w:r>
    </w:p>
    <w:p w14:paraId="56D62B34" w14:textId="77777777" w:rsidR="00467D74" w:rsidRDefault="0003723C">
      <w:pPr>
        <w:pStyle w:val="NO"/>
      </w:pPr>
      <w:r>
        <w:t>NOTE 3:</w:t>
      </w:r>
      <w:r>
        <w:tab/>
        <w:t>There is only one Random Access procedure ongoing at any point in time in a MAC entity. If the MAC entity receives a request for a new Random Access procedure while another is already ongoing in the MAC entity, it is up to UE implementation whether to continue with the ongoing procedure or start with the new procedure.</w:t>
      </w:r>
    </w:p>
    <w:p w14:paraId="7144539D" w14:textId="77777777" w:rsidR="00467D74" w:rsidRDefault="0003723C">
      <w:pPr>
        <w:pStyle w:val="NO"/>
      </w:pPr>
      <w:r>
        <w:t>NOTE 4:</w:t>
      </w:r>
      <w:r>
        <w:tab/>
        <w:t>An NB-IoT UE measures RSRP on the anchor carrier</w:t>
      </w:r>
      <w:r>
        <w:rPr>
          <w:lang w:val="en-US"/>
        </w:rPr>
        <w:t xml:space="preserve"> </w:t>
      </w:r>
      <w:ins w:id="30" w:author="作者">
        <w:r>
          <w:t>and the non-anchor carriers</w:t>
        </w:r>
      </w:ins>
      <w:r>
        <w:t>.</w:t>
      </w:r>
    </w:p>
    <w:p w14:paraId="65489330" w14:textId="77777777" w:rsidR="00467D74" w:rsidRDefault="0003723C">
      <w:pPr>
        <w:pStyle w:val="3"/>
      </w:pPr>
      <w:bookmarkStart w:id="31" w:name="_Toc83651766"/>
      <w:r>
        <w:t>5.1.2</w:t>
      </w:r>
      <w:r>
        <w:tab/>
        <w:t>Random Access Resource selection</w:t>
      </w:r>
      <w:bookmarkEnd w:id="31"/>
    </w:p>
    <w:p w14:paraId="2C437AAC" w14:textId="77777777" w:rsidR="00467D74" w:rsidRDefault="0003723C">
      <w:r>
        <w:t xml:space="preserve">The Random Access Resource </w:t>
      </w:r>
      <w:r>
        <w:rPr>
          <w:lang w:eastAsia="zh-CN"/>
        </w:rPr>
        <w:t xml:space="preserve">selection </w:t>
      </w:r>
      <w:r>
        <w:t>procedure shall be performed as follows:</w:t>
      </w:r>
    </w:p>
    <w:p w14:paraId="33C5D0FB" w14:textId="77777777" w:rsidR="00467D74" w:rsidRDefault="0003723C">
      <w:pPr>
        <w:pStyle w:val="B1"/>
      </w:pPr>
      <w:r>
        <w:t>-</w:t>
      </w:r>
      <w:r>
        <w:tab/>
        <w:t>for BL UEs or UEs in enhanced coverage or NB-IoT UEs, if EDT is initiated by the upper layers:</w:t>
      </w:r>
    </w:p>
    <w:p w14:paraId="46EF0560" w14:textId="77777777" w:rsidR="00467D74" w:rsidRDefault="0003723C">
      <w:pPr>
        <w:pStyle w:val="B2"/>
      </w:pPr>
      <w:r>
        <w:t>-</w:t>
      </w:r>
      <w:r>
        <w:tab/>
        <w:t xml:space="preserve">if the message size (UL data available for transmission plus MAC header and, where required, MAC control elements) is larger than the TB size signalled in </w:t>
      </w:r>
      <w:r>
        <w:rPr>
          <w:i/>
        </w:rPr>
        <w:t>edt-TBS</w:t>
      </w:r>
      <w:r>
        <w:t xml:space="preserve"> for the selected enhanced coverage level for EDT; or</w:t>
      </w:r>
    </w:p>
    <w:p w14:paraId="5AAE05B2" w14:textId="77777777" w:rsidR="00467D74" w:rsidRDefault="0003723C">
      <w:pPr>
        <w:pStyle w:val="B2"/>
      </w:pPr>
      <w:r>
        <w:lastRenderedPageBreak/>
        <w:t>-</w:t>
      </w:r>
      <w:r>
        <w:tab/>
        <w:t>if the PRACH resource associated with EDT for the selected enhanced coverage level is not available:</w:t>
      </w:r>
    </w:p>
    <w:p w14:paraId="611D64FD" w14:textId="77777777" w:rsidR="00467D74" w:rsidRDefault="0003723C">
      <w:pPr>
        <w:pStyle w:val="B3"/>
      </w:pPr>
      <w:r>
        <w:t>-</w:t>
      </w:r>
      <w:r>
        <w:tab/>
        <w:t>indicate to upper layers that EDT is cancelled;</w:t>
      </w:r>
    </w:p>
    <w:p w14:paraId="3FB82A42" w14:textId="77777777" w:rsidR="00467D74" w:rsidRDefault="0003723C">
      <w:pPr>
        <w:pStyle w:val="B1"/>
      </w:pPr>
      <w:r>
        <w:t>-</w:t>
      </w:r>
      <w:r>
        <w:tab/>
        <w:t>for BL UEs or UEs in enhanced coverage, select the PRACH resource set corresponding to the selected enhanced coverage level. For EDT, the PRACH resource set shall correspond to the set associated with EDT for the selected enhanced coverage level.</w:t>
      </w:r>
    </w:p>
    <w:p w14:paraId="1739F27B" w14:textId="77777777" w:rsidR="00467D74" w:rsidRDefault="0003723C">
      <w:pPr>
        <w:pStyle w:val="B1"/>
      </w:pPr>
      <w:r>
        <w:t>-</w:t>
      </w:r>
      <w:r>
        <w:tab/>
        <w:t xml:space="preserve">if, except for NB-IoT, </w:t>
      </w:r>
      <w:r>
        <w:rPr>
          <w:i/>
        </w:rPr>
        <w:t>ra-PreambleIndex</w:t>
      </w:r>
      <w:r>
        <w:t xml:space="preserve"> (Random Access Preamble) and </w:t>
      </w:r>
      <w:r>
        <w:rPr>
          <w:i/>
        </w:rPr>
        <w:t>ra-PRACH-MaskIndex</w:t>
      </w:r>
      <w:r>
        <w:t xml:space="preserve"> (PRACH Mask Index) have been explicitly signalled and </w:t>
      </w:r>
      <w:r>
        <w:rPr>
          <w:i/>
        </w:rPr>
        <w:t>ra-PreambleIndex</w:t>
      </w:r>
      <w:r>
        <w:t xml:space="preserve"> is not 000000:</w:t>
      </w:r>
    </w:p>
    <w:p w14:paraId="25181D9F" w14:textId="77777777" w:rsidR="00467D74" w:rsidRDefault="0003723C">
      <w:pPr>
        <w:pStyle w:val="B2"/>
      </w:pPr>
      <w:r>
        <w:t>-</w:t>
      </w:r>
      <w:r>
        <w:tab/>
        <w:t>the Random Access Preamble and the PRACH Mask Index are those explicitly signalled;</w:t>
      </w:r>
    </w:p>
    <w:p w14:paraId="2935146F" w14:textId="77777777" w:rsidR="00467D74" w:rsidRDefault="0003723C">
      <w:pPr>
        <w:pStyle w:val="B1"/>
      </w:pPr>
      <w:r>
        <w:t>-</w:t>
      </w:r>
      <w:r>
        <w:tab/>
        <w:t xml:space="preserve">else if, for NB-IoT, </w:t>
      </w:r>
      <w:r>
        <w:rPr>
          <w:i/>
        </w:rPr>
        <w:t>ra-PreambleIndex</w:t>
      </w:r>
      <w:r>
        <w:t xml:space="preserve"> (Random Access Preamble) </w:t>
      </w:r>
      <w:r>
        <w:rPr>
          <w:lang w:eastAsia="zh-CN"/>
        </w:rPr>
        <w:t xml:space="preserve">and PRACH resource </w:t>
      </w:r>
      <w:r>
        <w:t>ha</w:t>
      </w:r>
      <w:r>
        <w:rPr>
          <w:lang w:eastAsia="zh-CN"/>
        </w:rPr>
        <w:t xml:space="preserve">ve </w:t>
      </w:r>
      <w:r>
        <w:t>been explicitly signalled:</w:t>
      </w:r>
    </w:p>
    <w:p w14:paraId="745DBE96" w14:textId="77777777" w:rsidR="00467D74" w:rsidRDefault="0003723C">
      <w:pPr>
        <w:pStyle w:val="B2"/>
        <w:rPr>
          <w:rFonts w:eastAsia="宋体"/>
          <w:lang w:eastAsia="zh-CN"/>
        </w:rPr>
      </w:pPr>
      <w:r>
        <w:rPr>
          <w:rFonts w:eastAsia="宋体"/>
          <w:lang w:eastAsia="sv-SE"/>
        </w:rPr>
        <w:t>-</w:t>
      </w:r>
      <w:r>
        <w:rPr>
          <w:rFonts w:eastAsia="宋体"/>
          <w:lang w:eastAsia="sv-SE"/>
        </w:rPr>
        <w:tab/>
        <w:t>the PRACH resource is that explicitly signalled;</w:t>
      </w:r>
    </w:p>
    <w:p w14:paraId="4B657FA5" w14:textId="77777777" w:rsidR="00467D74" w:rsidRDefault="0003723C">
      <w:pPr>
        <w:pStyle w:val="B2"/>
        <w:rPr>
          <w:rFonts w:eastAsia="宋体"/>
          <w:lang w:eastAsia="zh-CN"/>
        </w:rPr>
      </w:pPr>
      <w:r>
        <w:rPr>
          <w:rFonts w:eastAsia="宋体"/>
          <w:lang w:eastAsia="sv-SE"/>
        </w:rPr>
        <w:t>-</w:t>
      </w:r>
      <w:r>
        <w:rPr>
          <w:rFonts w:eastAsia="宋体"/>
          <w:lang w:eastAsia="sv-SE"/>
        </w:rPr>
        <w:tab/>
      </w:r>
      <w:r>
        <w:rPr>
          <w:rFonts w:eastAsia="宋体"/>
          <w:lang w:eastAsia="zh-CN"/>
        </w:rPr>
        <w:t xml:space="preserve">if the </w:t>
      </w:r>
      <w:r>
        <w:rPr>
          <w:rFonts w:eastAsia="宋体"/>
          <w:i/>
        </w:rPr>
        <w:t>ra-PreambleIndex</w:t>
      </w:r>
      <w:r>
        <w:rPr>
          <w:rFonts w:eastAsia="宋体"/>
          <w:lang w:eastAsia="zh-CN"/>
        </w:rPr>
        <w:t xml:space="preserve"> signalled is not 000000:</w:t>
      </w:r>
    </w:p>
    <w:p w14:paraId="0FDEC03A" w14:textId="77777777" w:rsidR="00467D74" w:rsidRDefault="0003723C">
      <w:pPr>
        <w:pStyle w:val="B3"/>
        <w:rPr>
          <w:rFonts w:eastAsia="宋体"/>
          <w:lang w:eastAsia="zh-CN"/>
        </w:rPr>
      </w:pPr>
      <w:r>
        <w:rPr>
          <w:rFonts w:eastAsia="宋体"/>
          <w:lang w:eastAsia="zh-CN"/>
        </w:rPr>
        <w:t>-</w:t>
      </w:r>
      <w:r>
        <w:rPr>
          <w:rFonts w:eastAsia="宋体"/>
          <w:lang w:eastAsia="zh-CN"/>
        </w:rPr>
        <w:tab/>
        <w:t xml:space="preserve">if </w:t>
      </w:r>
      <w:r>
        <w:rPr>
          <w:rFonts w:eastAsia="宋体"/>
          <w:i/>
          <w:lang w:eastAsia="zh-CN"/>
        </w:rPr>
        <w:t>ra-CFRA-Config</w:t>
      </w:r>
      <w:r>
        <w:rPr>
          <w:rFonts w:eastAsia="宋体"/>
          <w:lang w:eastAsia="zh-CN"/>
        </w:rPr>
        <w:t xml:space="preserve"> is configured:</w:t>
      </w:r>
    </w:p>
    <w:p w14:paraId="6F811808" w14:textId="77777777" w:rsidR="00467D74" w:rsidRDefault="0003723C">
      <w:pPr>
        <w:pStyle w:val="B4"/>
      </w:pPr>
      <w:r>
        <w:t>-</w:t>
      </w:r>
      <w:r>
        <w:tab/>
        <w:t xml:space="preserve">the Random Access Preamble is </w:t>
      </w:r>
      <w:r>
        <w:rPr>
          <w:lang w:eastAsia="zh-CN"/>
        </w:rPr>
        <w:t xml:space="preserve">set to </w:t>
      </w:r>
      <w:r>
        <w:rPr>
          <w:i/>
          <w:lang w:eastAsia="zh-CN"/>
        </w:rPr>
        <w:t>nprach-SubcarrierOffset</w:t>
      </w:r>
      <w:r>
        <w:rPr>
          <w:lang w:eastAsia="zh-CN"/>
        </w:rPr>
        <w:t xml:space="preserve"> + </w:t>
      </w:r>
      <w:r>
        <w:rPr>
          <w:i/>
          <w:lang w:eastAsia="zh-CN"/>
        </w:rPr>
        <w:t>nprach-NumCBRA-StartSubcarriers</w:t>
      </w:r>
      <w:r>
        <w:rPr>
          <w:lang w:eastAsia="zh-CN"/>
        </w:rPr>
        <w:t xml:space="preserve"> + (</w:t>
      </w:r>
      <w:r>
        <w:rPr>
          <w:i/>
        </w:rPr>
        <w:t>ra-PreambleIndex</w:t>
      </w:r>
      <w:r>
        <w:rPr>
          <w:lang w:eastAsia="zh-CN"/>
        </w:rPr>
        <w:t xml:space="preserve"> modulo (</w:t>
      </w:r>
      <w:r>
        <w:rPr>
          <w:i/>
          <w:lang w:eastAsia="zh-CN"/>
        </w:rPr>
        <w:t>nprach-NumSubcarriers</w:t>
      </w:r>
      <w:r>
        <w:rPr>
          <w:lang w:eastAsia="zh-CN"/>
        </w:rPr>
        <w:t xml:space="preserve"> - </w:t>
      </w:r>
      <w:r>
        <w:rPr>
          <w:i/>
          <w:lang w:eastAsia="zh-CN"/>
        </w:rPr>
        <w:t>nprach-NumCBRA-StartSubcarriers</w:t>
      </w:r>
      <w:r>
        <w:rPr>
          <w:lang w:eastAsia="zh-CN"/>
        </w:rPr>
        <w:t xml:space="preserve">)), where </w:t>
      </w:r>
      <w:r>
        <w:rPr>
          <w:i/>
          <w:lang w:eastAsia="zh-CN"/>
        </w:rPr>
        <w:t>nprach-SubcarrierOffset</w:t>
      </w:r>
      <w:r>
        <w:t xml:space="preserve">, </w:t>
      </w:r>
      <w:r>
        <w:rPr>
          <w:i/>
        </w:rPr>
        <w:t>nprach-NumCBRA-StartSubcarriers</w:t>
      </w:r>
      <w:r>
        <w:t xml:space="preserve"> and </w:t>
      </w:r>
      <w:r>
        <w:rPr>
          <w:i/>
          <w:lang w:eastAsia="zh-CN"/>
        </w:rPr>
        <w:t>nprach-NumSubcarriers</w:t>
      </w:r>
      <w:r>
        <w:t xml:space="preserve"> are parameters in the currently used PRACH resource.</w:t>
      </w:r>
    </w:p>
    <w:p w14:paraId="4683D621" w14:textId="77777777" w:rsidR="00467D74" w:rsidRDefault="0003723C">
      <w:pPr>
        <w:pStyle w:val="B3"/>
      </w:pPr>
      <w:r>
        <w:t>-</w:t>
      </w:r>
      <w:r>
        <w:tab/>
        <w:t>else:</w:t>
      </w:r>
    </w:p>
    <w:p w14:paraId="4ABA8721" w14:textId="77777777" w:rsidR="00467D74" w:rsidRDefault="0003723C">
      <w:pPr>
        <w:pStyle w:val="B4"/>
      </w:pPr>
      <w:r>
        <w:t>-</w:t>
      </w:r>
      <w:r>
        <w:tab/>
        <w:t xml:space="preserve">the Random Access Preamble is set to </w:t>
      </w:r>
      <w:r>
        <w:rPr>
          <w:i/>
        </w:rPr>
        <w:t>nprach-SubcarrierOffset</w:t>
      </w:r>
      <w:r>
        <w:t xml:space="preserve"> + (</w:t>
      </w:r>
      <w:r>
        <w:rPr>
          <w:i/>
        </w:rPr>
        <w:t>ra-PreambleIndex</w:t>
      </w:r>
      <w:r>
        <w:t xml:space="preserve"> modulo </w:t>
      </w:r>
      <w:r>
        <w:rPr>
          <w:i/>
        </w:rPr>
        <w:t>nprach-NumSubcarriers</w:t>
      </w:r>
      <w:r>
        <w:t xml:space="preserve">), where </w:t>
      </w:r>
      <w:r>
        <w:rPr>
          <w:i/>
        </w:rPr>
        <w:t>nprach-SubcarrierOffset</w:t>
      </w:r>
      <w:r>
        <w:t xml:space="preserve"> and </w:t>
      </w:r>
      <w:r>
        <w:rPr>
          <w:i/>
        </w:rPr>
        <w:t>nprach-NumSubcarriers</w:t>
      </w:r>
      <w:r>
        <w:t xml:space="preserve"> are parameters in the currently used PRACH resource.</w:t>
      </w:r>
    </w:p>
    <w:p w14:paraId="70DEE057" w14:textId="77777777" w:rsidR="00467D74" w:rsidRDefault="0003723C">
      <w:pPr>
        <w:pStyle w:val="B2"/>
        <w:rPr>
          <w:rFonts w:eastAsia="宋体"/>
          <w:lang w:eastAsia="zh-CN"/>
        </w:rPr>
      </w:pPr>
      <w:r>
        <w:rPr>
          <w:rFonts w:eastAsia="宋体"/>
          <w:lang w:eastAsia="sv-SE"/>
        </w:rPr>
        <w:t>-</w:t>
      </w:r>
      <w:r>
        <w:rPr>
          <w:rFonts w:eastAsia="宋体"/>
          <w:lang w:eastAsia="sv-SE"/>
        </w:rPr>
        <w:tab/>
      </w:r>
      <w:r>
        <w:rPr>
          <w:rFonts w:eastAsia="宋体"/>
          <w:lang w:eastAsia="zh-CN"/>
        </w:rPr>
        <w:t>else:</w:t>
      </w:r>
    </w:p>
    <w:p w14:paraId="31516444" w14:textId="77777777" w:rsidR="00467D74" w:rsidRDefault="0003723C">
      <w:pPr>
        <w:pStyle w:val="B3"/>
        <w:rPr>
          <w:rFonts w:eastAsia="宋体"/>
        </w:rPr>
      </w:pPr>
      <w:r>
        <w:rPr>
          <w:rFonts w:eastAsia="宋体"/>
        </w:rPr>
        <w:t>-</w:t>
      </w:r>
      <w:r>
        <w:rPr>
          <w:rFonts w:eastAsia="宋体"/>
        </w:rPr>
        <w:tab/>
        <w:t xml:space="preserve">select the Random Access Preamble group according to the PRACH resource and the support for multi-tone Msg3 transmission. </w:t>
      </w:r>
      <w:r>
        <w:t>A UE supporting multi-tone Msg3 shall only select the single-tone Msg3 Random Access Preambles group if there is no multi-tone Msg3 Random Access Preambles group.</w:t>
      </w:r>
    </w:p>
    <w:p w14:paraId="1A804585" w14:textId="77777777" w:rsidR="00467D74" w:rsidRDefault="0003723C">
      <w:pPr>
        <w:pStyle w:val="B3"/>
        <w:rPr>
          <w:rFonts w:eastAsia="宋体"/>
        </w:rPr>
      </w:pPr>
      <w:r>
        <w:rPr>
          <w:rFonts w:eastAsia="宋体"/>
        </w:rPr>
        <w:t>-</w:t>
      </w:r>
      <w:r>
        <w:rPr>
          <w:rFonts w:eastAsia="宋体"/>
        </w:rPr>
        <w:tab/>
        <w:t>randomly select a Random Access Preamble within the selected group.</w:t>
      </w:r>
    </w:p>
    <w:p w14:paraId="45F7B75D" w14:textId="77777777" w:rsidR="00467D74" w:rsidRDefault="0003723C">
      <w:pPr>
        <w:pStyle w:val="B1"/>
      </w:pPr>
      <w:r>
        <w:t>-</w:t>
      </w:r>
      <w:r>
        <w:tab/>
        <w:t>else the Random Access Preamble shall be selected by the MAC entity as follows:</w:t>
      </w:r>
    </w:p>
    <w:p w14:paraId="4B423F87" w14:textId="77777777" w:rsidR="00467D74" w:rsidRDefault="0003723C">
      <w:pPr>
        <w:pStyle w:val="B2"/>
      </w:pPr>
      <w:r>
        <w:t>-</w:t>
      </w:r>
      <w:r>
        <w:tab/>
        <w:t>if the UE is a BL UE or UE in enhanced coverage and EDT is initiated:</w:t>
      </w:r>
    </w:p>
    <w:p w14:paraId="478C0897" w14:textId="77777777" w:rsidR="00467D74" w:rsidRDefault="0003723C">
      <w:pPr>
        <w:pStyle w:val="B3"/>
      </w:pPr>
      <w:r>
        <w:t>-</w:t>
      </w:r>
      <w:r>
        <w:tab/>
        <w:t>select the Random Access Preambles group corresponding to PRACH resource for EDT for the selected enhanced coverage level.</w:t>
      </w:r>
    </w:p>
    <w:p w14:paraId="62326DEF" w14:textId="77777777" w:rsidR="00467D74" w:rsidRDefault="0003723C">
      <w:pPr>
        <w:pStyle w:val="B2"/>
      </w:pPr>
      <w:r>
        <w:t>-</w:t>
      </w:r>
      <w:r>
        <w:tab/>
        <w:t>else if the UE is a BL UE or UE in enhanced coverage and Random Access Preamble group B does not exist:</w:t>
      </w:r>
    </w:p>
    <w:p w14:paraId="43B044F0" w14:textId="77777777" w:rsidR="00467D74" w:rsidRDefault="0003723C">
      <w:pPr>
        <w:pStyle w:val="B3"/>
      </w:pPr>
      <w:r>
        <w:t>-</w:t>
      </w:r>
      <w:r>
        <w:tab/>
        <w:t>select the Random Access Preambles group corresponding to the selected enhanced coverage level.</w:t>
      </w:r>
    </w:p>
    <w:p w14:paraId="5C51803B" w14:textId="77777777" w:rsidR="00467D74" w:rsidRDefault="0003723C">
      <w:pPr>
        <w:pStyle w:val="B2"/>
      </w:pPr>
      <w:r>
        <w:t>-</w:t>
      </w:r>
      <w:r>
        <w:tab/>
        <w:t>else if the UE is an NB-IoT UE:</w:t>
      </w:r>
    </w:p>
    <w:p w14:paraId="618AB80D" w14:textId="41D06CF7" w:rsidR="00594AF2" w:rsidRDefault="00594AF2">
      <w:pPr>
        <w:pStyle w:val="B3"/>
        <w:rPr>
          <w:ins w:id="32" w:author="作者"/>
        </w:rPr>
      </w:pPr>
      <w:ins w:id="33" w:author="作者">
        <w:r>
          <w:t>-</w:t>
        </w:r>
        <w:r>
          <w:tab/>
          <w:t>if UE support</w:t>
        </w:r>
        <w:r w:rsidR="002670C4">
          <w:t xml:space="preserve"> nonAnchorCE</w:t>
        </w:r>
        <w:r>
          <w:t xml:space="preserve"> and</w:t>
        </w:r>
        <w:r w:rsidR="001013CF">
          <w:t xml:space="preserve"> the</w:t>
        </w:r>
        <w:r>
          <w:t xml:space="preserve"> </w:t>
        </w:r>
        <w:r w:rsidR="001013CF">
          <w:t xml:space="preserve">enhanced </w:t>
        </w:r>
        <w:r>
          <w:t xml:space="preserve">coverage level for non-anchor carrier is </w:t>
        </w:r>
        <w:r w:rsidR="001013CF">
          <w:t>larger than the enhanced coverage level for anchor carrier:</w:t>
        </w:r>
        <w:r>
          <w:t xml:space="preserve"> </w:t>
        </w:r>
      </w:ins>
    </w:p>
    <w:p w14:paraId="331D2CBC" w14:textId="643C2111" w:rsidR="00594AF2" w:rsidRDefault="00594AF2">
      <w:pPr>
        <w:pStyle w:val="B3"/>
        <w:ind w:firstLine="0"/>
        <w:rPr>
          <w:ins w:id="34" w:author="作者"/>
        </w:rPr>
        <w:pPrChange w:id="35" w:author="作者">
          <w:pPr>
            <w:pStyle w:val="B3"/>
          </w:pPr>
        </w:pPrChange>
      </w:pPr>
      <w:ins w:id="36" w:author="作者">
        <w:r>
          <w:t>-</w:t>
        </w:r>
        <w:r>
          <w:tab/>
        </w:r>
        <w:r>
          <w:rPr>
            <w:lang w:val="en-US"/>
          </w:rPr>
          <w:t>e</w:t>
        </w:r>
        <w:r>
          <w:rPr>
            <w:rFonts w:eastAsia="等线"/>
            <w:bCs/>
            <w:lang w:eastAsia="zh-CN"/>
          </w:rPr>
          <w:t xml:space="preserve">xclude the </w:t>
        </w:r>
        <w:r>
          <w:rPr>
            <w:rFonts w:eastAsia="等线"/>
            <w:bCs/>
            <w:lang w:val="en-US" w:eastAsia="zh-CN"/>
          </w:rPr>
          <w:t xml:space="preserve">non-anchor </w:t>
        </w:r>
        <w:r>
          <w:rPr>
            <w:rFonts w:eastAsia="等线"/>
            <w:bCs/>
            <w:lang w:eastAsia="zh-CN"/>
          </w:rPr>
          <w:t xml:space="preserve">carriers with </w:t>
        </w:r>
        <w:r w:rsidR="001013CF">
          <w:rPr>
            <w:rFonts w:eastAsia="等线"/>
            <w:bCs/>
            <w:lang w:eastAsia="zh-CN"/>
          </w:rPr>
          <w:t>larger</w:t>
        </w:r>
        <w:r>
          <w:rPr>
            <w:rFonts w:eastAsia="等线"/>
            <w:bCs/>
            <w:lang w:eastAsia="zh-CN"/>
          </w:rPr>
          <w:t xml:space="preserve"> </w:t>
        </w:r>
        <w:r>
          <w:rPr>
            <w:rFonts w:eastAsia="等线"/>
            <w:bCs/>
            <w:lang w:val="en-US" w:eastAsia="zh-CN"/>
          </w:rPr>
          <w:t>enhanced coverage level</w:t>
        </w:r>
        <w:r>
          <w:rPr>
            <w:rFonts w:eastAsia="等线"/>
            <w:bCs/>
            <w:lang w:eastAsia="zh-CN"/>
          </w:rPr>
          <w:t xml:space="preserve"> than the anchor carrier</w:t>
        </w:r>
        <w:r>
          <w:rPr>
            <w:rFonts w:eastAsia="等线"/>
            <w:bCs/>
            <w:lang w:val="en-US" w:eastAsia="zh-CN"/>
          </w:rPr>
          <w:t xml:space="preserve">, </w:t>
        </w:r>
      </w:ins>
    </w:p>
    <w:p w14:paraId="3DB1377E" w14:textId="2FDFADD9" w:rsidR="00467D74" w:rsidRDefault="0003723C">
      <w:pPr>
        <w:pStyle w:val="B3"/>
      </w:pPr>
      <w:r>
        <w:t>-</w:t>
      </w:r>
      <w:r>
        <w:tab/>
        <w:t>randomly select one of the PRACH resources corresponding to the selected enhanced coverage level according to the configured probability distribution, and select the Random Access Preambles group corresponding to the PRACH resource and the support for multi-tone Msg3 transmission. A UE supporting multi-tone Msg3 shall only select the single-tone Msg3 Random Access Preambles group if there is no multi-tone Msg3 Random Access Preambles group. For EDT, the PRACH resource shall correspond to resource associated with EDT for the selected enhanced coverage level.</w:t>
      </w:r>
    </w:p>
    <w:p w14:paraId="52AAB15E" w14:textId="77777777" w:rsidR="00467D74" w:rsidRDefault="0003723C">
      <w:pPr>
        <w:pStyle w:val="B2"/>
      </w:pPr>
      <w:r>
        <w:t>-</w:t>
      </w:r>
      <w:r>
        <w:tab/>
        <w:t xml:space="preserve">else if </w:t>
      </w:r>
      <w:r>
        <w:rPr>
          <w:rFonts w:eastAsia="宋体"/>
          <w:lang w:eastAsia="zh-CN"/>
        </w:rPr>
        <w:t>Msg3</w:t>
      </w:r>
      <w:r>
        <w:t xml:space="preserve"> has not yet been transmitted, the MAC entity shall:</w:t>
      </w:r>
    </w:p>
    <w:p w14:paraId="79633FC2" w14:textId="77777777" w:rsidR="00467D74" w:rsidRDefault="0003723C">
      <w:pPr>
        <w:pStyle w:val="B3"/>
      </w:pPr>
      <w:r>
        <w:lastRenderedPageBreak/>
        <w:t>-</w:t>
      </w:r>
      <w:r>
        <w:tab/>
        <w:t>if Random Access Preambles group B exists and any of the following events occur:</w:t>
      </w:r>
    </w:p>
    <w:p w14:paraId="6F91E2CB" w14:textId="77777777" w:rsidR="00467D74" w:rsidRDefault="0003723C">
      <w:pPr>
        <w:pStyle w:val="B4"/>
        <w:rPr>
          <w:i/>
        </w:rPr>
      </w:pPr>
      <w:r>
        <w:t>-</w:t>
      </w:r>
      <w:r>
        <w:tab/>
        <w:t xml:space="preserve">the potential message size (UL data available for transmission plus MAC header and, where required, MAC control elements) is greater than </w:t>
      </w:r>
      <w:r>
        <w:rPr>
          <w:i/>
        </w:rPr>
        <w:t>messageSizeGroupA</w:t>
      </w:r>
      <w:r>
        <w:t xml:space="preserve"> and the pathloss is less than P</w:t>
      </w:r>
      <w:r>
        <w:rPr>
          <w:vertAlign w:val="subscript"/>
        </w:rPr>
        <w:t xml:space="preserve">CMAX,c </w:t>
      </w:r>
      <w:r>
        <w:t xml:space="preserve">(of the Serving Cell performing the Random Access Procedure) – </w:t>
      </w:r>
      <w:r>
        <w:rPr>
          <w:i/>
        </w:rPr>
        <w:t>preambleInitialReceivedTargetPower</w:t>
      </w:r>
      <w:r>
        <w:t xml:space="preserve"> – </w:t>
      </w:r>
      <w:r>
        <w:rPr>
          <w:i/>
        </w:rPr>
        <w:t>deltaPreambleMsg3</w:t>
      </w:r>
      <w:r>
        <w:t xml:space="preserve"> – </w:t>
      </w:r>
      <w:r>
        <w:rPr>
          <w:i/>
        </w:rPr>
        <w:t>messagePowerOffsetGroupB</w:t>
      </w:r>
      <w:r>
        <w:t>;</w:t>
      </w:r>
    </w:p>
    <w:p w14:paraId="4AB6868C" w14:textId="77777777" w:rsidR="00467D74" w:rsidRDefault="0003723C">
      <w:pPr>
        <w:pStyle w:val="B4"/>
      </w:pPr>
      <w:r>
        <w:t>-</w:t>
      </w:r>
      <w:r>
        <w:tab/>
        <w:t xml:space="preserve">the Random Access procedure was initiated for the CCCH logical channel and the CCCH SDU size plus MAC header is greater than </w:t>
      </w:r>
      <w:r>
        <w:rPr>
          <w:i/>
        </w:rPr>
        <w:t>messageSizeGroupA</w:t>
      </w:r>
      <w:r>
        <w:t>;</w:t>
      </w:r>
    </w:p>
    <w:p w14:paraId="57548BFD" w14:textId="77777777" w:rsidR="00467D74" w:rsidRDefault="0003723C">
      <w:pPr>
        <w:pStyle w:val="B5"/>
      </w:pPr>
      <w:r>
        <w:t>-</w:t>
      </w:r>
      <w:r>
        <w:tab/>
        <w:t>select the Random Access Preambles group B;</w:t>
      </w:r>
    </w:p>
    <w:p w14:paraId="618B4EA9" w14:textId="77777777" w:rsidR="00467D74" w:rsidRDefault="0003723C">
      <w:pPr>
        <w:pStyle w:val="B3"/>
      </w:pPr>
      <w:r>
        <w:t>-</w:t>
      </w:r>
      <w:r>
        <w:tab/>
        <w:t>else:</w:t>
      </w:r>
    </w:p>
    <w:p w14:paraId="38559CDC" w14:textId="77777777" w:rsidR="00467D74" w:rsidRDefault="0003723C">
      <w:pPr>
        <w:pStyle w:val="B4"/>
      </w:pPr>
      <w:r>
        <w:t>-</w:t>
      </w:r>
      <w:r>
        <w:tab/>
        <w:t>select the Random Access Preambles group A.</w:t>
      </w:r>
    </w:p>
    <w:p w14:paraId="476F7A3D" w14:textId="77777777" w:rsidR="00467D74" w:rsidRDefault="0003723C">
      <w:pPr>
        <w:pStyle w:val="B2"/>
      </w:pPr>
      <w:r>
        <w:t>-</w:t>
      </w:r>
      <w:r>
        <w:tab/>
        <w:t>else, if Msg3 is being retransmitted, the MAC entity shall:</w:t>
      </w:r>
    </w:p>
    <w:p w14:paraId="1AB15998" w14:textId="77777777" w:rsidR="00467D74" w:rsidRDefault="0003723C">
      <w:pPr>
        <w:pStyle w:val="B3"/>
      </w:pPr>
      <w:r>
        <w:t>-</w:t>
      </w:r>
      <w:r>
        <w:tab/>
        <w:t xml:space="preserve">select the same group of Random Access Preambles as was used for the preamble transmission attempt corresponding to the first transmission of </w:t>
      </w:r>
      <w:r>
        <w:rPr>
          <w:rFonts w:eastAsia="宋体"/>
          <w:lang w:eastAsia="zh-CN"/>
        </w:rPr>
        <w:t>Msg3</w:t>
      </w:r>
      <w:r>
        <w:t>.</w:t>
      </w:r>
    </w:p>
    <w:p w14:paraId="20C6D11F" w14:textId="77777777" w:rsidR="00467D74" w:rsidRDefault="0003723C">
      <w:pPr>
        <w:pStyle w:val="B2"/>
      </w:pPr>
      <w:r>
        <w:t>-</w:t>
      </w:r>
      <w:r>
        <w:tab/>
        <w:t>randomly select a Random Access Preamble within the selected group. The random function shall be such that each of the allowed selections can be chosen with equal probability;</w:t>
      </w:r>
    </w:p>
    <w:p w14:paraId="06514EE2" w14:textId="77777777" w:rsidR="00467D74" w:rsidRDefault="0003723C">
      <w:pPr>
        <w:pStyle w:val="B2"/>
      </w:pPr>
      <w:r>
        <w:t>-</w:t>
      </w:r>
      <w:r>
        <w:tab/>
        <w:t>except for NB-IoT, set PRACH Mask Index to 0.</w:t>
      </w:r>
    </w:p>
    <w:p w14:paraId="784BE58D" w14:textId="77777777" w:rsidR="00467D74" w:rsidRDefault="0003723C">
      <w:pPr>
        <w:pStyle w:val="B1"/>
      </w:pPr>
      <w:r>
        <w:t>-</w:t>
      </w:r>
      <w:r>
        <w:tab/>
        <w:t xml:space="preserve">determine the next available subframe containing PRACH permitted by the restrictions given by the </w:t>
      </w:r>
      <w:r>
        <w:rPr>
          <w:i/>
        </w:rPr>
        <w:t xml:space="preserve">prach-ConfigIndex </w:t>
      </w:r>
      <w:r>
        <w:t>(except for NB-IoT)</w:t>
      </w:r>
      <w:r>
        <w:rPr>
          <w:i/>
        </w:rPr>
        <w:t>,</w:t>
      </w:r>
      <w:r>
        <w:t xml:space="preserve"> the PRACH Mask Index (except for NB-IoT, see clause 7.3), physical layer timing requirements, as specified in TS 36.213 [2], and in case of NB-IoT, the subframes occupied by PRACH resources related to a higher enhanced coverage level (a MAC entity may take into account the possible occurrence of measurement gaps when determining the next available PRACH subframe);</w:t>
      </w:r>
    </w:p>
    <w:p w14:paraId="12B24DEF" w14:textId="77777777" w:rsidR="00467D74" w:rsidRDefault="0003723C">
      <w:pPr>
        <w:pStyle w:val="B1"/>
      </w:pPr>
      <w:r>
        <w:t>-</w:t>
      </w:r>
      <w:r>
        <w:tab/>
        <w:t>except for NB-IoT:</w:t>
      </w:r>
    </w:p>
    <w:p w14:paraId="5D64791A" w14:textId="77777777" w:rsidR="00467D74" w:rsidRDefault="0003723C">
      <w:pPr>
        <w:pStyle w:val="B2"/>
      </w:pPr>
      <w:r>
        <w:t>-</w:t>
      </w:r>
      <w:r>
        <w:tab/>
        <w:t>if the transmission mode is TDD and the PRACH Mask Index is equal to zero:</w:t>
      </w:r>
    </w:p>
    <w:p w14:paraId="7286CBE2" w14:textId="77777777" w:rsidR="00467D74" w:rsidRDefault="0003723C">
      <w:pPr>
        <w:pStyle w:val="B3"/>
      </w:pPr>
      <w:r>
        <w:t>-</w:t>
      </w:r>
      <w:r>
        <w:tab/>
        <w:t xml:space="preserve">if </w:t>
      </w:r>
      <w:r>
        <w:rPr>
          <w:i/>
        </w:rPr>
        <w:t>ra-PreambleIndex</w:t>
      </w:r>
      <w:r>
        <w:t xml:space="preserve"> was explicitly signalled and it was not 000000 (i.e., not selected by MAC):</w:t>
      </w:r>
    </w:p>
    <w:p w14:paraId="38489D74" w14:textId="77777777" w:rsidR="00467D74" w:rsidRDefault="0003723C">
      <w:pPr>
        <w:pStyle w:val="B4"/>
      </w:pPr>
      <w:r>
        <w:t>-</w:t>
      </w:r>
      <w:r>
        <w:tab/>
        <w:t>randomly select, with equal probability, one PRACH from the PRACHs available in the determined subframe.</w:t>
      </w:r>
    </w:p>
    <w:p w14:paraId="54CD4AD3" w14:textId="77777777" w:rsidR="00467D74" w:rsidRDefault="0003723C">
      <w:pPr>
        <w:pStyle w:val="B3"/>
      </w:pPr>
      <w:r>
        <w:t>-</w:t>
      </w:r>
      <w:r>
        <w:tab/>
        <w:t>else:</w:t>
      </w:r>
    </w:p>
    <w:p w14:paraId="62BC58C4" w14:textId="77777777" w:rsidR="00467D74" w:rsidRDefault="0003723C">
      <w:pPr>
        <w:pStyle w:val="B4"/>
      </w:pPr>
      <w:r>
        <w:t>-</w:t>
      </w:r>
      <w:r>
        <w:tab/>
        <w:t>randomly select, with equal probability, one PRACH from the PRACHs available in the determined subframe and the next two consecutive subframes.</w:t>
      </w:r>
    </w:p>
    <w:p w14:paraId="6EA6486B" w14:textId="77777777" w:rsidR="00467D74" w:rsidRDefault="0003723C">
      <w:pPr>
        <w:pStyle w:val="B2"/>
      </w:pPr>
      <w:r>
        <w:t>-</w:t>
      </w:r>
      <w:r>
        <w:tab/>
        <w:t>else:</w:t>
      </w:r>
    </w:p>
    <w:p w14:paraId="7C351C51" w14:textId="77777777" w:rsidR="00467D74" w:rsidRDefault="0003723C">
      <w:pPr>
        <w:pStyle w:val="B3"/>
      </w:pPr>
      <w:r>
        <w:t>-</w:t>
      </w:r>
      <w:r>
        <w:tab/>
        <w:t>determine a PRACH within the determined subframe in accordance with the requirements of the PRACH Mask Index, if any.</w:t>
      </w:r>
    </w:p>
    <w:p w14:paraId="1C8C3B8D" w14:textId="77777777" w:rsidR="00467D74" w:rsidRDefault="0003723C">
      <w:pPr>
        <w:pStyle w:val="B1"/>
      </w:pPr>
      <w:r>
        <w:t>-</w:t>
      </w:r>
      <w:r>
        <w:tab/>
        <w:t xml:space="preserve">for NB-IoT UEs, BL UEs or UEs in enhanced coverage, select the </w:t>
      </w:r>
      <w:r>
        <w:rPr>
          <w:i/>
        </w:rPr>
        <w:t>ra-ResponseWindowSize</w:t>
      </w:r>
      <w:r>
        <w:t xml:space="preserve"> and </w:t>
      </w:r>
      <w:r>
        <w:rPr>
          <w:i/>
        </w:rPr>
        <w:t>mac-ContentionResolutionTimer</w:t>
      </w:r>
      <w:r>
        <w:t xml:space="preserve"> corresponding to the selected enhanced coverage level and PRACH.</w:t>
      </w:r>
    </w:p>
    <w:p w14:paraId="4AD547E5" w14:textId="77777777" w:rsidR="00467D74" w:rsidRDefault="0003723C">
      <w:pPr>
        <w:pStyle w:val="B1"/>
      </w:pPr>
      <w:r>
        <w:t>-</w:t>
      </w:r>
      <w:r>
        <w:tab/>
        <w:t>proceed to the transmission of the Random Access Preamble (see clause 5.1.3).</w:t>
      </w:r>
    </w:p>
    <w:p w14:paraId="7333F474" w14:textId="77777777" w:rsidR="00467D74" w:rsidRDefault="00467D74">
      <w:pPr>
        <w:pStyle w:val="B1"/>
      </w:pPr>
    </w:p>
    <w:bookmarkEnd w:id="8"/>
    <w:p w14:paraId="2B36054C" w14:textId="77777777" w:rsidR="00467D74" w:rsidRDefault="0003723C">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rFonts w:hint="eastAsia"/>
          <w:i/>
          <w:lang w:eastAsia="zh-CN"/>
        </w:rPr>
        <w:t>End</w:t>
      </w:r>
      <w:r>
        <w:rPr>
          <w:rFonts w:eastAsia="Malgun Gothic"/>
          <w:i/>
        </w:rPr>
        <w:t xml:space="preserve"> of Change</w:t>
      </w:r>
    </w:p>
    <w:sectPr w:rsidR="00467D74">
      <w:headerReference w:type="defaul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4B466" w14:textId="77777777" w:rsidR="002F337D" w:rsidRDefault="002F337D">
      <w:pPr>
        <w:spacing w:after="0"/>
      </w:pPr>
      <w:r>
        <w:separator/>
      </w:r>
    </w:p>
  </w:endnote>
  <w:endnote w:type="continuationSeparator" w:id="0">
    <w:p w14:paraId="28C8D0DD" w14:textId="77777777" w:rsidR="002F337D" w:rsidRDefault="002F33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 ??">
    <w:altName w:val="Yu Gothic"/>
    <w:charset w:val="80"/>
    <w:family w:val="roman"/>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33C53" w14:textId="77777777" w:rsidR="002F337D" w:rsidRDefault="002F337D">
      <w:pPr>
        <w:spacing w:after="0"/>
      </w:pPr>
      <w:r>
        <w:separator/>
      </w:r>
    </w:p>
  </w:footnote>
  <w:footnote w:type="continuationSeparator" w:id="0">
    <w:p w14:paraId="590DC200" w14:textId="77777777" w:rsidR="002F337D" w:rsidRDefault="002F33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4A49" w14:textId="77777777" w:rsidR="00467D74" w:rsidRDefault="0003723C">
    <w:pPr>
      <w:pStyle w:val="aa"/>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270"/>
        </w:tabs>
        <w:ind w:left="460" w:hanging="360"/>
      </w:pPr>
      <w:rPr>
        <w:rFonts w:ascii="Symbol" w:hAnsi="Symbol" w:hint="default"/>
        <w:b/>
        <w:i w:val="0"/>
        <w:color w:val="auto"/>
        <w:sz w:val="22"/>
        <w:lang w:val="en-GB"/>
      </w:rPr>
    </w:lvl>
    <w:lvl w:ilvl="1">
      <w:start w:val="1"/>
      <w:numFmt w:val="bullet"/>
      <w:lvlText w:val="o"/>
      <w:lvlJc w:val="left"/>
      <w:pPr>
        <w:tabs>
          <w:tab w:val="left" w:pos="-870"/>
        </w:tabs>
        <w:ind w:left="-870" w:hanging="360"/>
      </w:pPr>
      <w:rPr>
        <w:rFonts w:ascii="Courier New" w:hAnsi="Courier New" w:cs="Courier New" w:hint="default"/>
      </w:rPr>
    </w:lvl>
    <w:lvl w:ilvl="2">
      <w:start w:val="1"/>
      <w:numFmt w:val="bullet"/>
      <w:lvlText w:val=""/>
      <w:lvlJc w:val="left"/>
      <w:pPr>
        <w:tabs>
          <w:tab w:val="left" w:pos="-150"/>
        </w:tabs>
        <w:ind w:left="-150" w:hanging="360"/>
      </w:pPr>
      <w:rPr>
        <w:rFonts w:ascii="Wingdings" w:hAnsi="Wingdings" w:hint="default"/>
      </w:rPr>
    </w:lvl>
    <w:lvl w:ilvl="3">
      <w:start w:val="1"/>
      <w:numFmt w:val="bullet"/>
      <w:lvlText w:val=""/>
      <w:lvlJc w:val="left"/>
      <w:pPr>
        <w:tabs>
          <w:tab w:val="left" w:pos="570"/>
        </w:tabs>
        <w:ind w:left="570" w:hanging="360"/>
      </w:pPr>
      <w:rPr>
        <w:rFonts w:ascii="Symbol" w:hAnsi="Symbol" w:hint="default"/>
      </w:rPr>
    </w:lvl>
    <w:lvl w:ilvl="4">
      <w:start w:val="1"/>
      <w:numFmt w:val="bullet"/>
      <w:lvlText w:val="o"/>
      <w:lvlJc w:val="left"/>
      <w:pPr>
        <w:tabs>
          <w:tab w:val="left" w:pos="1290"/>
        </w:tabs>
        <w:ind w:left="1290" w:hanging="360"/>
      </w:pPr>
      <w:rPr>
        <w:rFonts w:ascii="Courier New" w:hAnsi="Courier New" w:cs="Courier New" w:hint="default"/>
      </w:rPr>
    </w:lvl>
    <w:lvl w:ilvl="5">
      <w:start w:val="1"/>
      <w:numFmt w:val="bullet"/>
      <w:lvlText w:val=""/>
      <w:lvlJc w:val="left"/>
      <w:pPr>
        <w:tabs>
          <w:tab w:val="left" w:pos="2010"/>
        </w:tabs>
        <w:ind w:left="2010" w:hanging="360"/>
      </w:pPr>
      <w:rPr>
        <w:rFonts w:ascii="Wingdings" w:hAnsi="Wingdings" w:hint="default"/>
      </w:rPr>
    </w:lvl>
    <w:lvl w:ilvl="6">
      <w:start w:val="1"/>
      <w:numFmt w:val="bullet"/>
      <w:lvlText w:val=""/>
      <w:lvlJc w:val="left"/>
      <w:pPr>
        <w:tabs>
          <w:tab w:val="left" w:pos="2730"/>
        </w:tabs>
        <w:ind w:left="2730" w:hanging="360"/>
      </w:pPr>
      <w:rPr>
        <w:rFonts w:ascii="Symbol" w:hAnsi="Symbol" w:hint="default"/>
      </w:rPr>
    </w:lvl>
    <w:lvl w:ilvl="7">
      <w:start w:val="1"/>
      <w:numFmt w:val="bullet"/>
      <w:lvlText w:val="o"/>
      <w:lvlJc w:val="left"/>
      <w:pPr>
        <w:tabs>
          <w:tab w:val="left" w:pos="3450"/>
        </w:tabs>
        <w:ind w:left="3450" w:hanging="360"/>
      </w:pPr>
      <w:rPr>
        <w:rFonts w:ascii="Courier New" w:hAnsi="Courier New" w:cs="Courier New" w:hint="default"/>
      </w:rPr>
    </w:lvl>
    <w:lvl w:ilvl="8">
      <w:start w:val="1"/>
      <w:numFmt w:val="bullet"/>
      <w:lvlText w:val=""/>
      <w:lvlJc w:val="left"/>
      <w:pPr>
        <w:tabs>
          <w:tab w:val="left" w:pos="4170"/>
        </w:tabs>
        <w:ind w:left="4170" w:hanging="360"/>
      </w:pPr>
      <w:rPr>
        <w:rFonts w:ascii="Wingdings" w:hAnsi="Wingdings" w:hint="default"/>
      </w:rPr>
    </w:lvl>
  </w:abstractNum>
  <w:abstractNum w:abstractNumId="1" w15:restartNumberingAfterBreak="0">
    <w:nsid w:val="78D60D72"/>
    <w:multiLevelType w:val="multilevel"/>
    <w:tmpl w:val="78D60D72"/>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10B40"/>
    <w:rsid w:val="000121FA"/>
    <w:rsid w:val="00014164"/>
    <w:rsid w:val="00014B83"/>
    <w:rsid w:val="00022E4A"/>
    <w:rsid w:val="00023F26"/>
    <w:rsid w:val="0003723C"/>
    <w:rsid w:val="00040A46"/>
    <w:rsid w:val="00053D8B"/>
    <w:rsid w:val="00071903"/>
    <w:rsid w:val="00074136"/>
    <w:rsid w:val="00083A06"/>
    <w:rsid w:val="00085E6C"/>
    <w:rsid w:val="00094346"/>
    <w:rsid w:val="00096DBE"/>
    <w:rsid w:val="000A17E1"/>
    <w:rsid w:val="000A44AE"/>
    <w:rsid w:val="000A6394"/>
    <w:rsid w:val="000A7C9E"/>
    <w:rsid w:val="000B0C9C"/>
    <w:rsid w:val="000B7FED"/>
    <w:rsid w:val="000C038A"/>
    <w:rsid w:val="000C4E39"/>
    <w:rsid w:val="000C6598"/>
    <w:rsid w:val="000D3951"/>
    <w:rsid w:val="000D44B3"/>
    <w:rsid w:val="000D75B7"/>
    <w:rsid w:val="000E3468"/>
    <w:rsid w:val="000E6095"/>
    <w:rsid w:val="000F0B73"/>
    <w:rsid w:val="000F2A3B"/>
    <w:rsid w:val="001013CF"/>
    <w:rsid w:val="00101CBC"/>
    <w:rsid w:val="00120422"/>
    <w:rsid w:val="00133D73"/>
    <w:rsid w:val="00136263"/>
    <w:rsid w:val="001401BD"/>
    <w:rsid w:val="00145D43"/>
    <w:rsid w:val="00147261"/>
    <w:rsid w:val="00150B15"/>
    <w:rsid w:val="001518D4"/>
    <w:rsid w:val="00154769"/>
    <w:rsid w:val="00160A44"/>
    <w:rsid w:val="00163294"/>
    <w:rsid w:val="00167A0E"/>
    <w:rsid w:val="00176062"/>
    <w:rsid w:val="001810B8"/>
    <w:rsid w:val="001816BC"/>
    <w:rsid w:val="001838A6"/>
    <w:rsid w:val="00184899"/>
    <w:rsid w:val="00192C46"/>
    <w:rsid w:val="00193158"/>
    <w:rsid w:val="00197CEE"/>
    <w:rsid w:val="001A08B3"/>
    <w:rsid w:val="001A1D64"/>
    <w:rsid w:val="001A7B60"/>
    <w:rsid w:val="001B2BD7"/>
    <w:rsid w:val="001B52F0"/>
    <w:rsid w:val="001B7A65"/>
    <w:rsid w:val="001C0E6D"/>
    <w:rsid w:val="001C61B5"/>
    <w:rsid w:val="001C6B0E"/>
    <w:rsid w:val="001D5802"/>
    <w:rsid w:val="001E41F3"/>
    <w:rsid w:val="001E643C"/>
    <w:rsid w:val="001E716D"/>
    <w:rsid w:val="001E791B"/>
    <w:rsid w:val="002000DF"/>
    <w:rsid w:val="00205DE5"/>
    <w:rsid w:val="00206D52"/>
    <w:rsid w:val="00210249"/>
    <w:rsid w:val="00210914"/>
    <w:rsid w:val="00212CC6"/>
    <w:rsid w:val="00221E6C"/>
    <w:rsid w:val="00224268"/>
    <w:rsid w:val="00232651"/>
    <w:rsid w:val="00236DAD"/>
    <w:rsid w:val="00240C0A"/>
    <w:rsid w:val="0025376A"/>
    <w:rsid w:val="0025418D"/>
    <w:rsid w:val="00254759"/>
    <w:rsid w:val="0026004D"/>
    <w:rsid w:val="002640DD"/>
    <w:rsid w:val="002643FC"/>
    <w:rsid w:val="002670C4"/>
    <w:rsid w:val="00275D12"/>
    <w:rsid w:val="00284FEB"/>
    <w:rsid w:val="002860C4"/>
    <w:rsid w:val="00287F6F"/>
    <w:rsid w:val="002A127D"/>
    <w:rsid w:val="002A2695"/>
    <w:rsid w:val="002A79F2"/>
    <w:rsid w:val="002B5741"/>
    <w:rsid w:val="002C2711"/>
    <w:rsid w:val="002D3880"/>
    <w:rsid w:val="002D391B"/>
    <w:rsid w:val="002E0277"/>
    <w:rsid w:val="002E3A27"/>
    <w:rsid w:val="002E472E"/>
    <w:rsid w:val="002E6AB2"/>
    <w:rsid w:val="002E7A97"/>
    <w:rsid w:val="002E7C6E"/>
    <w:rsid w:val="002F12C8"/>
    <w:rsid w:val="002F23CF"/>
    <w:rsid w:val="002F337D"/>
    <w:rsid w:val="00300976"/>
    <w:rsid w:val="00305409"/>
    <w:rsid w:val="00305BB1"/>
    <w:rsid w:val="00306173"/>
    <w:rsid w:val="003109E1"/>
    <w:rsid w:val="00314E27"/>
    <w:rsid w:val="0032353B"/>
    <w:rsid w:val="00323746"/>
    <w:rsid w:val="00330EBD"/>
    <w:rsid w:val="00331418"/>
    <w:rsid w:val="003323DD"/>
    <w:rsid w:val="00332AA0"/>
    <w:rsid w:val="00347DC2"/>
    <w:rsid w:val="00350407"/>
    <w:rsid w:val="00351201"/>
    <w:rsid w:val="003551A1"/>
    <w:rsid w:val="003609EF"/>
    <w:rsid w:val="0036231A"/>
    <w:rsid w:val="00374DD4"/>
    <w:rsid w:val="0037732F"/>
    <w:rsid w:val="003827CB"/>
    <w:rsid w:val="003910A1"/>
    <w:rsid w:val="003A1959"/>
    <w:rsid w:val="003A6B23"/>
    <w:rsid w:val="003A7647"/>
    <w:rsid w:val="003A7E80"/>
    <w:rsid w:val="003B74BC"/>
    <w:rsid w:val="003B7565"/>
    <w:rsid w:val="003C457B"/>
    <w:rsid w:val="003D25AD"/>
    <w:rsid w:val="003D3D81"/>
    <w:rsid w:val="003E1A36"/>
    <w:rsid w:val="003E2232"/>
    <w:rsid w:val="003F0D7A"/>
    <w:rsid w:val="003F7532"/>
    <w:rsid w:val="0040496C"/>
    <w:rsid w:val="00410371"/>
    <w:rsid w:val="004108C1"/>
    <w:rsid w:val="00410994"/>
    <w:rsid w:val="00414C63"/>
    <w:rsid w:val="00421972"/>
    <w:rsid w:val="00422B01"/>
    <w:rsid w:val="00423628"/>
    <w:rsid w:val="004242F1"/>
    <w:rsid w:val="00430E1F"/>
    <w:rsid w:val="0043291C"/>
    <w:rsid w:val="00436221"/>
    <w:rsid w:val="00442DB8"/>
    <w:rsid w:val="004461F4"/>
    <w:rsid w:val="00450A85"/>
    <w:rsid w:val="00460475"/>
    <w:rsid w:val="00460872"/>
    <w:rsid w:val="00467D74"/>
    <w:rsid w:val="00472E12"/>
    <w:rsid w:val="004759F4"/>
    <w:rsid w:val="00476D13"/>
    <w:rsid w:val="004A7BA0"/>
    <w:rsid w:val="004B2871"/>
    <w:rsid w:val="004B6958"/>
    <w:rsid w:val="004B75B7"/>
    <w:rsid w:val="004D0683"/>
    <w:rsid w:val="004D1358"/>
    <w:rsid w:val="004D3356"/>
    <w:rsid w:val="004D5EFE"/>
    <w:rsid w:val="004E698C"/>
    <w:rsid w:val="004E74FA"/>
    <w:rsid w:val="004F1B43"/>
    <w:rsid w:val="004F3822"/>
    <w:rsid w:val="004F73DC"/>
    <w:rsid w:val="00504A95"/>
    <w:rsid w:val="0051392F"/>
    <w:rsid w:val="0051580D"/>
    <w:rsid w:val="00515C33"/>
    <w:rsid w:val="00516F29"/>
    <w:rsid w:val="00517741"/>
    <w:rsid w:val="0053036C"/>
    <w:rsid w:val="0053097D"/>
    <w:rsid w:val="0054257D"/>
    <w:rsid w:val="00545BCE"/>
    <w:rsid w:val="00547111"/>
    <w:rsid w:val="00547F4C"/>
    <w:rsid w:val="00555725"/>
    <w:rsid w:val="00557465"/>
    <w:rsid w:val="005627B2"/>
    <w:rsid w:val="0057405F"/>
    <w:rsid w:val="00576116"/>
    <w:rsid w:val="0057671A"/>
    <w:rsid w:val="00584948"/>
    <w:rsid w:val="00592D74"/>
    <w:rsid w:val="00594AF2"/>
    <w:rsid w:val="00596136"/>
    <w:rsid w:val="005A3DB0"/>
    <w:rsid w:val="005A4D5D"/>
    <w:rsid w:val="005A75B3"/>
    <w:rsid w:val="005B1466"/>
    <w:rsid w:val="005B5EA2"/>
    <w:rsid w:val="005B6B84"/>
    <w:rsid w:val="005C153C"/>
    <w:rsid w:val="005C15D0"/>
    <w:rsid w:val="005D2210"/>
    <w:rsid w:val="005D4595"/>
    <w:rsid w:val="005D497C"/>
    <w:rsid w:val="005E2C44"/>
    <w:rsid w:val="005E4AC6"/>
    <w:rsid w:val="005F3840"/>
    <w:rsid w:val="00604FAE"/>
    <w:rsid w:val="006126A4"/>
    <w:rsid w:val="0061498C"/>
    <w:rsid w:val="00621188"/>
    <w:rsid w:val="00621F84"/>
    <w:rsid w:val="00623E7E"/>
    <w:rsid w:val="006257ED"/>
    <w:rsid w:val="00635655"/>
    <w:rsid w:val="00640686"/>
    <w:rsid w:val="00646FFD"/>
    <w:rsid w:val="00647EE8"/>
    <w:rsid w:val="00657C7D"/>
    <w:rsid w:val="00660C3B"/>
    <w:rsid w:val="00660EC0"/>
    <w:rsid w:val="0066322D"/>
    <w:rsid w:val="00663E39"/>
    <w:rsid w:val="00665C47"/>
    <w:rsid w:val="006849AF"/>
    <w:rsid w:val="006856AA"/>
    <w:rsid w:val="006926FF"/>
    <w:rsid w:val="006929CE"/>
    <w:rsid w:val="00692B6C"/>
    <w:rsid w:val="00695808"/>
    <w:rsid w:val="006A1CE8"/>
    <w:rsid w:val="006A2427"/>
    <w:rsid w:val="006B1C12"/>
    <w:rsid w:val="006B46FB"/>
    <w:rsid w:val="006B4A01"/>
    <w:rsid w:val="006C1E6E"/>
    <w:rsid w:val="006C5E93"/>
    <w:rsid w:val="006D6BA5"/>
    <w:rsid w:val="006E21FB"/>
    <w:rsid w:val="006E77DD"/>
    <w:rsid w:val="006F0B57"/>
    <w:rsid w:val="006F0B5E"/>
    <w:rsid w:val="00701A5F"/>
    <w:rsid w:val="00707461"/>
    <w:rsid w:val="007112BE"/>
    <w:rsid w:val="0071414A"/>
    <w:rsid w:val="007160FC"/>
    <w:rsid w:val="0073080A"/>
    <w:rsid w:val="00734E93"/>
    <w:rsid w:val="0073682F"/>
    <w:rsid w:val="007439E6"/>
    <w:rsid w:val="007509A9"/>
    <w:rsid w:val="00750F17"/>
    <w:rsid w:val="0075528E"/>
    <w:rsid w:val="007554E7"/>
    <w:rsid w:val="0075799C"/>
    <w:rsid w:val="00772F56"/>
    <w:rsid w:val="0077308A"/>
    <w:rsid w:val="00777775"/>
    <w:rsid w:val="007811DD"/>
    <w:rsid w:val="00781C08"/>
    <w:rsid w:val="00784C62"/>
    <w:rsid w:val="00784D4A"/>
    <w:rsid w:val="00787AC7"/>
    <w:rsid w:val="00792342"/>
    <w:rsid w:val="00796E36"/>
    <w:rsid w:val="007977A8"/>
    <w:rsid w:val="00797936"/>
    <w:rsid w:val="007A07F7"/>
    <w:rsid w:val="007A4BBF"/>
    <w:rsid w:val="007A69A2"/>
    <w:rsid w:val="007A795E"/>
    <w:rsid w:val="007B03C6"/>
    <w:rsid w:val="007B4AA2"/>
    <w:rsid w:val="007B512A"/>
    <w:rsid w:val="007B69E1"/>
    <w:rsid w:val="007C2097"/>
    <w:rsid w:val="007C20CC"/>
    <w:rsid w:val="007C2F80"/>
    <w:rsid w:val="007C5106"/>
    <w:rsid w:val="007D0915"/>
    <w:rsid w:val="007D6A07"/>
    <w:rsid w:val="007E533A"/>
    <w:rsid w:val="007E7556"/>
    <w:rsid w:val="007F4E21"/>
    <w:rsid w:val="007F7259"/>
    <w:rsid w:val="007F7804"/>
    <w:rsid w:val="00800582"/>
    <w:rsid w:val="00802E5E"/>
    <w:rsid w:val="008040A8"/>
    <w:rsid w:val="00805A15"/>
    <w:rsid w:val="00811470"/>
    <w:rsid w:val="00822645"/>
    <w:rsid w:val="00824FC6"/>
    <w:rsid w:val="008279FA"/>
    <w:rsid w:val="00843C51"/>
    <w:rsid w:val="00846059"/>
    <w:rsid w:val="00861D29"/>
    <w:rsid w:val="008626E7"/>
    <w:rsid w:val="00865980"/>
    <w:rsid w:val="00867F47"/>
    <w:rsid w:val="00870EE7"/>
    <w:rsid w:val="00870F70"/>
    <w:rsid w:val="00874257"/>
    <w:rsid w:val="00876BE9"/>
    <w:rsid w:val="00883788"/>
    <w:rsid w:val="008863B9"/>
    <w:rsid w:val="0089423F"/>
    <w:rsid w:val="00896142"/>
    <w:rsid w:val="008A01D1"/>
    <w:rsid w:val="008A150F"/>
    <w:rsid w:val="008A45A6"/>
    <w:rsid w:val="008A75A4"/>
    <w:rsid w:val="008A7D51"/>
    <w:rsid w:val="008B16DA"/>
    <w:rsid w:val="008B4861"/>
    <w:rsid w:val="008B55D7"/>
    <w:rsid w:val="008B79E1"/>
    <w:rsid w:val="008C37ED"/>
    <w:rsid w:val="008C7341"/>
    <w:rsid w:val="008D113A"/>
    <w:rsid w:val="008D14E6"/>
    <w:rsid w:val="008D5D8A"/>
    <w:rsid w:val="008E2078"/>
    <w:rsid w:val="008E5339"/>
    <w:rsid w:val="008E7377"/>
    <w:rsid w:val="008F21AA"/>
    <w:rsid w:val="008F3789"/>
    <w:rsid w:val="008F4AC5"/>
    <w:rsid w:val="008F4DF1"/>
    <w:rsid w:val="008F6752"/>
    <w:rsid w:val="008F686C"/>
    <w:rsid w:val="009148DE"/>
    <w:rsid w:val="00916A04"/>
    <w:rsid w:val="00923541"/>
    <w:rsid w:val="0092554F"/>
    <w:rsid w:val="00927503"/>
    <w:rsid w:val="009326F8"/>
    <w:rsid w:val="00932A4D"/>
    <w:rsid w:val="00933FC2"/>
    <w:rsid w:val="00941E30"/>
    <w:rsid w:val="00942EC2"/>
    <w:rsid w:val="00945485"/>
    <w:rsid w:val="009560F2"/>
    <w:rsid w:val="00956C4F"/>
    <w:rsid w:val="0096313A"/>
    <w:rsid w:val="00970245"/>
    <w:rsid w:val="0097109A"/>
    <w:rsid w:val="009726EB"/>
    <w:rsid w:val="00974EC3"/>
    <w:rsid w:val="009777D9"/>
    <w:rsid w:val="009822F8"/>
    <w:rsid w:val="00983E74"/>
    <w:rsid w:val="00984A86"/>
    <w:rsid w:val="009905E5"/>
    <w:rsid w:val="00991B88"/>
    <w:rsid w:val="00996526"/>
    <w:rsid w:val="0099789D"/>
    <w:rsid w:val="009A5753"/>
    <w:rsid w:val="009A579D"/>
    <w:rsid w:val="009A59AA"/>
    <w:rsid w:val="009B22DC"/>
    <w:rsid w:val="009B3713"/>
    <w:rsid w:val="009C6271"/>
    <w:rsid w:val="009D178A"/>
    <w:rsid w:val="009D2E16"/>
    <w:rsid w:val="009D3C95"/>
    <w:rsid w:val="009D5085"/>
    <w:rsid w:val="009D5C67"/>
    <w:rsid w:val="009D65CB"/>
    <w:rsid w:val="009E2669"/>
    <w:rsid w:val="009E3297"/>
    <w:rsid w:val="009E3CED"/>
    <w:rsid w:val="009F734F"/>
    <w:rsid w:val="00A042E1"/>
    <w:rsid w:val="00A17AA6"/>
    <w:rsid w:val="00A17CDA"/>
    <w:rsid w:val="00A246B6"/>
    <w:rsid w:val="00A24F3C"/>
    <w:rsid w:val="00A25A3D"/>
    <w:rsid w:val="00A307B8"/>
    <w:rsid w:val="00A406FF"/>
    <w:rsid w:val="00A43AD3"/>
    <w:rsid w:val="00A43E7A"/>
    <w:rsid w:val="00A44E62"/>
    <w:rsid w:val="00A45ECD"/>
    <w:rsid w:val="00A47E70"/>
    <w:rsid w:val="00A50CF0"/>
    <w:rsid w:val="00A515D4"/>
    <w:rsid w:val="00A660D4"/>
    <w:rsid w:val="00A66C62"/>
    <w:rsid w:val="00A7671C"/>
    <w:rsid w:val="00A90AC7"/>
    <w:rsid w:val="00A916A1"/>
    <w:rsid w:val="00A942D6"/>
    <w:rsid w:val="00A96880"/>
    <w:rsid w:val="00AA2CBC"/>
    <w:rsid w:val="00AA2EBE"/>
    <w:rsid w:val="00AA4EDA"/>
    <w:rsid w:val="00AB4A70"/>
    <w:rsid w:val="00AB54F3"/>
    <w:rsid w:val="00AB57DC"/>
    <w:rsid w:val="00AC4475"/>
    <w:rsid w:val="00AC5820"/>
    <w:rsid w:val="00AC5BB5"/>
    <w:rsid w:val="00AD1B7F"/>
    <w:rsid w:val="00AD1CD8"/>
    <w:rsid w:val="00AD319B"/>
    <w:rsid w:val="00AD7CF2"/>
    <w:rsid w:val="00AE4C34"/>
    <w:rsid w:val="00AF49FE"/>
    <w:rsid w:val="00B04DA4"/>
    <w:rsid w:val="00B15202"/>
    <w:rsid w:val="00B17CF4"/>
    <w:rsid w:val="00B239BC"/>
    <w:rsid w:val="00B258BB"/>
    <w:rsid w:val="00B264F4"/>
    <w:rsid w:val="00B3473D"/>
    <w:rsid w:val="00B46876"/>
    <w:rsid w:val="00B52DFF"/>
    <w:rsid w:val="00B53D82"/>
    <w:rsid w:val="00B67B97"/>
    <w:rsid w:val="00B72243"/>
    <w:rsid w:val="00B72C37"/>
    <w:rsid w:val="00B73C6D"/>
    <w:rsid w:val="00B75066"/>
    <w:rsid w:val="00B7547A"/>
    <w:rsid w:val="00B82E34"/>
    <w:rsid w:val="00B94422"/>
    <w:rsid w:val="00B968C8"/>
    <w:rsid w:val="00BA0C3C"/>
    <w:rsid w:val="00BA1FB0"/>
    <w:rsid w:val="00BA3EC5"/>
    <w:rsid w:val="00BA4BDD"/>
    <w:rsid w:val="00BA51D9"/>
    <w:rsid w:val="00BB1A34"/>
    <w:rsid w:val="00BB5DFC"/>
    <w:rsid w:val="00BC03DF"/>
    <w:rsid w:val="00BD1713"/>
    <w:rsid w:val="00BD279D"/>
    <w:rsid w:val="00BD5BDF"/>
    <w:rsid w:val="00BD6BB8"/>
    <w:rsid w:val="00BE5DB8"/>
    <w:rsid w:val="00BE747F"/>
    <w:rsid w:val="00BF1B26"/>
    <w:rsid w:val="00BF2C5B"/>
    <w:rsid w:val="00BF3A55"/>
    <w:rsid w:val="00BF5534"/>
    <w:rsid w:val="00BF5BF3"/>
    <w:rsid w:val="00C00635"/>
    <w:rsid w:val="00C00BE4"/>
    <w:rsid w:val="00C00F6C"/>
    <w:rsid w:val="00C0157F"/>
    <w:rsid w:val="00C01C03"/>
    <w:rsid w:val="00C129A3"/>
    <w:rsid w:val="00C1473B"/>
    <w:rsid w:val="00C1686C"/>
    <w:rsid w:val="00C328FE"/>
    <w:rsid w:val="00C354AD"/>
    <w:rsid w:val="00C43C74"/>
    <w:rsid w:val="00C568A3"/>
    <w:rsid w:val="00C56A15"/>
    <w:rsid w:val="00C57924"/>
    <w:rsid w:val="00C65D1F"/>
    <w:rsid w:val="00C6634A"/>
    <w:rsid w:val="00C66BA2"/>
    <w:rsid w:val="00C95985"/>
    <w:rsid w:val="00C96F40"/>
    <w:rsid w:val="00CA0E91"/>
    <w:rsid w:val="00CA70DF"/>
    <w:rsid w:val="00CB231A"/>
    <w:rsid w:val="00CB315D"/>
    <w:rsid w:val="00CB342F"/>
    <w:rsid w:val="00CB348E"/>
    <w:rsid w:val="00CB4D0D"/>
    <w:rsid w:val="00CB5F27"/>
    <w:rsid w:val="00CC38B3"/>
    <w:rsid w:val="00CC3F47"/>
    <w:rsid w:val="00CC5026"/>
    <w:rsid w:val="00CC68D0"/>
    <w:rsid w:val="00CD2F36"/>
    <w:rsid w:val="00CD694A"/>
    <w:rsid w:val="00CE0C6F"/>
    <w:rsid w:val="00CE3B0E"/>
    <w:rsid w:val="00CF4852"/>
    <w:rsid w:val="00CF78D8"/>
    <w:rsid w:val="00D03F9A"/>
    <w:rsid w:val="00D06D51"/>
    <w:rsid w:val="00D179BA"/>
    <w:rsid w:val="00D20BEC"/>
    <w:rsid w:val="00D24991"/>
    <w:rsid w:val="00D315B2"/>
    <w:rsid w:val="00D351B2"/>
    <w:rsid w:val="00D37F7E"/>
    <w:rsid w:val="00D42F86"/>
    <w:rsid w:val="00D4693E"/>
    <w:rsid w:val="00D50255"/>
    <w:rsid w:val="00D632FE"/>
    <w:rsid w:val="00D66520"/>
    <w:rsid w:val="00D75D1D"/>
    <w:rsid w:val="00D76B42"/>
    <w:rsid w:val="00D86F49"/>
    <w:rsid w:val="00D91C58"/>
    <w:rsid w:val="00D94DB2"/>
    <w:rsid w:val="00D950B0"/>
    <w:rsid w:val="00DA4542"/>
    <w:rsid w:val="00DA5296"/>
    <w:rsid w:val="00DA6EFA"/>
    <w:rsid w:val="00DB709D"/>
    <w:rsid w:val="00DB77D1"/>
    <w:rsid w:val="00DC097B"/>
    <w:rsid w:val="00DC3C70"/>
    <w:rsid w:val="00DC504D"/>
    <w:rsid w:val="00DD5C3C"/>
    <w:rsid w:val="00DD6AE1"/>
    <w:rsid w:val="00DD71A2"/>
    <w:rsid w:val="00DE34CF"/>
    <w:rsid w:val="00DE3594"/>
    <w:rsid w:val="00DF432F"/>
    <w:rsid w:val="00DF46E0"/>
    <w:rsid w:val="00DF55F4"/>
    <w:rsid w:val="00E00F5B"/>
    <w:rsid w:val="00E0349B"/>
    <w:rsid w:val="00E12246"/>
    <w:rsid w:val="00E139B4"/>
    <w:rsid w:val="00E13F1B"/>
    <w:rsid w:val="00E13F3D"/>
    <w:rsid w:val="00E1409A"/>
    <w:rsid w:val="00E16831"/>
    <w:rsid w:val="00E216DF"/>
    <w:rsid w:val="00E22C27"/>
    <w:rsid w:val="00E2653C"/>
    <w:rsid w:val="00E34898"/>
    <w:rsid w:val="00E41B89"/>
    <w:rsid w:val="00E45743"/>
    <w:rsid w:val="00E532CD"/>
    <w:rsid w:val="00E64A82"/>
    <w:rsid w:val="00E661B9"/>
    <w:rsid w:val="00E74B9C"/>
    <w:rsid w:val="00E80682"/>
    <w:rsid w:val="00E8697B"/>
    <w:rsid w:val="00E94A86"/>
    <w:rsid w:val="00E95366"/>
    <w:rsid w:val="00EA01B0"/>
    <w:rsid w:val="00EA125E"/>
    <w:rsid w:val="00EA12FA"/>
    <w:rsid w:val="00EA3A72"/>
    <w:rsid w:val="00EA4AAF"/>
    <w:rsid w:val="00EB0795"/>
    <w:rsid w:val="00EB09B7"/>
    <w:rsid w:val="00EB3D0C"/>
    <w:rsid w:val="00EB5953"/>
    <w:rsid w:val="00EB707A"/>
    <w:rsid w:val="00EC3B3C"/>
    <w:rsid w:val="00EC4D62"/>
    <w:rsid w:val="00EC799D"/>
    <w:rsid w:val="00ED44EB"/>
    <w:rsid w:val="00ED4A66"/>
    <w:rsid w:val="00ED5007"/>
    <w:rsid w:val="00EE12F2"/>
    <w:rsid w:val="00EE2A81"/>
    <w:rsid w:val="00EE2A88"/>
    <w:rsid w:val="00EE632B"/>
    <w:rsid w:val="00EE7D7C"/>
    <w:rsid w:val="00EE7DE2"/>
    <w:rsid w:val="00EF0BAB"/>
    <w:rsid w:val="00EF200F"/>
    <w:rsid w:val="00EF370F"/>
    <w:rsid w:val="00EF61A3"/>
    <w:rsid w:val="00F00A44"/>
    <w:rsid w:val="00F04D76"/>
    <w:rsid w:val="00F121E2"/>
    <w:rsid w:val="00F143E2"/>
    <w:rsid w:val="00F204C4"/>
    <w:rsid w:val="00F25D98"/>
    <w:rsid w:val="00F30043"/>
    <w:rsid w:val="00F300FB"/>
    <w:rsid w:val="00F31D96"/>
    <w:rsid w:val="00F337D0"/>
    <w:rsid w:val="00F41A17"/>
    <w:rsid w:val="00F6338E"/>
    <w:rsid w:val="00F75D7F"/>
    <w:rsid w:val="00F8152D"/>
    <w:rsid w:val="00F84E97"/>
    <w:rsid w:val="00F85B6C"/>
    <w:rsid w:val="00F90749"/>
    <w:rsid w:val="00F9226A"/>
    <w:rsid w:val="00F9269F"/>
    <w:rsid w:val="00F96F4D"/>
    <w:rsid w:val="00FA0966"/>
    <w:rsid w:val="00FA2E72"/>
    <w:rsid w:val="00FA7BEA"/>
    <w:rsid w:val="00FB08D9"/>
    <w:rsid w:val="00FB3909"/>
    <w:rsid w:val="00FB46F3"/>
    <w:rsid w:val="00FB6386"/>
    <w:rsid w:val="00FC3743"/>
    <w:rsid w:val="00FC7E41"/>
    <w:rsid w:val="00FD290E"/>
    <w:rsid w:val="00FD69AF"/>
    <w:rsid w:val="00FF2104"/>
    <w:rsid w:val="02715F99"/>
    <w:rsid w:val="03232081"/>
    <w:rsid w:val="034630C3"/>
    <w:rsid w:val="04752807"/>
    <w:rsid w:val="04B557EB"/>
    <w:rsid w:val="05BA477C"/>
    <w:rsid w:val="061D59D4"/>
    <w:rsid w:val="0B887914"/>
    <w:rsid w:val="0CA45AE4"/>
    <w:rsid w:val="0D7106B7"/>
    <w:rsid w:val="0E3B23F2"/>
    <w:rsid w:val="1051071D"/>
    <w:rsid w:val="10683970"/>
    <w:rsid w:val="10FF6077"/>
    <w:rsid w:val="11377D67"/>
    <w:rsid w:val="11867B7A"/>
    <w:rsid w:val="127D3070"/>
    <w:rsid w:val="12B3264C"/>
    <w:rsid w:val="12E57422"/>
    <w:rsid w:val="14C04F7D"/>
    <w:rsid w:val="156979EC"/>
    <w:rsid w:val="189C4F83"/>
    <w:rsid w:val="1E3513F0"/>
    <w:rsid w:val="1ED63243"/>
    <w:rsid w:val="1F32297B"/>
    <w:rsid w:val="1FA12AD0"/>
    <w:rsid w:val="1FB261FA"/>
    <w:rsid w:val="1FBF7F04"/>
    <w:rsid w:val="1FDC61DA"/>
    <w:rsid w:val="203B1790"/>
    <w:rsid w:val="228250F6"/>
    <w:rsid w:val="22F107A9"/>
    <w:rsid w:val="23562E4A"/>
    <w:rsid w:val="248C7B05"/>
    <w:rsid w:val="25081024"/>
    <w:rsid w:val="255C4D69"/>
    <w:rsid w:val="26A04432"/>
    <w:rsid w:val="26A97269"/>
    <w:rsid w:val="26DC03AE"/>
    <w:rsid w:val="27995C9F"/>
    <w:rsid w:val="2C680886"/>
    <w:rsid w:val="2DF50697"/>
    <w:rsid w:val="2E740283"/>
    <w:rsid w:val="2E771C17"/>
    <w:rsid w:val="2EB72181"/>
    <w:rsid w:val="2F1F2251"/>
    <w:rsid w:val="30B95829"/>
    <w:rsid w:val="311C4D45"/>
    <w:rsid w:val="31AB4C3B"/>
    <w:rsid w:val="31C14CC2"/>
    <w:rsid w:val="31C60D09"/>
    <w:rsid w:val="33610207"/>
    <w:rsid w:val="37224CE9"/>
    <w:rsid w:val="389730C6"/>
    <w:rsid w:val="38D14F91"/>
    <w:rsid w:val="39B71B10"/>
    <w:rsid w:val="3B1155C4"/>
    <w:rsid w:val="3B512F8D"/>
    <w:rsid w:val="3C7466DD"/>
    <w:rsid w:val="3F551F38"/>
    <w:rsid w:val="40401741"/>
    <w:rsid w:val="410C52A8"/>
    <w:rsid w:val="418443EF"/>
    <w:rsid w:val="42FE286E"/>
    <w:rsid w:val="43B47B89"/>
    <w:rsid w:val="45A35F76"/>
    <w:rsid w:val="45C806C6"/>
    <w:rsid w:val="46332D36"/>
    <w:rsid w:val="46626D1F"/>
    <w:rsid w:val="4A722D8C"/>
    <w:rsid w:val="4AE30985"/>
    <w:rsid w:val="4B7927C0"/>
    <w:rsid w:val="4C3C6A54"/>
    <w:rsid w:val="4C8E3B4D"/>
    <w:rsid w:val="4CFF2AE8"/>
    <w:rsid w:val="4D4207A3"/>
    <w:rsid w:val="4D4E62BB"/>
    <w:rsid w:val="4E463509"/>
    <w:rsid w:val="4E64558D"/>
    <w:rsid w:val="50206E73"/>
    <w:rsid w:val="51F23DC9"/>
    <w:rsid w:val="52C86928"/>
    <w:rsid w:val="52E54DBD"/>
    <w:rsid w:val="54C14DBF"/>
    <w:rsid w:val="57016F0E"/>
    <w:rsid w:val="584372E4"/>
    <w:rsid w:val="5982362B"/>
    <w:rsid w:val="59AF538A"/>
    <w:rsid w:val="5BF01CC9"/>
    <w:rsid w:val="5D9746B3"/>
    <w:rsid w:val="600426A7"/>
    <w:rsid w:val="602015EC"/>
    <w:rsid w:val="60C95A18"/>
    <w:rsid w:val="627D149C"/>
    <w:rsid w:val="638D31F5"/>
    <w:rsid w:val="65CA6883"/>
    <w:rsid w:val="660927E1"/>
    <w:rsid w:val="67440526"/>
    <w:rsid w:val="68DA0041"/>
    <w:rsid w:val="6A3D51D9"/>
    <w:rsid w:val="6B2E7449"/>
    <w:rsid w:val="6DD57CE6"/>
    <w:rsid w:val="6E174F6C"/>
    <w:rsid w:val="6EF27EB6"/>
    <w:rsid w:val="70372B04"/>
    <w:rsid w:val="70D2416B"/>
    <w:rsid w:val="710D6A18"/>
    <w:rsid w:val="71141C9B"/>
    <w:rsid w:val="733F2B62"/>
    <w:rsid w:val="73687648"/>
    <w:rsid w:val="75F8351C"/>
    <w:rsid w:val="764650FF"/>
    <w:rsid w:val="77057164"/>
    <w:rsid w:val="796965B1"/>
    <w:rsid w:val="79E62AC7"/>
    <w:rsid w:val="7A0E2648"/>
    <w:rsid w:val="7ACC0402"/>
    <w:rsid w:val="7B7603B8"/>
    <w:rsid w:val="7C105CC5"/>
    <w:rsid w:val="7D28301C"/>
    <w:rsid w:val="7D3B7049"/>
    <w:rsid w:val="7D53066E"/>
    <w:rsid w:val="7ECA17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F3083"/>
  <w15:docId w15:val="{A6727426-C94C-4093-98E4-19C4957F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uiPriority w:val="99"/>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styleId="af2">
    <w:name w:val="List Paragraph"/>
    <w:basedOn w:val="a"/>
    <w:uiPriority w:val="34"/>
    <w:qFormat/>
    <w:pPr>
      <w:ind w:firstLineChars="200" w:firstLine="420"/>
    </w:pPr>
  </w:style>
  <w:style w:type="paragraph" w:customStyle="1" w:styleId="11">
    <w:name w:val="修订1"/>
    <w:hidden/>
    <w:uiPriority w:val="99"/>
    <w:semiHidden/>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CommentsChar">
    <w:name w:val="Comments Char"/>
    <w:link w:val="Comments"/>
    <w:qFormat/>
    <w:rPr>
      <w:rFonts w:ascii="Courier New" w:eastAsia="等线" w:hAnsi="Courier New"/>
      <w:i/>
      <w:sz w:val="18"/>
      <w:szCs w:val="24"/>
      <w:lang w:val="en-GB" w:eastAsia="en-GB"/>
    </w:rPr>
  </w:style>
  <w:style w:type="paragraph" w:customStyle="1" w:styleId="Comments">
    <w:name w:val="Comments"/>
    <w:basedOn w:val="a"/>
    <w:link w:val="CommentsChar"/>
    <w:qFormat/>
    <w:pPr>
      <w:spacing w:before="40" w:after="0"/>
    </w:pPr>
    <w:rPr>
      <w:rFonts w:ascii="Courier New" w:eastAsia="等线" w:hAnsi="Courier New"/>
      <w:i/>
      <w:sz w:val="18"/>
      <w:szCs w:val="24"/>
      <w:lang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1Char">
    <w:name w:val="B1 Char"/>
    <w:qFormat/>
  </w:style>
  <w:style w:type="character" w:customStyle="1" w:styleId="B3Char">
    <w:name w:val="B3 Char"/>
    <w:qFormat/>
  </w:style>
  <w:style w:type="paragraph" w:customStyle="1" w:styleId="24">
    <w:name w:val="修订2"/>
    <w:hidden/>
    <w:uiPriority w:val="99"/>
    <w:semiHidden/>
    <w:qFormat/>
    <w:rPr>
      <w:rFonts w:ascii="Times New Roman" w:hAnsi="Times New Roman"/>
      <w:lang w:val="en-GB" w:eastAsia="en-US"/>
    </w:rPr>
  </w:style>
  <w:style w:type="paragraph" w:customStyle="1" w:styleId="32">
    <w:name w:val="修订3"/>
    <w:hidden/>
    <w:uiPriority w:val="99"/>
    <w:semiHidden/>
    <w:qFormat/>
    <w:rPr>
      <w:rFonts w:ascii="Times New Roman" w:hAnsi="Times New Roman"/>
      <w:lang w:val="en-GB" w:eastAsia="en-US"/>
    </w:rPr>
  </w:style>
  <w:style w:type="paragraph" w:styleId="af3">
    <w:name w:val="Revision"/>
    <w:hidden/>
    <w:uiPriority w:val="99"/>
    <w:semiHidden/>
    <w:rsid w:val="00594AF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94EC7D-E53E-43E9-BB28-C0082B46EF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3425</Words>
  <Characters>19525</Characters>
  <Application>Microsoft Office Word</Application>
  <DocSecurity>0</DocSecurity>
  <Lines>162</Lines>
  <Paragraphs>45</Paragraphs>
  <ScaleCrop>false</ScaleCrop>
  <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cmcc</cp:lastModifiedBy>
  <cp:revision>3</cp:revision>
  <dcterms:created xsi:type="dcterms:W3CDTF">2022-02-26T07:07:00Z</dcterms:created>
  <dcterms:modified xsi:type="dcterms:W3CDTF">2022-02-26T07:13:00Z</dcterms:modified>
</cp:coreProperties>
</file>