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W1 Thur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t>draftCR</w:t>
      </w:r>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t>draftCR</w:t>
      </w:r>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r>
              <w:rPr>
                <w:rFonts w:eastAsiaTheme="minorEastAsia" w:hint="eastAsia"/>
              </w:rPr>
              <w:t>LiuJing</w:t>
            </w:r>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uawei, HiSilicon</w:t>
            </w:r>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5ECA6C0" w:rsidR="00317964" w:rsidRPr="00D173B4" w:rsidRDefault="00D173B4" w:rsidP="00317964">
            <w:pPr>
              <w:rPr>
                <w:rFonts w:eastAsia="Malgun Gothic"/>
                <w:lang w:eastAsia="ko-KR"/>
              </w:rPr>
            </w:pPr>
            <w:r>
              <w:rPr>
                <w:rFonts w:eastAsia="Malgun Gothic" w:hint="eastAsia"/>
                <w:lang w:eastAsia="ko-KR"/>
              </w:rPr>
              <w:t>Samsung</w:t>
            </w:r>
          </w:p>
        </w:tc>
        <w:tc>
          <w:tcPr>
            <w:tcW w:w="3210" w:type="dxa"/>
          </w:tcPr>
          <w:p w14:paraId="4242430C" w14:textId="3C133782" w:rsidR="00317964" w:rsidRPr="00D173B4" w:rsidRDefault="00D173B4" w:rsidP="00317964">
            <w:pPr>
              <w:rPr>
                <w:rFonts w:eastAsia="Malgun Gothic"/>
                <w:lang w:eastAsia="ko-KR"/>
              </w:rPr>
            </w:pPr>
            <w:r>
              <w:rPr>
                <w:rFonts w:eastAsia="Malgun Gothic" w:hint="eastAsia"/>
                <w:lang w:eastAsia="ko-KR"/>
              </w:rPr>
              <w:t>Sangyeob Jung</w:t>
            </w:r>
          </w:p>
        </w:tc>
        <w:tc>
          <w:tcPr>
            <w:tcW w:w="3211" w:type="dxa"/>
          </w:tcPr>
          <w:p w14:paraId="0312EF91" w14:textId="3DDE59ED" w:rsidR="00317964" w:rsidRPr="00D173B4" w:rsidRDefault="00D173B4" w:rsidP="00317964">
            <w:pPr>
              <w:rPr>
                <w:rFonts w:eastAsia="Malgun Gothic"/>
                <w:lang w:eastAsia="ko-KR"/>
              </w:rPr>
            </w:pPr>
            <w:r>
              <w:rPr>
                <w:rFonts w:eastAsia="Malgun Gothic" w:hint="eastAsia"/>
                <w:lang w:eastAsia="ko-KR"/>
              </w:rPr>
              <w:t>sy0</w:t>
            </w:r>
            <w:r>
              <w:rPr>
                <w:rFonts w:eastAsia="Malgun Gothic"/>
                <w:lang w:eastAsia="ko-KR"/>
              </w:rPr>
              <w:t>123.jung@samsung.com</w:t>
            </w:r>
          </w:p>
        </w:tc>
      </w:tr>
      <w:tr w:rsidR="00A8040F" w14:paraId="105DBDCB" w14:textId="77777777" w:rsidTr="00607876">
        <w:tc>
          <w:tcPr>
            <w:tcW w:w="3210" w:type="dxa"/>
          </w:tcPr>
          <w:p w14:paraId="3C278A26" w14:textId="02DAC979" w:rsidR="00A8040F" w:rsidRPr="00A8040F" w:rsidRDefault="00A8040F" w:rsidP="00317964">
            <w:pPr>
              <w:rPr>
                <w:rFonts w:eastAsiaTheme="minorEastAsia"/>
              </w:rPr>
            </w:pPr>
            <w:r>
              <w:rPr>
                <w:rFonts w:eastAsiaTheme="minorEastAsia" w:hint="eastAsia"/>
              </w:rPr>
              <w:t>CATT</w:t>
            </w:r>
          </w:p>
        </w:tc>
        <w:tc>
          <w:tcPr>
            <w:tcW w:w="3210" w:type="dxa"/>
          </w:tcPr>
          <w:p w14:paraId="53EB9C42" w14:textId="18F281E7" w:rsidR="00A8040F" w:rsidRPr="00A8040F" w:rsidRDefault="00A8040F" w:rsidP="00317964">
            <w:pPr>
              <w:rPr>
                <w:rFonts w:eastAsiaTheme="minorEastAsia"/>
              </w:rPr>
            </w:pPr>
            <w:r>
              <w:rPr>
                <w:rFonts w:eastAsiaTheme="minorEastAsia" w:hint="eastAsia"/>
              </w:rPr>
              <w:t>ShiJie</w:t>
            </w:r>
          </w:p>
        </w:tc>
        <w:tc>
          <w:tcPr>
            <w:tcW w:w="3211" w:type="dxa"/>
          </w:tcPr>
          <w:p w14:paraId="10D6829F" w14:textId="20EABAFB" w:rsidR="00A8040F" w:rsidRPr="00A8040F" w:rsidRDefault="00A8040F" w:rsidP="00317964">
            <w:pPr>
              <w:rPr>
                <w:rFonts w:eastAsiaTheme="minorEastAsia"/>
              </w:rPr>
            </w:pPr>
            <w:r>
              <w:rPr>
                <w:rFonts w:eastAsiaTheme="minorEastAsia" w:hint="eastAsia"/>
              </w:rPr>
              <w:t>shijie@catt.cn</w:t>
            </w:r>
          </w:p>
        </w:tc>
      </w:tr>
      <w:tr w:rsidR="00CA0D92" w14:paraId="2E071A03" w14:textId="77777777" w:rsidTr="00AC56F2">
        <w:tc>
          <w:tcPr>
            <w:tcW w:w="3210" w:type="dxa"/>
          </w:tcPr>
          <w:p w14:paraId="6EBB2CFC" w14:textId="77777777" w:rsidR="00CA0D92" w:rsidRDefault="00CA0D92" w:rsidP="00AC56F2">
            <w:pPr>
              <w:rPr>
                <w:rFonts w:eastAsia="Malgun Gothic"/>
                <w:lang w:eastAsia="ko-KR"/>
              </w:rPr>
            </w:pPr>
            <w:r>
              <w:rPr>
                <w:rFonts w:eastAsia="Malgun Gothic"/>
                <w:lang w:eastAsia="ko-KR"/>
              </w:rPr>
              <w:t>Nokia, Nokia Shanghai Bell</w:t>
            </w:r>
          </w:p>
        </w:tc>
        <w:tc>
          <w:tcPr>
            <w:tcW w:w="3210" w:type="dxa"/>
          </w:tcPr>
          <w:p w14:paraId="1DB9A1EE" w14:textId="77777777" w:rsidR="00CA0D92" w:rsidRDefault="00CA0D92" w:rsidP="00AC56F2">
            <w:pPr>
              <w:rPr>
                <w:rFonts w:eastAsia="Malgun Gothic"/>
                <w:lang w:eastAsia="ko-KR"/>
              </w:rPr>
            </w:pPr>
            <w:r>
              <w:rPr>
                <w:rFonts w:eastAsia="Malgun Gothic"/>
                <w:lang w:eastAsia="ko-KR"/>
              </w:rPr>
              <w:t>Tero Henttonen</w:t>
            </w:r>
          </w:p>
        </w:tc>
        <w:tc>
          <w:tcPr>
            <w:tcW w:w="3211" w:type="dxa"/>
          </w:tcPr>
          <w:p w14:paraId="7585EDF7" w14:textId="77777777" w:rsidR="00CA0D92" w:rsidRDefault="00CA0D92" w:rsidP="00AC56F2">
            <w:pPr>
              <w:rPr>
                <w:rFonts w:eastAsia="Malgun Gothic"/>
                <w:lang w:eastAsia="ko-KR"/>
              </w:rPr>
            </w:pPr>
            <w:r>
              <w:rPr>
                <w:rFonts w:eastAsia="Malgun Gothic"/>
                <w:lang w:eastAsia="ko-KR"/>
              </w:rPr>
              <w:t>tero.henttonen@nokia.com</w:t>
            </w:r>
          </w:p>
        </w:tc>
      </w:tr>
      <w:tr w:rsidR="00CA0D92" w14:paraId="47AA6395" w14:textId="77777777" w:rsidTr="00607876">
        <w:tc>
          <w:tcPr>
            <w:tcW w:w="3210" w:type="dxa"/>
          </w:tcPr>
          <w:p w14:paraId="2BF814E3" w14:textId="103C7742" w:rsidR="00CA0D92" w:rsidRDefault="009C283F" w:rsidP="00317964">
            <w:pPr>
              <w:rPr>
                <w:rFonts w:eastAsiaTheme="minorEastAsia"/>
              </w:rPr>
            </w:pPr>
            <w:r>
              <w:rPr>
                <w:rFonts w:eastAsiaTheme="minorEastAsia"/>
              </w:rPr>
              <w:t xml:space="preserve">Qualcomm Incorporation </w:t>
            </w:r>
          </w:p>
        </w:tc>
        <w:tc>
          <w:tcPr>
            <w:tcW w:w="3210" w:type="dxa"/>
          </w:tcPr>
          <w:p w14:paraId="67461E8E" w14:textId="09BA80F8" w:rsidR="00CA0D92" w:rsidRDefault="009C283F" w:rsidP="00317964">
            <w:pPr>
              <w:rPr>
                <w:rFonts w:eastAsiaTheme="minorEastAsia"/>
              </w:rPr>
            </w:pPr>
            <w:r>
              <w:rPr>
                <w:rFonts w:eastAsiaTheme="minorEastAsia"/>
              </w:rPr>
              <w:t>Mouaffac</w:t>
            </w:r>
          </w:p>
        </w:tc>
        <w:tc>
          <w:tcPr>
            <w:tcW w:w="3211" w:type="dxa"/>
          </w:tcPr>
          <w:p w14:paraId="080F227A" w14:textId="0F9D9FAE" w:rsidR="00CA0D92" w:rsidRDefault="009C283F" w:rsidP="00317964">
            <w:pPr>
              <w:rPr>
                <w:rFonts w:eastAsiaTheme="minorEastAsia"/>
              </w:rPr>
            </w:pPr>
            <w:hyperlink r:id="rId9" w:history="1">
              <w:r w:rsidRPr="00C50927">
                <w:rPr>
                  <w:rStyle w:val="Hyperlink"/>
                  <w:rFonts w:eastAsiaTheme="minorEastAsia"/>
                </w:rPr>
                <w:t>mambriss@qti.qualcomm.com</w:t>
              </w:r>
            </w:hyperlink>
            <w:r>
              <w:rPr>
                <w:rFonts w:eastAsiaTheme="minorEastAsia"/>
              </w:rPr>
              <w:t xml:space="preserve"> </w:t>
            </w: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r w:rsidR="00A8040F" w14:paraId="280BC017" w14:textId="77777777" w:rsidTr="00607876">
        <w:tc>
          <w:tcPr>
            <w:tcW w:w="1555" w:type="dxa"/>
          </w:tcPr>
          <w:p w14:paraId="025DADBC" w14:textId="33584147"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EDEBC5E" w14:textId="1698D392"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4966" w:type="dxa"/>
          </w:tcPr>
          <w:p w14:paraId="21ED4F66" w14:textId="77777777" w:rsidR="00A8040F" w:rsidRDefault="00A8040F" w:rsidP="00317964">
            <w:pPr>
              <w:spacing w:before="100" w:beforeAutospacing="1" w:after="100" w:afterAutospacing="1"/>
              <w:jc w:val="both"/>
              <w:rPr>
                <w:rFonts w:eastAsiaTheme="minorEastAsia"/>
                <w:bCs/>
                <w:kern w:val="2"/>
              </w:rPr>
            </w:pPr>
          </w:p>
        </w:tc>
      </w:tr>
      <w:tr w:rsidR="00CA0D92" w14:paraId="2E4BF269" w14:textId="77777777" w:rsidTr="00AC56F2">
        <w:tc>
          <w:tcPr>
            <w:tcW w:w="1555" w:type="dxa"/>
          </w:tcPr>
          <w:p w14:paraId="1784BBF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A2CB7B1"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bCs/>
                <w:kern w:val="2"/>
                <w:lang w:eastAsia="ko-KR"/>
              </w:rPr>
              <w:t>Yes (but see comments)</w:t>
            </w:r>
          </w:p>
        </w:tc>
        <w:tc>
          <w:tcPr>
            <w:tcW w:w="4966" w:type="dxa"/>
          </w:tcPr>
          <w:p w14:paraId="008FF8E4" w14:textId="77777777" w:rsidR="00CA0D92" w:rsidRDefault="00CA0D92" w:rsidP="00AC56F2">
            <w:pPr>
              <w:spacing w:before="100" w:beforeAutospacing="1" w:after="100" w:afterAutospacing="1"/>
              <w:jc w:val="both"/>
              <w:rPr>
                <w:rFonts w:eastAsiaTheme="minorEastAsia"/>
                <w:bCs/>
                <w:kern w:val="2"/>
              </w:rPr>
            </w:pPr>
            <w:r>
              <w:rPr>
                <w:rFonts w:eastAsiaTheme="minorEastAsia"/>
                <w:bCs/>
                <w:kern w:val="2"/>
              </w:rPr>
              <w:t>Agree with both Huawei and Apple: We can wait for the next RAN4 LS to resolve the issue brought up by Huawei. But if we don't get LS by next RAN2, then RAN2 should resolve the issue without waiting for RAN4.</w:t>
            </w:r>
          </w:p>
        </w:tc>
      </w:tr>
      <w:tr w:rsidR="00CA0D92" w14:paraId="6D921035" w14:textId="77777777" w:rsidTr="00607876">
        <w:tc>
          <w:tcPr>
            <w:tcW w:w="1555" w:type="dxa"/>
          </w:tcPr>
          <w:p w14:paraId="0C1A76A1" w14:textId="3B675FC7" w:rsidR="00CA0D92" w:rsidRDefault="00CA0D92" w:rsidP="00317964">
            <w:pPr>
              <w:spacing w:before="100" w:beforeAutospacing="1" w:after="100" w:afterAutospacing="1"/>
              <w:jc w:val="both"/>
              <w:rPr>
                <w:rFonts w:eastAsiaTheme="minorEastAsia"/>
                <w:bCs/>
                <w:kern w:val="2"/>
              </w:rPr>
            </w:pPr>
          </w:p>
        </w:tc>
        <w:tc>
          <w:tcPr>
            <w:tcW w:w="3113" w:type="dxa"/>
          </w:tcPr>
          <w:p w14:paraId="6E45AB85" w14:textId="2403A897" w:rsidR="00CA0D92" w:rsidRDefault="00CA0D92" w:rsidP="00317964">
            <w:pPr>
              <w:spacing w:before="100" w:beforeAutospacing="1" w:after="100" w:afterAutospacing="1"/>
              <w:jc w:val="both"/>
              <w:rPr>
                <w:rFonts w:eastAsiaTheme="minorEastAsia"/>
                <w:bCs/>
                <w:kern w:val="2"/>
              </w:rPr>
            </w:pPr>
          </w:p>
        </w:tc>
        <w:tc>
          <w:tcPr>
            <w:tcW w:w="4966" w:type="dxa"/>
          </w:tcPr>
          <w:p w14:paraId="01D1ED87" w14:textId="77777777" w:rsidR="00CA0D92" w:rsidRDefault="00CA0D92" w:rsidP="00317964">
            <w:pPr>
              <w:spacing w:before="100" w:beforeAutospacing="1" w:after="100" w:afterAutospacing="1"/>
              <w:jc w:val="both"/>
              <w:rPr>
                <w:rFonts w:eastAsiaTheme="minorEastAsia"/>
                <w:bCs/>
                <w:kern w:val="2"/>
              </w:rPr>
            </w:pP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t>Q3:</w:t>
            </w:r>
            <w:r w:rsidRPr="0051162C">
              <w:rPr>
                <w:sz w:val="20"/>
                <w:szCs w:val="20"/>
              </w:rPr>
              <w:t xml:space="preserve"> For FR2 UL gap timing reference configuration, whether the SFN/subframe of a FR2 serving cell or a FR1 serving cell (e.g., PCell, PSCell)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lastRenderedPageBreak/>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lastRenderedPageBreak/>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0A9C23F2"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RAN2 agreed to follow legacy FR2 gap design to allow P</w:t>
            </w:r>
            <w:r w:rsidR="006F0865">
              <w:rPr>
                <w:rFonts w:ascii="Arial" w:hAnsi="Arial" w:cs="Arial"/>
                <w:bCs/>
                <w:kern w:val="2"/>
                <w:sz w:val="20"/>
                <w:szCs w:val="20"/>
                <w:lang w:val="en-US"/>
              </w:rPr>
              <w:t>c</w:t>
            </w:r>
            <w:r>
              <w:rPr>
                <w:rFonts w:ascii="Arial" w:hAnsi="Arial" w:cs="Arial"/>
                <w:bCs/>
                <w:kern w:val="2"/>
                <w:sz w:val="20"/>
                <w:szCs w:val="20"/>
                <w:lang w:val="en-US"/>
              </w:rPr>
              <w:t>ell, PSCell or MCG FR2 serving cell as SFN timing reference, while RAN4 agreed that only FR2 serving cell can be the SFN timing reference.</w:t>
            </w:r>
          </w:p>
        </w:tc>
      </w:tr>
    </w:tbl>
    <w:p w14:paraId="0FEE54B6" w14:textId="75C1FDBC" w:rsidR="0019596B" w:rsidRDefault="0066492F" w:rsidP="0066492F">
      <w:pPr>
        <w:pStyle w:val="CommentText"/>
        <w:spacing w:before="100" w:beforeAutospacing="1" w:after="100" w:afterAutospacing="1"/>
      </w:pPr>
      <w:r>
        <w:t xml:space="preserve">[3] then presented an issue </w:t>
      </w:r>
      <w:r w:rsidRPr="0066492F">
        <w:t>with using P</w:t>
      </w:r>
      <w:r w:rsidR="006F0865" w:rsidRPr="0066492F">
        <w:t>c</w:t>
      </w:r>
      <w:r w:rsidRPr="0066492F">
        <w:t>ell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020F6B35"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In async DC deployment, the large MRTD between FR1 P</w:t>
            </w:r>
            <w:r w:rsidR="006F0865" w:rsidRPr="005E4CFC">
              <w:rPr>
                <w:rFonts w:ascii="Arial" w:hAnsi="Arial" w:cs="Arial"/>
                <w:b/>
                <w:kern w:val="2"/>
                <w:sz w:val="20"/>
                <w:szCs w:val="20"/>
                <w:lang w:val="en-US"/>
              </w:rPr>
              <w:t>c</w:t>
            </w:r>
            <w:r w:rsidRPr="005E4CFC">
              <w:rPr>
                <w:rFonts w:ascii="Arial" w:hAnsi="Arial" w:cs="Arial"/>
                <w:b/>
                <w:kern w:val="2"/>
                <w:sz w:val="20"/>
                <w:szCs w:val="20"/>
                <w:lang w:val="en-US"/>
              </w:rPr>
              <w:t xml:space="preserve">ell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217479F2"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P</w:t>
            </w:r>
            <w:r w:rsidR="006F0865" w:rsidRPr="007F74AD">
              <w:rPr>
                <w:bCs/>
                <w:kern w:val="2"/>
                <w:sz w:val="22"/>
              </w:rPr>
              <w:t>c</w:t>
            </w:r>
            <w:r w:rsidRPr="007F74AD">
              <w:rPr>
                <w:bCs/>
                <w:kern w:val="2"/>
                <w:sz w:val="22"/>
              </w:rPr>
              <w:t xml:space="preserve">ell)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when FR2 serving cells are configured as SCG S</w:t>
            </w:r>
            <w:r w:rsidR="006F0865" w:rsidRPr="007F74AD">
              <w:rPr>
                <w:bCs/>
                <w:kern w:val="2"/>
                <w:sz w:val="22"/>
              </w:rPr>
              <w:t>c</w:t>
            </w:r>
            <w:r w:rsidRPr="007F74AD">
              <w:rPr>
                <w:bCs/>
                <w:kern w:val="2"/>
                <w:sz w:val="22"/>
              </w:rPr>
              <w:t xml:space="preserve">ells, the MN </w:t>
            </w:r>
            <w:r w:rsidR="00163D4C" w:rsidRPr="007F74AD">
              <w:rPr>
                <w:bCs/>
                <w:kern w:val="2"/>
                <w:sz w:val="22"/>
              </w:rPr>
              <w:t>does not need</w:t>
            </w:r>
            <w:r w:rsidRPr="007F74AD">
              <w:rPr>
                <w:bCs/>
                <w:kern w:val="2"/>
                <w:sz w:val="22"/>
              </w:rPr>
              <w:t xml:space="preserve"> to monitor and track the timing of SCG S</w:t>
            </w:r>
            <w:r w:rsidR="006F0865" w:rsidRPr="007F74AD">
              <w:rPr>
                <w:bCs/>
                <w:kern w:val="2"/>
                <w:sz w:val="22"/>
              </w:rPr>
              <w:t>c</w:t>
            </w:r>
            <w:r w:rsidRPr="007F74AD">
              <w:rPr>
                <w:bCs/>
                <w:kern w:val="2"/>
                <w:sz w:val="22"/>
              </w:rPr>
              <w:t>e</w:t>
            </w:r>
            <w:r w:rsidR="00300B1C" w:rsidRPr="007F74AD">
              <w:rPr>
                <w:bCs/>
                <w:kern w:val="2"/>
                <w:sz w:val="22"/>
              </w:rPr>
              <w:t>lls</w:t>
            </w:r>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(MN) can use P</w:t>
            </w:r>
            <w:r w:rsidR="006F0865" w:rsidRPr="007F74AD">
              <w:rPr>
                <w:bCs/>
                <w:kern w:val="2"/>
                <w:sz w:val="22"/>
              </w:rPr>
              <w:t>c</w:t>
            </w:r>
            <w:r w:rsidRPr="007F74AD">
              <w:rPr>
                <w:bCs/>
                <w:kern w:val="2"/>
                <w:sz w:val="22"/>
              </w:rPr>
              <w:t xml:space="preserve">ell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4E315221"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S</w:t>
            </w:r>
            <w:r w:rsidR="006F0865" w:rsidRPr="007F74AD">
              <w:rPr>
                <w:bCs/>
                <w:kern w:val="2"/>
                <w:sz w:val="22"/>
              </w:rPr>
              <w:t>c</w:t>
            </w:r>
            <w:r w:rsidR="00163D4C" w:rsidRPr="007F74AD">
              <w:rPr>
                <w:bCs/>
                <w:kern w:val="2"/>
                <w:sz w:val="22"/>
              </w:rPr>
              <w:t>ells</w:t>
            </w:r>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4615127" w:rsidR="00740201" w:rsidRPr="00271E0E" w:rsidRDefault="006F0865"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Anyway, the network can use Pcell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lastRenderedPageBreak/>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9972529" w:rsidR="00317964" w:rsidRDefault="00317964" w:rsidP="00317964">
            <w:pPr>
              <w:spacing w:before="100" w:beforeAutospacing="1" w:after="100" w:afterAutospacing="1"/>
              <w:jc w:val="both"/>
              <w:rPr>
                <w:bCs/>
                <w:kern w:val="2"/>
                <w:sz w:val="22"/>
              </w:rPr>
            </w:pPr>
            <w:r>
              <w:rPr>
                <w:bCs/>
                <w:kern w:val="2"/>
                <w:sz w:val="22"/>
              </w:rPr>
              <w:t>As illustrated in our contribution R2-2202506, the large MRTD issue makes it not possible to use FR1 P</w:t>
            </w:r>
            <w:r w:rsidR="006F0865">
              <w:rPr>
                <w:bCs/>
                <w:kern w:val="2"/>
                <w:sz w:val="22"/>
              </w:rPr>
              <w:t>c</w:t>
            </w:r>
            <w:r>
              <w:rPr>
                <w:bCs/>
                <w:kern w:val="2"/>
                <w:sz w:val="22"/>
              </w:rPr>
              <w:t>ell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090698C7" w:rsidR="00317964" w:rsidRDefault="00317964" w:rsidP="00317964">
            <w:pPr>
              <w:spacing w:before="100" w:beforeAutospacing="1" w:after="100" w:afterAutospacing="1"/>
              <w:jc w:val="both"/>
              <w:rPr>
                <w:bCs/>
                <w:kern w:val="2"/>
                <w:sz w:val="22"/>
              </w:rPr>
            </w:pPr>
            <w:r>
              <w:rPr>
                <w:bCs/>
                <w:kern w:val="2"/>
                <w:sz w:val="22"/>
              </w:rPr>
              <w:t>For vivo’s comment, though we do not disagree that P</w:t>
            </w:r>
            <w:r w:rsidR="006F0865">
              <w:rPr>
                <w:bCs/>
                <w:kern w:val="2"/>
                <w:sz w:val="22"/>
              </w:rPr>
              <w:t>c</w:t>
            </w:r>
            <w:r>
              <w:rPr>
                <w:bCs/>
                <w:kern w:val="2"/>
                <w:sz w:val="22"/>
              </w:rPr>
              <w:t>ell can be used for sync DC, what we are trying here is to avoid capturing complicated text in RRC spec. For example, some text is needed to restrict that for async DC deployment with FR2 SCG, FR1 P</w:t>
            </w:r>
            <w:r w:rsidR="006F0865">
              <w:rPr>
                <w:bCs/>
                <w:kern w:val="2"/>
                <w:sz w:val="22"/>
              </w:rPr>
              <w:t>c</w:t>
            </w:r>
            <w:r>
              <w:rPr>
                <w:bCs/>
                <w:kern w:val="2"/>
                <w:sz w:val="22"/>
              </w:rPr>
              <w:t>ell can not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r w:rsidR="006F0865" w14:paraId="5B637197" w14:textId="77777777" w:rsidTr="00607876">
        <w:tc>
          <w:tcPr>
            <w:tcW w:w="1555" w:type="dxa"/>
          </w:tcPr>
          <w:p w14:paraId="722C8267" w14:textId="4F37C2B6" w:rsidR="006F0865" w:rsidRPr="006F0865" w:rsidRDefault="006F0865" w:rsidP="00317964">
            <w:pPr>
              <w:spacing w:before="100" w:beforeAutospacing="1" w:after="100" w:afterAutospacing="1"/>
              <w:jc w:val="both"/>
              <w:rPr>
                <w:rFonts w:eastAsiaTheme="minorEastAsia"/>
                <w:bCs/>
                <w:kern w:val="2"/>
              </w:rPr>
            </w:pPr>
            <w:r>
              <w:rPr>
                <w:rFonts w:eastAsiaTheme="minorEastAsia" w:hint="eastAsia"/>
                <w:bCs/>
                <w:kern w:val="2"/>
              </w:rPr>
              <w:t xml:space="preserve">CATT </w:t>
            </w:r>
          </w:p>
        </w:tc>
        <w:tc>
          <w:tcPr>
            <w:tcW w:w="3113" w:type="dxa"/>
          </w:tcPr>
          <w:p w14:paraId="3093A670" w14:textId="3C8CD987" w:rsidR="006F0865" w:rsidRPr="006F0865" w:rsidRDefault="006F0865"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2B64F6F9" w14:textId="77777777" w:rsidR="006F0865" w:rsidRDefault="006F0865" w:rsidP="00317964">
            <w:pPr>
              <w:spacing w:before="100" w:beforeAutospacing="1" w:after="100" w:afterAutospacing="1"/>
              <w:jc w:val="both"/>
              <w:rPr>
                <w:bCs/>
                <w:kern w:val="2"/>
                <w:sz w:val="22"/>
              </w:rPr>
            </w:pPr>
          </w:p>
        </w:tc>
      </w:tr>
      <w:tr w:rsidR="00CA0D92" w14:paraId="32772964" w14:textId="77777777" w:rsidTr="00AC56F2">
        <w:tc>
          <w:tcPr>
            <w:tcW w:w="1555" w:type="dxa"/>
          </w:tcPr>
          <w:p w14:paraId="0CC4E23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828260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3747117D" w14:textId="77777777" w:rsidR="00CA0D92" w:rsidRDefault="00CA0D92" w:rsidP="00AC56F2">
            <w:pPr>
              <w:spacing w:before="100" w:beforeAutospacing="1" w:after="100" w:afterAutospacing="1"/>
              <w:jc w:val="both"/>
              <w:rPr>
                <w:bCs/>
                <w:kern w:val="2"/>
                <w:sz w:val="22"/>
              </w:rPr>
            </w:pPr>
            <w:r>
              <w:rPr>
                <w:bCs/>
                <w:kern w:val="2"/>
                <w:sz w:val="22"/>
              </w:rPr>
              <w:t>We are fine not to consider FR2-FR2 DC (i.e. both MN and SN have FR2 serving cell(s)) as that use case is quite unlikely to be supported by any UE in the foreseeable future. But at least FR1-FR2 DC (i.e. only SN has FR2 serving cell(s)) has to be supported.</w:t>
            </w:r>
          </w:p>
          <w:p w14:paraId="3C76BE81" w14:textId="77777777" w:rsidR="00CA0D92" w:rsidRDefault="00CA0D92" w:rsidP="00AC56F2">
            <w:pPr>
              <w:spacing w:before="100" w:beforeAutospacing="1" w:after="100" w:afterAutospacing="1"/>
              <w:jc w:val="both"/>
              <w:rPr>
                <w:bCs/>
                <w:kern w:val="2"/>
                <w:sz w:val="22"/>
              </w:rPr>
            </w:pPr>
            <w:r>
              <w:rPr>
                <w:bCs/>
                <w:kern w:val="2"/>
                <w:sz w:val="22"/>
              </w:rPr>
              <w:t xml:space="preserve">Then on MN-SN coordination, if only SN has FR2 serving cells there are no problems assuming it's SN who provides the UL gap. The problems we have were created because companies wanted MN to provide the UL gap, even in cases where MN has no FR2 serving cells. </w:t>
            </w:r>
          </w:p>
        </w:tc>
      </w:tr>
      <w:tr w:rsidR="00CA0D92" w14:paraId="5084ABEF" w14:textId="77777777" w:rsidTr="00607876">
        <w:tc>
          <w:tcPr>
            <w:tcW w:w="1555" w:type="dxa"/>
          </w:tcPr>
          <w:p w14:paraId="3943A20F" w14:textId="77777777" w:rsidR="00CA0D92" w:rsidRDefault="00CA0D92" w:rsidP="00317964">
            <w:pPr>
              <w:spacing w:before="100" w:beforeAutospacing="1" w:after="100" w:afterAutospacing="1"/>
              <w:jc w:val="both"/>
              <w:rPr>
                <w:rFonts w:eastAsiaTheme="minorEastAsia"/>
                <w:bCs/>
                <w:kern w:val="2"/>
              </w:rPr>
            </w:pPr>
          </w:p>
        </w:tc>
        <w:tc>
          <w:tcPr>
            <w:tcW w:w="3113" w:type="dxa"/>
          </w:tcPr>
          <w:p w14:paraId="72ACE9C5" w14:textId="77777777" w:rsidR="00CA0D92" w:rsidRDefault="00CA0D92" w:rsidP="00317964">
            <w:pPr>
              <w:spacing w:before="100" w:beforeAutospacing="1" w:after="100" w:afterAutospacing="1"/>
              <w:jc w:val="both"/>
              <w:rPr>
                <w:rFonts w:eastAsiaTheme="minorEastAsia"/>
                <w:bCs/>
                <w:kern w:val="2"/>
                <w:sz w:val="22"/>
              </w:rPr>
            </w:pPr>
          </w:p>
        </w:tc>
        <w:tc>
          <w:tcPr>
            <w:tcW w:w="4966" w:type="dxa"/>
          </w:tcPr>
          <w:p w14:paraId="6E911FFA" w14:textId="77777777" w:rsidR="00CA0D92" w:rsidRDefault="00CA0D92" w:rsidP="00317964">
            <w:pPr>
              <w:spacing w:before="100" w:beforeAutospacing="1" w:after="100" w:afterAutospacing="1"/>
              <w:jc w:val="both"/>
              <w:rPr>
                <w:bCs/>
                <w:kern w:val="2"/>
                <w:sz w:val="22"/>
              </w:rPr>
            </w:pP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lastRenderedPageBreak/>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SCells,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81DE29C"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r w:rsidR="00F71A67" w14:paraId="3639121B" w14:textId="77777777" w:rsidTr="00607876">
        <w:tc>
          <w:tcPr>
            <w:tcW w:w="1555" w:type="dxa"/>
          </w:tcPr>
          <w:p w14:paraId="60812E1E" w14:textId="2783EAD7"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6D31F4C" w14:textId="3DD89EC9"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7C647DBF" w14:textId="77777777" w:rsidR="00F71A67" w:rsidRDefault="00F71A67" w:rsidP="00317964">
            <w:pPr>
              <w:spacing w:before="100" w:beforeAutospacing="1" w:after="100" w:afterAutospacing="1"/>
              <w:jc w:val="both"/>
              <w:rPr>
                <w:bCs/>
                <w:kern w:val="2"/>
                <w:sz w:val="22"/>
              </w:rPr>
            </w:pPr>
          </w:p>
        </w:tc>
      </w:tr>
      <w:tr w:rsidR="00CA0D92" w14:paraId="3003C948" w14:textId="77777777" w:rsidTr="00AC56F2">
        <w:tc>
          <w:tcPr>
            <w:tcW w:w="1555" w:type="dxa"/>
          </w:tcPr>
          <w:p w14:paraId="23D5D44C"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3E2A1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34E0D2CD" w14:textId="77777777" w:rsidR="00CA0D92" w:rsidRDefault="00CA0D92" w:rsidP="00AC56F2">
            <w:pPr>
              <w:spacing w:before="100" w:beforeAutospacing="1" w:after="100" w:afterAutospacing="1"/>
              <w:jc w:val="both"/>
              <w:rPr>
                <w:bCs/>
                <w:kern w:val="2"/>
                <w:sz w:val="22"/>
              </w:rPr>
            </w:pPr>
            <w:r>
              <w:rPr>
                <w:bCs/>
                <w:kern w:val="2"/>
                <w:sz w:val="22"/>
              </w:rPr>
              <w:t xml:space="preserve">P4 means SN provides the UL gap configuration to MN, either via XnAP or via RRC INM. In either case, we think the configuration has to be such that MN need not decode the configuration. So the MN-SN coordination </w:t>
            </w:r>
            <w:r w:rsidRPr="000B24FB">
              <w:rPr>
                <w:b/>
                <w:kern w:val="2"/>
                <w:sz w:val="22"/>
                <w:u w:val="single"/>
              </w:rPr>
              <w:t>is required</w:t>
            </w:r>
            <w:r>
              <w:rPr>
                <w:bCs/>
                <w:kern w:val="2"/>
                <w:sz w:val="22"/>
              </w:rPr>
              <w:t xml:space="preserve"> in the sense that SN provides the configuration to MN, who sends it to UE. We can discuss the final details in CR discussion. </w:t>
            </w:r>
          </w:p>
        </w:tc>
      </w:tr>
      <w:tr w:rsidR="00CA0D92" w14:paraId="72F7B489" w14:textId="77777777" w:rsidTr="00607876">
        <w:tc>
          <w:tcPr>
            <w:tcW w:w="1555" w:type="dxa"/>
          </w:tcPr>
          <w:p w14:paraId="14BDE538" w14:textId="77777777" w:rsidR="00CA0D92" w:rsidRDefault="00CA0D92" w:rsidP="00317964">
            <w:pPr>
              <w:spacing w:before="100" w:beforeAutospacing="1" w:after="100" w:afterAutospacing="1"/>
              <w:jc w:val="both"/>
              <w:rPr>
                <w:rFonts w:eastAsiaTheme="minorEastAsia"/>
                <w:bCs/>
                <w:kern w:val="2"/>
              </w:rPr>
            </w:pPr>
          </w:p>
        </w:tc>
        <w:tc>
          <w:tcPr>
            <w:tcW w:w="3113" w:type="dxa"/>
          </w:tcPr>
          <w:p w14:paraId="540F6511" w14:textId="77777777" w:rsidR="00CA0D92" w:rsidRDefault="00CA0D92" w:rsidP="00317964">
            <w:pPr>
              <w:spacing w:before="100" w:beforeAutospacing="1" w:after="100" w:afterAutospacing="1"/>
              <w:jc w:val="both"/>
              <w:rPr>
                <w:rFonts w:eastAsiaTheme="minorEastAsia"/>
                <w:bCs/>
                <w:kern w:val="2"/>
                <w:sz w:val="22"/>
              </w:rPr>
            </w:pPr>
          </w:p>
        </w:tc>
        <w:tc>
          <w:tcPr>
            <w:tcW w:w="4966" w:type="dxa"/>
          </w:tcPr>
          <w:p w14:paraId="6DA52134" w14:textId="77777777" w:rsidR="00CA0D92" w:rsidRDefault="00CA0D92" w:rsidP="00317964">
            <w:pPr>
              <w:spacing w:before="100" w:beforeAutospacing="1" w:after="100" w:afterAutospacing="1"/>
              <w:jc w:val="both"/>
              <w:rPr>
                <w:bCs/>
                <w:kern w:val="2"/>
                <w:sz w:val="22"/>
              </w:rPr>
            </w:pP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7F78EA58" w:rsidR="00617C63" w:rsidRDefault="00617C63" w:rsidP="00617C63">
      <w:pPr>
        <w:pStyle w:val="CommentText"/>
        <w:spacing w:before="100" w:beforeAutospacing="1" w:after="100" w:afterAutospacing="1"/>
      </w:pPr>
      <w:r>
        <w:t xml:space="preserve">RAN4 indicated in [1] that there is no FR2-FR2 band combination specified for NR-DC in RAN4 and leaves it to RAN2 to decide whether to support it from </w:t>
      </w:r>
      <w:r w:rsidR="00F71A67">
        <w:pgNum/>
      </w:r>
      <w:r w:rsidR="00F71A67">
        <w:t>ignaling</w:t>
      </w:r>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lastRenderedPageBreak/>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signalling</w:t>
      </w:r>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477F92B2"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Huawei, HiSilicon</w:t>
            </w:r>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ECA0B34" w14:textId="60297098"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As there is no FR2-FR2 band comb for NR-DC, there is no need to support it from signalling perspective at this very late stage. </w:t>
            </w:r>
          </w:p>
        </w:tc>
      </w:tr>
      <w:tr w:rsidR="00F71A67" w14:paraId="05F3E455" w14:textId="77777777" w:rsidTr="00607876">
        <w:tc>
          <w:tcPr>
            <w:tcW w:w="1555" w:type="dxa"/>
          </w:tcPr>
          <w:p w14:paraId="07C3937F" w14:textId="4988CC79"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74FE1C51" w14:textId="29C77A71"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Option 2</w:t>
            </w:r>
          </w:p>
        </w:tc>
        <w:tc>
          <w:tcPr>
            <w:tcW w:w="4966" w:type="dxa"/>
          </w:tcPr>
          <w:p w14:paraId="53913D92" w14:textId="090D0690" w:rsidR="00F71A67" w:rsidRPr="00F71A67" w:rsidRDefault="00F71A67" w:rsidP="00317964">
            <w:pPr>
              <w:spacing w:before="100" w:beforeAutospacing="1" w:after="100" w:afterAutospacing="1"/>
              <w:jc w:val="both"/>
              <w:rPr>
                <w:rFonts w:eastAsiaTheme="minorEastAsia"/>
                <w:bCs/>
                <w:kern w:val="2"/>
                <w:sz w:val="22"/>
              </w:rPr>
            </w:pPr>
          </w:p>
        </w:tc>
      </w:tr>
      <w:tr w:rsidR="00CA0D92" w14:paraId="0AD1E006" w14:textId="77777777" w:rsidTr="00CA0D92">
        <w:tc>
          <w:tcPr>
            <w:tcW w:w="1555" w:type="dxa"/>
          </w:tcPr>
          <w:p w14:paraId="73B76298"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lastRenderedPageBreak/>
              <w:t>Nokia, Nokia Shanghai Bell</w:t>
            </w:r>
          </w:p>
        </w:tc>
        <w:tc>
          <w:tcPr>
            <w:tcW w:w="3113" w:type="dxa"/>
          </w:tcPr>
          <w:p w14:paraId="5D4E5EF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229D6253"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Samsung: FR2-FR2 DC seems unlikely to be supported by any UEs in the foreseeable future.</w:t>
            </w:r>
          </w:p>
        </w:tc>
      </w:tr>
    </w:tbl>
    <w:p w14:paraId="13CAB5E0" w14:textId="7BE2F273" w:rsidR="00617C63" w:rsidRPr="00F71A67" w:rsidRDefault="00617C63" w:rsidP="00541C22">
      <w:pPr>
        <w:pStyle w:val="CommentText"/>
        <w:spacing w:before="100" w:beforeAutospacing="1" w:after="100" w:afterAutospacing="1"/>
        <w:rPr>
          <w:rFonts w:eastAsiaTheme="minorEastAsia"/>
        </w:rPr>
      </w:pPr>
    </w:p>
    <w:p w14:paraId="302F5CD3" w14:textId="309AC73B"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SCells are FR2, but MCG and PSCell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RAN2 .</w:t>
            </w:r>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t>For ZTE’s comment, indeed if we strictly follow RAN4 agreement that only FR2 serving cell is used as timing reference, some extra coordination to exchange FR2 SCG SCell(s) addition/release is needed.</w:t>
            </w:r>
          </w:p>
        </w:tc>
      </w:tr>
      <w:tr w:rsidR="00CA0D92" w14:paraId="5B527AB0" w14:textId="77777777" w:rsidTr="00AC56F2">
        <w:tc>
          <w:tcPr>
            <w:tcW w:w="1555" w:type="dxa"/>
          </w:tcPr>
          <w:p w14:paraId="25447652" w14:textId="77777777" w:rsidR="00CA0D92" w:rsidRDefault="00CA0D92" w:rsidP="00AC56F2">
            <w:pPr>
              <w:spacing w:before="100" w:beforeAutospacing="1" w:after="100" w:afterAutospacing="1"/>
              <w:jc w:val="both"/>
              <w:rPr>
                <w:bCs/>
                <w:kern w:val="2"/>
              </w:rPr>
            </w:pPr>
            <w:r>
              <w:rPr>
                <w:rFonts w:eastAsia="Malgun Gothic"/>
                <w:lang w:eastAsia="ko-KR"/>
              </w:rPr>
              <w:t>Nokia, Nokia Shanghai Bell</w:t>
            </w:r>
          </w:p>
        </w:tc>
        <w:tc>
          <w:tcPr>
            <w:tcW w:w="3113" w:type="dxa"/>
          </w:tcPr>
          <w:p w14:paraId="4E7BE3E2" w14:textId="77777777" w:rsidR="00CA0D92" w:rsidRPr="007F74AD" w:rsidRDefault="00CA0D92" w:rsidP="00AC56F2">
            <w:pPr>
              <w:spacing w:before="100" w:beforeAutospacing="1" w:after="100" w:afterAutospacing="1"/>
              <w:jc w:val="both"/>
              <w:rPr>
                <w:bCs/>
                <w:kern w:val="2"/>
                <w:sz w:val="22"/>
              </w:rPr>
            </w:pPr>
            <w:r>
              <w:rPr>
                <w:bCs/>
                <w:kern w:val="2"/>
                <w:sz w:val="22"/>
              </w:rPr>
              <w:t>Yes</w:t>
            </w:r>
          </w:p>
        </w:tc>
        <w:tc>
          <w:tcPr>
            <w:tcW w:w="4966" w:type="dxa"/>
          </w:tcPr>
          <w:p w14:paraId="01E22282" w14:textId="77777777" w:rsidR="00CA0D92" w:rsidRPr="007F74AD" w:rsidRDefault="00CA0D92" w:rsidP="00AC56F2">
            <w:pPr>
              <w:spacing w:before="100" w:beforeAutospacing="1" w:after="100" w:afterAutospacing="1"/>
              <w:jc w:val="both"/>
              <w:rPr>
                <w:bCs/>
                <w:kern w:val="2"/>
                <w:sz w:val="22"/>
              </w:rPr>
            </w:pPr>
            <w:r>
              <w:rPr>
                <w:bCs/>
                <w:kern w:val="2"/>
                <w:sz w:val="22"/>
              </w:rPr>
              <w:t xml:space="preserve">Although we think FR2-FR2 DC need not be supported, if we go that way then limiting to sync </w:t>
            </w:r>
            <w:r>
              <w:rPr>
                <w:bCs/>
                <w:kern w:val="2"/>
                <w:sz w:val="22"/>
              </w:rPr>
              <w:lastRenderedPageBreak/>
              <w:t>cases seems reasonable (since FR2 is anyway TDD only, synchronization is anyway necessary).</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[ms]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[ms]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r w:rsidR="00B57C0B" w14:paraId="789092BA" w14:textId="77777777" w:rsidTr="00607876">
        <w:tc>
          <w:tcPr>
            <w:tcW w:w="1555" w:type="dxa"/>
          </w:tcPr>
          <w:p w14:paraId="7D8C6585" w14:textId="333E45E1"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E1F963B" w14:textId="78094E71" w:rsidR="00B57C0B" w:rsidRPr="00B57C0B" w:rsidRDefault="00B57C0B"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6CD31319" w14:textId="77777777" w:rsidR="00B57C0B" w:rsidRPr="007F74AD" w:rsidRDefault="00B57C0B" w:rsidP="00317964">
            <w:pPr>
              <w:spacing w:before="100" w:beforeAutospacing="1" w:after="100" w:afterAutospacing="1"/>
              <w:jc w:val="both"/>
              <w:rPr>
                <w:bCs/>
                <w:kern w:val="2"/>
                <w:sz w:val="22"/>
              </w:rPr>
            </w:pPr>
          </w:p>
        </w:tc>
      </w:tr>
      <w:tr w:rsidR="00CA0D92" w14:paraId="1508A853" w14:textId="77777777" w:rsidTr="00CA0D92">
        <w:tc>
          <w:tcPr>
            <w:tcW w:w="1555" w:type="dxa"/>
          </w:tcPr>
          <w:p w14:paraId="7C13DBD3"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20E530DB"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(see comments)</w:t>
            </w:r>
          </w:p>
        </w:tc>
        <w:tc>
          <w:tcPr>
            <w:tcW w:w="4966" w:type="dxa"/>
          </w:tcPr>
          <w:p w14:paraId="138FF723" w14:textId="77777777" w:rsidR="00CA0D92" w:rsidRPr="007F74AD" w:rsidRDefault="00CA0D92" w:rsidP="00AC56F2">
            <w:pPr>
              <w:spacing w:before="100" w:beforeAutospacing="1" w:after="100" w:afterAutospacing="1"/>
              <w:jc w:val="both"/>
              <w:rPr>
                <w:bCs/>
                <w:kern w:val="2"/>
                <w:sz w:val="22"/>
              </w:rPr>
            </w:pPr>
            <w:r>
              <w:rPr>
                <w:bCs/>
                <w:kern w:val="2"/>
                <w:sz w:val="22"/>
              </w:rPr>
              <w:t>We assume then that all UEs support all of these values, and it is up to network to determine which values to configure.</w:t>
            </w: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lastRenderedPageBreak/>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4E2EAE38" w:rsidR="007773E0" w:rsidRPr="004509FC" w:rsidRDefault="00B57C0B"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 xml:space="preserve">UE assistance could be useful considering the purpose of FR2 UL gap, but it may not be essential. Fine to follow majority view. </w:t>
            </w:r>
          </w:p>
        </w:tc>
      </w:tr>
      <w:tr w:rsidR="00B57C0B" w14:paraId="79C55F74" w14:textId="77777777" w:rsidTr="00607876">
        <w:tc>
          <w:tcPr>
            <w:tcW w:w="1555" w:type="dxa"/>
          </w:tcPr>
          <w:p w14:paraId="4FAF32F0" w14:textId="5F29808A"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F4207FE" w14:textId="6FDE803E" w:rsidR="00B57C0B" w:rsidRDefault="00B57C0B"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33956D7" w14:textId="77777777" w:rsidR="00B57C0B" w:rsidRDefault="00B57C0B" w:rsidP="00317964">
            <w:pPr>
              <w:spacing w:before="100" w:beforeAutospacing="1" w:after="100" w:afterAutospacing="1"/>
              <w:jc w:val="both"/>
              <w:rPr>
                <w:rFonts w:eastAsia="Malgun Gothic"/>
                <w:bCs/>
                <w:kern w:val="2"/>
                <w:sz w:val="22"/>
                <w:lang w:eastAsia="ko-KR"/>
              </w:rPr>
            </w:pPr>
          </w:p>
        </w:tc>
      </w:tr>
      <w:tr w:rsidR="00CA0D92" w14:paraId="0013743D" w14:textId="77777777" w:rsidTr="00AC56F2">
        <w:tc>
          <w:tcPr>
            <w:tcW w:w="1555" w:type="dxa"/>
          </w:tcPr>
          <w:p w14:paraId="03232DB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79E7F6D" w14:textId="0D32AA20"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168B7BA7" w14:textId="39248270"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This would still be UE preference, not necessarly what NW configures. For example, UE might request 0.125ms but network could assign 1ms instead.</w:t>
            </w:r>
          </w:p>
        </w:tc>
      </w:tr>
      <w:tr w:rsidR="00CA0D92" w14:paraId="0B883342" w14:textId="77777777" w:rsidTr="00607876">
        <w:tc>
          <w:tcPr>
            <w:tcW w:w="1555" w:type="dxa"/>
          </w:tcPr>
          <w:p w14:paraId="1B8F6686" w14:textId="77777777" w:rsidR="00CA0D92" w:rsidRDefault="00CA0D92" w:rsidP="00317964">
            <w:pPr>
              <w:spacing w:before="100" w:beforeAutospacing="1" w:after="100" w:afterAutospacing="1"/>
              <w:jc w:val="both"/>
              <w:rPr>
                <w:rFonts w:eastAsiaTheme="minorEastAsia"/>
                <w:bCs/>
                <w:kern w:val="2"/>
              </w:rPr>
            </w:pPr>
          </w:p>
        </w:tc>
        <w:tc>
          <w:tcPr>
            <w:tcW w:w="3113" w:type="dxa"/>
          </w:tcPr>
          <w:p w14:paraId="675CE331" w14:textId="77777777" w:rsidR="00CA0D92" w:rsidRDefault="00CA0D92" w:rsidP="00317964">
            <w:pPr>
              <w:spacing w:before="100" w:beforeAutospacing="1" w:after="100" w:afterAutospacing="1"/>
              <w:jc w:val="both"/>
              <w:rPr>
                <w:rFonts w:eastAsia="Malgun Gothic"/>
                <w:bCs/>
                <w:kern w:val="2"/>
                <w:sz w:val="22"/>
                <w:lang w:eastAsia="ko-KR"/>
              </w:rPr>
            </w:pPr>
          </w:p>
        </w:tc>
        <w:tc>
          <w:tcPr>
            <w:tcW w:w="4966" w:type="dxa"/>
          </w:tcPr>
          <w:p w14:paraId="7184B7B3" w14:textId="77777777" w:rsidR="00CA0D92" w:rsidRDefault="00CA0D92" w:rsidP="00317964">
            <w:pPr>
              <w:spacing w:before="100" w:beforeAutospacing="1" w:after="100" w:afterAutospacing="1"/>
              <w:jc w:val="both"/>
              <w:rPr>
                <w:rFonts w:eastAsia="Malgun Gothic"/>
                <w:bCs/>
                <w:kern w:val="2"/>
                <w:sz w:val="22"/>
                <w:lang w:eastAsia="ko-KR"/>
              </w:rPr>
            </w:pP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lastRenderedPageBreak/>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like  tofollow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r w:rsidR="00B57C0B" w14:paraId="48CC39CA" w14:textId="77777777" w:rsidTr="00317964">
        <w:tc>
          <w:tcPr>
            <w:tcW w:w="1214" w:type="dxa"/>
          </w:tcPr>
          <w:p w14:paraId="147DEE5F" w14:textId="53E05BB3"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1274" w:type="dxa"/>
          </w:tcPr>
          <w:p w14:paraId="3E2E6CA8" w14:textId="435D6F86"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160B4113" w14:textId="77777777" w:rsidR="00B57C0B" w:rsidRDefault="00B57C0B" w:rsidP="00317964">
            <w:pPr>
              <w:spacing w:before="100" w:beforeAutospacing="1" w:after="100" w:afterAutospacing="1"/>
              <w:jc w:val="both"/>
              <w:rPr>
                <w:bCs/>
                <w:kern w:val="2"/>
              </w:rPr>
            </w:pPr>
          </w:p>
        </w:tc>
      </w:tr>
      <w:tr w:rsidR="00CA0D92" w14:paraId="25876268" w14:textId="77777777" w:rsidTr="00CA0D92">
        <w:tc>
          <w:tcPr>
            <w:tcW w:w="1214" w:type="dxa"/>
          </w:tcPr>
          <w:p w14:paraId="5B5A7114"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1274" w:type="dxa"/>
          </w:tcPr>
          <w:p w14:paraId="37B0EAAD"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bCs/>
                <w:kern w:val="2"/>
                <w:lang w:eastAsia="ko-KR"/>
              </w:rPr>
              <w:t>Yes</w:t>
            </w:r>
          </w:p>
        </w:tc>
        <w:tc>
          <w:tcPr>
            <w:tcW w:w="7146" w:type="dxa"/>
          </w:tcPr>
          <w:p w14:paraId="1927C398" w14:textId="77777777" w:rsidR="00CA0D92" w:rsidRDefault="00CA0D92" w:rsidP="00AC56F2">
            <w:pPr>
              <w:spacing w:before="100" w:beforeAutospacing="1" w:after="100" w:afterAutospacing="1"/>
              <w:jc w:val="both"/>
              <w:rPr>
                <w:bCs/>
                <w:kern w:val="2"/>
              </w:rPr>
            </w:pPr>
            <w:r>
              <w:rPr>
                <w:bCs/>
                <w:kern w:val="2"/>
              </w:rPr>
              <w:t>RACH is normally prioritized over other processes since it can be critical.</w:t>
            </w: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lastRenderedPageBreak/>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F04F09C" w:rsidR="0059198E" w:rsidRPr="002433A8" w:rsidRDefault="00EA17DC"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4509FC">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 xml:space="preserve">We have similar questions as Huawei/ZTE. </w:t>
            </w:r>
          </w:p>
        </w:tc>
      </w:tr>
      <w:tr w:rsidR="00B57C0B" w14:paraId="4459824C" w14:textId="77777777" w:rsidTr="00607876">
        <w:tc>
          <w:tcPr>
            <w:tcW w:w="1555" w:type="dxa"/>
          </w:tcPr>
          <w:p w14:paraId="467921B9" w14:textId="03E60BF8" w:rsidR="00B57C0B" w:rsidRPr="00EA17DC" w:rsidRDefault="00EA17DC"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300F900C" w14:textId="695CF3BE" w:rsidR="00B57C0B" w:rsidRPr="00CF48C1" w:rsidRDefault="00CF48C1" w:rsidP="00317964">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w:t>
            </w:r>
          </w:p>
        </w:tc>
        <w:tc>
          <w:tcPr>
            <w:tcW w:w="4966" w:type="dxa"/>
          </w:tcPr>
          <w:p w14:paraId="6015EE08" w14:textId="4464C817" w:rsidR="00B57C0B" w:rsidRPr="00EA17DC" w:rsidRDefault="00EA17DC" w:rsidP="00CF48C1">
            <w:pPr>
              <w:spacing w:before="100" w:beforeAutospacing="1" w:after="100" w:afterAutospacing="1"/>
              <w:jc w:val="both"/>
              <w:rPr>
                <w:rFonts w:eastAsiaTheme="minorEastAsia"/>
                <w:bCs/>
                <w:kern w:val="2"/>
                <w:sz w:val="22"/>
                <w:szCs w:val="22"/>
              </w:rPr>
            </w:pPr>
            <w:r>
              <w:rPr>
                <w:rFonts w:eastAsia="Malgun Gothic" w:hint="eastAsia"/>
                <w:bCs/>
                <w:kern w:val="2"/>
                <w:sz w:val="22"/>
                <w:szCs w:val="22"/>
                <w:lang w:eastAsia="ko-KR"/>
              </w:rPr>
              <w:t>We</w:t>
            </w:r>
            <w:r>
              <w:rPr>
                <w:rFonts w:eastAsiaTheme="minorEastAsia" w:hint="eastAsia"/>
                <w:bCs/>
                <w:kern w:val="2"/>
                <w:sz w:val="22"/>
                <w:szCs w:val="22"/>
              </w:rPr>
              <w:t xml:space="preserve"> respect to RAN4 decision, but want to confirm whether a common UL gap will be used for part of FR2 bands, or </w:t>
            </w:r>
            <w:r>
              <w:rPr>
                <w:rFonts w:eastAsiaTheme="minorEastAsia"/>
                <w:bCs/>
                <w:kern w:val="2"/>
                <w:sz w:val="22"/>
                <w:szCs w:val="22"/>
              </w:rPr>
              <w:t>the</w:t>
            </w:r>
            <w:r>
              <w:rPr>
                <w:rFonts w:eastAsiaTheme="minorEastAsia" w:hint="eastAsia"/>
                <w:bCs/>
                <w:kern w:val="2"/>
                <w:sz w:val="22"/>
                <w:szCs w:val="22"/>
              </w:rPr>
              <w:t xml:space="preserve"> </w:t>
            </w:r>
            <w:r w:rsidR="00CF48C1">
              <w:rPr>
                <w:rFonts w:eastAsiaTheme="minorEastAsia" w:hint="eastAsia"/>
                <w:bCs/>
                <w:kern w:val="2"/>
                <w:sz w:val="22"/>
                <w:szCs w:val="22"/>
              </w:rPr>
              <w:t>number of UL gap for FR2 bands</w:t>
            </w:r>
            <w:r>
              <w:rPr>
                <w:rFonts w:eastAsiaTheme="minorEastAsia" w:hint="eastAsia"/>
                <w:bCs/>
                <w:kern w:val="2"/>
                <w:sz w:val="22"/>
                <w:szCs w:val="22"/>
              </w:rPr>
              <w:t xml:space="preserve">. </w:t>
            </w:r>
          </w:p>
        </w:tc>
      </w:tr>
      <w:tr w:rsidR="00CA0D92" w14:paraId="2C834641" w14:textId="77777777" w:rsidTr="00CA0D92">
        <w:tc>
          <w:tcPr>
            <w:tcW w:w="1555" w:type="dxa"/>
          </w:tcPr>
          <w:p w14:paraId="62E18249"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005006C3" w14:textId="38E73FC0"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w:t>
            </w:r>
          </w:p>
        </w:tc>
        <w:tc>
          <w:tcPr>
            <w:tcW w:w="4966" w:type="dxa"/>
          </w:tcPr>
          <w:p w14:paraId="46852026" w14:textId="77777777"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Why would the UE not support the same gap patterns for all of FR2? This is something UE either needs or doesn't, and it doesn't really seem dependent on band. </w:t>
            </w:r>
            <w:r>
              <w:rPr>
                <w:rFonts w:eastAsia="Malgun Gothic"/>
                <w:bCs/>
                <w:kern w:val="2"/>
                <w:sz w:val="22"/>
                <w:szCs w:val="22"/>
                <w:lang w:eastAsia="ko-KR"/>
              </w:rPr>
              <w:lastRenderedPageBreak/>
              <w:t>What is the technical justification for requiring per-band capability?</w:t>
            </w:r>
          </w:p>
          <w:p w14:paraId="7D51219C" w14:textId="1AF9041A"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Generally, we think splitting this capability to many parts just makes it less usable. UE should just support all the patterns or nothing.</w:t>
            </w:r>
          </w:p>
        </w:tc>
      </w:tr>
      <w:tr w:rsidR="00EA23FE" w14:paraId="5B332179" w14:textId="77777777" w:rsidTr="00CA0D92">
        <w:tc>
          <w:tcPr>
            <w:tcW w:w="1555" w:type="dxa"/>
          </w:tcPr>
          <w:p w14:paraId="35BBB5D7" w14:textId="5322D8CF" w:rsidR="00EA23FE" w:rsidRDefault="00EA23FE" w:rsidP="00AC56F2">
            <w:pPr>
              <w:spacing w:before="100" w:beforeAutospacing="1" w:after="100" w:afterAutospacing="1"/>
              <w:jc w:val="both"/>
              <w:rPr>
                <w:rFonts w:eastAsia="Malgun Gothic"/>
                <w:lang w:eastAsia="ko-KR"/>
              </w:rPr>
            </w:pPr>
            <w:r>
              <w:rPr>
                <w:rFonts w:eastAsia="Malgun Gothic"/>
                <w:lang w:eastAsia="ko-KR"/>
              </w:rPr>
              <w:lastRenderedPageBreak/>
              <w:t>Qualcomm Incorporated</w:t>
            </w:r>
          </w:p>
        </w:tc>
        <w:tc>
          <w:tcPr>
            <w:tcW w:w="3113" w:type="dxa"/>
          </w:tcPr>
          <w:p w14:paraId="7D3BDC3B" w14:textId="791043EE" w:rsidR="00EA23FE" w:rsidRDefault="003E751C"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Yes</w:t>
            </w:r>
          </w:p>
        </w:tc>
        <w:tc>
          <w:tcPr>
            <w:tcW w:w="4966" w:type="dxa"/>
          </w:tcPr>
          <w:p w14:paraId="3059DF27" w14:textId="64B7BFC2" w:rsidR="00EA23FE" w:rsidRDefault="003611F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Different requirements are expected for different FR2 bands, it’s recommended to define the capability per band (as indicated by RAN4). </w:t>
            </w:r>
          </w:p>
          <w:p w14:paraId="7C7CCF8C" w14:textId="28F15E60" w:rsidR="003E751C" w:rsidRDefault="003611F2" w:rsidP="00226D6F">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Whether RAN4 decides to have the </w:t>
            </w:r>
            <w:r w:rsidR="004B60BC">
              <w:rPr>
                <w:rFonts w:eastAsia="Malgun Gothic"/>
                <w:bCs/>
                <w:kern w:val="2"/>
                <w:sz w:val="22"/>
                <w:szCs w:val="22"/>
                <w:lang w:eastAsia="ko-KR"/>
              </w:rPr>
              <w:t xml:space="preserve">UL gap to be applicable across all FR2 bands or only across the bands that support this feature, it’s a completely different discussion and it shouldn’t be addressed </w:t>
            </w:r>
            <w:r w:rsidR="00226D6F">
              <w:rPr>
                <w:rFonts w:eastAsia="Malgun Gothic"/>
                <w:bCs/>
                <w:kern w:val="2"/>
                <w:sz w:val="22"/>
                <w:szCs w:val="22"/>
                <w:lang w:eastAsia="ko-KR"/>
              </w:rPr>
              <w:t>in this question (RAN4 to decide).</w:t>
            </w: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a) gapOffset</w:t>
      </w:r>
    </w:p>
    <w:p w14:paraId="7CCA6256" w14:textId="77777777" w:rsidR="001110F7" w:rsidRPr="00AD1C09" w:rsidRDefault="001110F7" w:rsidP="001110F7">
      <w:pPr>
        <w:pStyle w:val="Agreement"/>
        <w:numPr>
          <w:ilvl w:val="0"/>
          <w:numId w:val="0"/>
        </w:numPr>
        <w:ind w:left="1620"/>
      </w:pPr>
      <w:r w:rsidRPr="00AD1C09">
        <w:t>b) ugl</w:t>
      </w:r>
    </w:p>
    <w:p w14:paraId="7B2B6C95" w14:textId="77777777" w:rsidR="001110F7" w:rsidRPr="00AD1C09" w:rsidRDefault="001110F7" w:rsidP="001110F7">
      <w:pPr>
        <w:pStyle w:val="Agreement"/>
        <w:numPr>
          <w:ilvl w:val="0"/>
          <w:numId w:val="0"/>
        </w:numPr>
        <w:ind w:left="1620"/>
      </w:pPr>
      <w:r w:rsidRPr="00AD1C09">
        <w:t>c) ugrp</w:t>
      </w:r>
    </w:p>
    <w:p w14:paraId="4BF18D55" w14:textId="77777777" w:rsidR="001110F7" w:rsidRDefault="001110F7" w:rsidP="001110F7">
      <w:pPr>
        <w:pStyle w:val="Agreement"/>
        <w:tabs>
          <w:tab w:val="clear" w:pos="1494"/>
          <w:tab w:val="num" w:pos="1620"/>
        </w:tabs>
        <w:ind w:left="1620"/>
      </w:pPr>
      <w:r w:rsidRPr="00C11DEC">
        <w:lastRenderedPageBreak/>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r w:rsidRPr="00A93C90">
        <w:rPr>
          <w:i/>
          <w:iCs/>
        </w:rPr>
        <w:t>refServCellIndicator</w:t>
      </w:r>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subframe of the serving cell indicated by the </w:t>
      </w:r>
      <w:r w:rsidRPr="00A93C90">
        <w:rPr>
          <w:i/>
          <w:iCs/>
        </w:rPr>
        <w:t xml:space="preserve">refServCellIndicator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lastRenderedPageBreak/>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1"/>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55AD" w14:textId="77777777" w:rsidR="008E493B" w:rsidRDefault="008E493B">
      <w:r>
        <w:separator/>
      </w:r>
    </w:p>
  </w:endnote>
  <w:endnote w:type="continuationSeparator" w:id="0">
    <w:p w14:paraId="65EE792C" w14:textId="77777777" w:rsidR="008E493B" w:rsidRDefault="008E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F71A67" w:rsidRDefault="00F71A67"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5BAD" w14:textId="77777777" w:rsidR="008E493B" w:rsidRDefault="008E493B">
      <w:r>
        <w:separator/>
      </w:r>
    </w:p>
  </w:footnote>
  <w:footnote w:type="continuationSeparator" w:id="0">
    <w:p w14:paraId="59CAF408" w14:textId="77777777" w:rsidR="008E493B" w:rsidRDefault="008E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74272"/>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6D6F"/>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30CD"/>
    <w:rsid w:val="002B4977"/>
    <w:rsid w:val="002B56E3"/>
    <w:rsid w:val="002B5D80"/>
    <w:rsid w:val="002B6339"/>
    <w:rsid w:val="002B7D65"/>
    <w:rsid w:val="002C0098"/>
    <w:rsid w:val="002C1478"/>
    <w:rsid w:val="002C196A"/>
    <w:rsid w:val="002C4431"/>
    <w:rsid w:val="002D34C8"/>
    <w:rsid w:val="002D3C3B"/>
    <w:rsid w:val="002D4822"/>
    <w:rsid w:val="002D653E"/>
    <w:rsid w:val="002E00EE"/>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11F2"/>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51C"/>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86103"/>
    <w:rsid w:val="005907D7"/>
    <w:rsid w:val="0059198E"/>
    <w:rsid w:val="00592DF3"/>
    <w:rsid w:val="005973BE"/>
    <w:rsid w:val="005A0E6C"/>
    <w:rsid w:val="005A2654"/>
    <w:rsid w:val="005A48E2"/>
    <w:rsid w:val="005A5986"/>
    <w:rsid w:val="005A5EE8"/>
    <w:rsid w:val="005B0515"/>
    <w:rsid w:val="005B353B"/>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CD1"/>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14EF"/>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1F79"/>
    <w:rsid w:val="009B2BF9"/>
    <w:rsid w:val="009B3A42"/>
    <w:rsid w:val="009B4B9C"/>
    <w:rsid w:val="009B53A1"/>
    <w:rsid w:val="009B7149"/>
    <w:rsid w:val="009C13A7"/>
    <w:rsid w:val="009C283F"/>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57C0B"/>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0D92"/>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B1A"/>
    <w:rsid w:val="00D14146"/>
    <w:rsid w:val="00D14F99"/>
    <w:rsid w:val="00D173B4"/>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17DC"/>
    <w:rsid w:val="00EA23FE"/>
    <w:rsid w:val="00EA4B5C"/>
    <w:rsid w:val="00EA4BAB"/>
    <w:rsid w:val="00EA5627"/>
    <w:rsid w:val="00EA6F9B"/>
    <w:rsid w:val="00EB00B8"/>
    <w:rsid w:val="00EB15EB"/>
    <w:rsid w:val="00EB369C"/>
    <w:rsid w:val="00EB4818"/>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styleId="UnresolvedMention">
    <w:name w:val="Unresolved Mention"/>
    <w:basedOn w:val="DefaultParagraphFont"/>
    <w:uiPriority w:val="99"/>
    <w:semiHidden/>
    <w:unhideWhenUsed/>
    <w:rsid w:val="009C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mambriss@qti.qualcom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DC83F-F1C0-4670-A284-037C8BA67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14</Pages>
  <Words>4374</Words>
  <Characters>21283</Characters>
  <Application>Microsoft Office Word</Application>
  <DocSecurity>0</DocSecurity>
  <Lines>177</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Apple Inc</Company>
  <LinksUpToDate>false</LinksUpToDate>
  <CharactersWithSpaces>25606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[QCOM-Mouaffac]</cp:lastModifiedBy>
  <cp:revision>11</cp:revision>
  <cp:lastPrinted>2019-02-25T14:05:00Z</cp:lastPrinted>
  <dcterms:created xsi:type="dcterms:W3CDTF">2022-02-23T17:53:00Z</dcterms:created>
  <dcterms:modified xsi:type="dcterms:W3CDTF">2022-02-23T22:04:00Z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