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D59" w14:textId="79201553"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3GPP TSG-RAN WG2 Meeting #116bis</w:t>
      </w:r>
      <w:r w:rsidR="00BC170D" w:rsidRPr="00D60DB7">
        <w:rPr>
          <w:rFonts w:eastAsia="MS Mincho"/>
          <w:b/>
          <w:lang w:eastAsia="en-GB"/>
        </w:rPr>
        <w:t xml:space="preserve"> electronic                     </w:t>
      </w:r>
      <w:r w:rsidR="008256A1">
        <w:rPr>
          <w:rFonts w:eastAsia="MS Mincho"/>
          <w:b/>
          <w:lang w:eastAsia="en-GB"/>
        </w:rPr>
        <w:t xml:space="preserve">                  </w:t>
      </w:r>
      <w:r w:rsidR="00B55BB1">
        <w:rPr>
          <w:rFonts w:eastAsia="MS Mincho"/>
          <w:b/>
          <w:lang w:eastAsia="en-GB"/>
        </w:rPr>
        <w:t>_</w:t>
      </w:r>
      <w:r w:rsidR="00607C0F" w:rsidRPr="00607C0F">
        <w:t xml:space="preserve"> </w:t>
      </w:r>
      <w:r w:rsidR="00607C0F" w:rsidRPr="00607C0F">
        <w:rPr>
          <w:rFonts w:eastAsia="MS Mincho"/>
          <w:b/>
          <w:lang w:eastAsia="en-GB"/>
        </w:rPr>
        <w:t>R2-2201751</w:t>
      </w:r>
    </w:p>
    <w:p w14:paraId="0D44F848" w14:textId="77777777"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Malgun Gothic"/>
        </w:rPr>
      </w:pPr>
      <w:r w:rsidRPr="00D60DB7">
        <w:t xml:space="preserve">Source: </w:t>
      </w:r>
      <w:r w:rsidRPr="00D60DB7">
        <w:tab/>
      </w:r>
      <w:r w:rsidRPr="00D60DB7">
        <w:rPr>
          <w:b w:val="0"/>
        </w:rPr>
        <w:t xml:space="preserve">Huawei, </w:t>
      </w:r>
      <w:r w:rsidRPr="00D60DB7">
        <w:rPr>
          <w:rFonts w:eastAsia="Times New Roman" w:cs="Arial"/>
          <w:b w:val="0"/>
        </w:rPr>
        <w:t>HiSilicon</w:t>
      </w:r>
    </w:p>
    <w:p w14:paraId="408D3CA2" w14:textId="77777777" w:rsidR="005E0938" w:rsidRPr="00D60DB7" w:rsidRDefault="005E0938">
      <w:pPr>
        <w:tabs>
          <w:tab w:val="left" w:pos="1815"/>
        </w:tabs>
        <w:spacing w:after="240"/>
        <w:ind w:left="1701" w:hanging="1701"/>
        <w:rPr>
          <w:rFonts w:eastAsia="Malgun Gothic" w:cs="Arial"/>
          <w:bCs/>
          <w:lang w:eastAsia="ko-KR"/>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r>
        <w:lastRenderedPageBreak/>
        <w:t>Introduction</w:t>
      </w:r>
      <w:bookmarkStart w:id="0" w:name="_Ref189809556"/>
      <w:bookmarkStart w:id="1" w:name="_Ref174151459"/>
    </w:p>
    <w:p w14:paraId="2D7E48C6" w14:textId="77777777" w:rsidR="005E0938" w:rsidRPr="00D60DB7" w:rsidRDefault="005E0938">
      <w:pPr>
        <w:spacing w:after="120"/>
        <w:rPr>
          <w:rFonts w:cs="Arial"/>
          <w:lang w:eastAsia="ko-KR"/>
        </w:rPr>
      </w:pPr>
      <w:r w:rsidRPr="00D60DB7">
        <w:rPr>
          <w:rFonts w:cs="Arial"/>
          <w:lang w:eastAsia="ko-KR"/>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2" w:name="_Ref433086885"/>
      <w:r w:rsidRPr="00146D15">
        <w:t>[AT</w:t>
      </w:r>
      <w:r>
        <w:t>116bis-e][103</w:t>
      </w:r>
      <w:r w:rsidRPr="00146D15">
        <w:t>][</w:t>
      </w:r>
      <w:r>
        <w:t>RedCap</w:t>
      </w:r>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9" w:tooltip="C:Data3GPPRAN2InboxR2-2201734.zip" w:history="1">
        <w:r w:rsidRPr="00180DAB">
          <w:rPr>
            <w:rStyle w:val="Hyperlink"/>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r>
              <w:rPr>
                <w:rFonts w:eastAsia="SimSun"/>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r>
              <w:rPr>
                <w:rFonts w:eastAsia="SimSun"/>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r>
              <w:rPr>
                <w:rFonts w:eastAsia="Yu Mincho"/>
                <w:lang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r>
              <w:rPr>
                <w:rFonts w:eastAsia="SimSun"/>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eastAsia="zh-CN"/>
              </w:rPr>
            </w:pPr>
            <w:r>
              <w:rPr>
                <w:rFonts w:eastAsia="SimSun"/>
                <w:lang w:eastAsia="zh-CN"/>
              </w:rPr>
              <w:t>pradeep dot jose at mediatek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r>
              <w:rPr>
                <w:rFonts w:eastAsia="SimSun"/>
                <w:lang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r>
              <w:rPr>
                <w:rFonts w:eastAsia="SimSun"/>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r>
              <w:rPr>
                <w:rFonts w:eastAsia="SimSun"/>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r>
              <w:rPr>
                <w:rFonts w:eastAsia="SimSun" w:hint="eastAsia"/>
                <w:lang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r>
              <w:rPr>
                <w:rFonts w:eastAsia="SimSun"/>
                <w:lang w:eastAsia="zh-CN"/>
              </w:rPr>
              <w:t>X</w:t>
            </w:r>
            <w:r>
              <w:rPr>
                <w:rFonts w:eastAsia="SimSun" w:hint="eastAsia"/>
                <w:lang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lastRenderedPageBreak/>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SimSun" w:hint="eastAsia"/>
                <w:lang w:eastAsia="zh-CN"/>
              </w:rPr>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C63787" w:rsidP="00CA516E">
            <w:pPr>
              <w:pStyle w:val="EmailDiscussion2"/>
              <w:ind w:left="0" w:firstLine="0"/>
              <w:rPr>
                <w:rFonts w:eastAsia="Malgun Gothic"/>
                <w:lang w:eastAsia="ko-KR"/>
              </w:rPr>
            </w:pPr>
            <w:hyperlink r:id="rId10" w:history="1">
              <w:r w:rsidR="00512F11" w:rsidRPr="00C251A1">
                <w:rPr>
                  <w:rStyle w:val="Hyperlink"/>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r>
              <w:rPr>
                <w:rFonts w:eastAsia="SimSun"/>
                <w:lang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r>
              <w:rPr>
                <w:rFonts w:eastAsia="SimSun" w:hint="eastAsia"/>
                <w:lang w:eastAsia="zh-CN"/>
              </w:rPr>
              <w:t>X</w:t>
            </w:r>
            <w:r>
              <w:rPr>
                <w:rFonts w:eastAsia="SimSun"/>
                <w:lang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r>
              <w:rPr>
                <w:rFonts w:eastAsia="SimSun"/>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r>
              <w:rPr>
                <w:rFonts w:eastAsia="SimSun" w:hint="eastAsia"/>
                <w:lang w:eastAsia="zh-CN"/>
              </w:rPr>
              <w:t>G</w:t>
            </w:r>
            <w:r>
              <w:rPr>
                <w:rFonts w:eastAsia="SimSun"/>
                <w:lang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r>
              <w:rPr>
                <w:rFonts w:eastAsia="SimSun" w:hint="eastAsia"/>
                <w:lang w:eastAsia="zh-CN"/>
              </w:rPr>
              <w:t>H</w:t>
            </w:r>
            <w:r>
              <w:rPr>
                <w:rFonts w:eastAsia="SimSun"/>
                <w:lang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Augustyniak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r w:rsidRPr="003008CD">
              <w:rPr>
                <w:rFonts w:eastAsia="Yu Mincho" w:hint="eastAsia"/>
                <w:lang w:eastAsia="ja-JP"/>
              </w:rPr>
              <w:t>Tatsuki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r>
              <w:rPr>
                <w:rFonts w:eastAsia="Yu Mincho"/>
                <w:lang w:eastAsia="ja-JP"/>
              </w:rPr>
              <w:t>Efi Nikolitsa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t>Discussion</w:t>
      </w: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tbl>
      <w:tblPr>
        <w:tblStyle w:val="TableGrid"/>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3" w:name="OLE_LINK136"/>
            <w:bookmarkStart w:id="4" w:name="OLE_LINK137"/>
            <w:r>
              <w:rPr>
                <w:noProof/>
              </w:rPr>
              <w:t xml:space="preserve">Proposal 4: [Discussion] In case the cell is barred </w:t>
            </w:r>
            <w:r w:rsidRPr="001245B9">
              <w:rPr>
                <w:noProof/>
                <w:highlight w:val="yellow"/>
              </w:rPr>
              <w:t>due to not supporting RedCap</w:t>
            </w:r>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DengXian"/>
                <w:noProof/>
              </w:rPr>
            </w:pPr>
            <w:r>
              <w:rPr>
                <w:noProof/>
              </w:rPr>
              <w:t>Option 3: follow the IFRI in MIB;</w:t>
            </w:r>
          </w:p>
        </w:tc>
      </w:tr>
    </w:tbl>
    <w:p w14:paraId="60635753" w14:textId="100C5E65" w:rsidR="002D4423" w:rsidRDefault="002D4423" w:rsidP="002D4423">
      <w:pPr>
        <w:spacing w:beforeLines="50" w:before="120" w:afterLines="50" w:after="120"/>
      </w:pPr>
      <w:r>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non-RedCap UE, rather than RedCap deployment.</w:t>
      </w:r>
    </w:p>
    <w:p w14:paraId="7A86E0E1" w14:textId="0EE8C350" w:rsidR="00874552" w:rsidRPr="00D60DB7" w:rsidRDefault="00874552" w:rsidP="00874552">
      <w:pPr>
        <w:spacing w:beforeLines="50" w:before="120" w:afterLines="50" w:after="120"/>
        <w:rPr>
          <w:b/>
        </w:rPr>
      </w:pPr>
      <w:r w:rsidRPr="00D60DB7">
        <w:rPr>
          <w:b/>
        </w:rPr>
        <w:lastRenderedPageBreak/>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6AC1284A" w:rsidR="00874552" w:rsidRDefault="00874552" w:rsidP="008E0111">
            <w:pPr>
              <w:spacing w:beforeLines="50" w:before="120" w:afterLines="50" w:after="120"/>
            </w:pPr>
          </w:p>
        </w:tc>
        <w:tc>
          <w:tcPr>
            <w:tcW w:w="1417" w:type="dxa"/>
          </w:tcPr>
          <w:p w14:paraId="201444D9" w14:textId="00DE49C8" w:rsidR="00874552" w:rsidRDefault="00874552" w:rsidP="008E0111">
            <w:pPr>
              <w:spacing w:beforeLines="50" w:before="120" w:afterLines="50" w:after="120"/>
            </w:pP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6DE6958C" w:rsidR="00874552" w:rsidRDefault="00874552" w:rsidP="008E0111">
            <w:pPr>
              <w:spacing w:beforeLines="50" w:before="120" w:afterLines="50" w:after="120"/>
            </w:pPr>
          </w:p>
        </w:tc>
        <w:tc>
          <w:tcPr>
            <w:tcW w:w="1417" w:type="dxa"/>
          </w:tcPr>
          <w:p w14:paraId="4BCE029E" w14:textId="46B376EF" w:rsidR="00874552" w:rsidRDefault="00874552" w:rsidP="008E0111">
            <w:pPr>
              <w:spacing w:beforeLines="50" w:before="120" w:afterLines="50" w:after="120"/>
            </w:pPr>
          </w:p>
        </w:tc>
        <w:tc>
          <w:tcPr>
            <w:tcW w:w="6770" w:type="dxa"/>
          </w:tcPr>
          <w:p w14:paraId="39474A3B" w14:textId="0F33864A" w:rsidR="00874552" w:rsidRPr="00D60DB7" w:rsidRDefault="00874552" w:rsidP="008E0111">
            <w:pPr>
              <w:spacing w:beforeLines="50" w:before="120" w:afterLines="50" w:after="120"/>
            </w:pPr>
          </w:p>
        </w:tc>
      </w:tr>
    </w:tbl>
    <w:p w14:paraId="36D7B5C9" w14:textId="77777777" w:rsidR="00F56FC3" w:rsidRDefault="00F56FC3" w:rsidP="00EC2080">
      <w:pPr>
        <w:spacing w:beforeLines="50" w:before="120" w:afterLines="50" w:after="120"/>
        <w:rPr>
          <w:rFonts w:eastAsia="DengXian"/>
          <w:noProof/>
        </w:rPr>
      </w:pPr>
    </w:p>
    <w:p w14:paraId="454A2FD7" w14:textId="77777777" w:rsidR="005C2DFB" w:rsidRDefault="005C2DFB" w:rsidP="00EC2080">
      <w:pPr>
        <w:spacing w:beforeLines="50" w:before="120" w:afterLines="50" w:after="120"/>
        <w:rPr>
          <w:rFonts w:eastAsia="DengXian"/>
          <w:noProof/>
        </w:rPr>
      </w:pPr>
    </w:p>
    <w:p w14:paraId="4A1A2D43" w14:textId="77777777" w:rsidR="005C2DFB" w:rsidRDefault="005C2DFB"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DengXian"/>
                <w:noProof/>
              </w:rPr>
            </w:pPr>
            <w:r>
              <w:rPr>
                <w:noProof/>
              </w:rPr>
              <w:t>Option 2: follow IFRI in MIB.</w:t>
            </w:r>
          </w:p>
        </w:tc>
      </w:tr>
    </w:tbl>
    <w:p w14:paraId="74F3B569" w14:textId="672C714D" w:rsidR="00D40A40" w:rsidRDefault="009133F3" w:rsidP="00EC2080">
      <w:pPr>
        <w:spacing w:beforeLines="50" w:before="120" w:afterLines="50" w:after="120"/>
        <w:rPr>
          <w:rFonts w:eastAsia="DengXian"/>
          <w:noProof/>
        </w:rPr>
      </w:pPr>
      <w:r>
        <w:rPr>
          <w:rFonts w:eastAsia="DengXian" w:hint="eastAsia"/>
          <w:noProof/>
        </w:rPr>
        <w:t>I</w:t>
      </w:r>
      <w:r>
        <w:rPr>
          <w:rFonts w:eastAsia="DengXian"/>
          <w:noProof/>
        </w:rPr>
        <w:t>n pahse 1 dsicussion, we have:</w:t>
      </w:r>
    </w:p>
    <w:p w14:paraId="5419FD16"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1: as “allowed” 17</w:t>
      </w:r>
    </w:p>
    <w:p w14:paraId="040F16DA"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2: follow IFRI in MIB (should use same principle as Q4)</w:t>
      </w:r>
      <w:r w:rsidRPr="00743F45">
        <w:rPr>
          <w:rFonts w:eastAsia="DengXian" w:hint="eastAsia"/>
          <w:bCs/>
        </w:rPr>
        <w:t>:</w:t>
      </w:r>
      <w:r w:rsidRPr="00743F45">
        <w:rPr>
          <w:rFonts w:eastAsia="DengXian"/>
          <w:bCs/>
        </w:rPr>
        <w:t xml:space="preserve"> 6</w:t>
      </w:r>
    </w:p>
    <w:p w14:paraId="51EC6536" w14:textId="285AEE14"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bCs/>
        </w:rPr>
        <w:t>Even though there is clear majority to option 1, we still mark</w:t>
      </w:r>
      <w:r w:rsidR="005C2DFB">
        <w:rPr>
          <w:rFonts w:eastAsia="DengXian"/>
          <w:bCs/>
        </w:rPr>
        <w:t>ed</w:t>
      </w:r>
      <w:r w:rsidRPr="00743F45">
        <w:rPr>
          <w:rFonts w:eastAsia="DengXian"/>
          <w:bCs/>
        </w:rPr>
        <w:t xml:space="preserve"> this as “discussi</w:t>
      </w:r>
      <w:r w:rsidR="00D10616">
        <w:rPr>
          <w:rFonts w:eastAsia="DengXian"/>
          <w:bCs/>
        </w:rPr>
        <w:t>on” to check the conclusion of P</w:t>
      </w:r>
      <w:r w:rsidRPr="00743F45">
        <w:rPr>
          <w:rFonts w:eastAsia="DengXian"/>
          <w:bCs/>
        </w:rPr>
        <w:t xml:space="preserve">4 </w:t>
      </w:r>
      <w:r>
        <w:rPr>
          <w:rFonts w:eastAsia="DengXian"/>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8E0111">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8E0111">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8E0111">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Not really different than Q1</w:t>
            </w:r>
          </w:p>
        </w:tc>
      </w:tr>
      <w:tr w:rsidR="00950299" w:rsidRPr="00D60DB7" w14:paraId="7BADE88C" w14:textId="77777777" w:rsidTr="008E0111">
        <w:tc>
          <w:tcPr>
            <w:tcW w:w="1668" w:type="dxa"/>
          </w:tcPr>
          <w:p w14:paraId="3A5A4C1B" w14:textId="77777777" w:rsidR="00950299" w:rsidRDefault="00950299" w:rsidP="00950299">
            <w:pPr>
              <w:spacing w:beforeLines="50" w:before="120" w:afterLines="50" w:after="120"/>
            </w:pPr>
          </w:p>
        </w:tc>
        <w:tc>
          <w:tcPr>
            <w:tcW w:w="1417" w:type="dxa"/>
          </w:tcPr>
          <w:p w14:paraId="35267D4E" w14:textId="77777777" w:rsidR="00950299" w:rsidRDefault="00950299" w:rsidP="00950299">
            <w:pPr>
              <w:spacing w:beforeLines="50" w:before="120" w:afterLines="50" w:after="120"/>
            </w:pP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8E0111">
        <w:tc>
          <w:tcPr>
            <w:tcW w:w="1668" w:type="dxa"/>
          </w:tcPr>
          <w:p w14:paraId="59BF4815" w14:textId="77777777" w:rsidR="00950299" w:rsidRDefault="00950299" w:rsidP="00950299">
            <w:pPr>
              <w:spacing w:beforeLines="50" w:before="120" w:afterLines="50" w:after="120"/>
            </w:pPr>
          </w:p>
        </w:tc>
        <w:tc>
          <w:tcPr>
            <w:tcW w:w="1417" w:type="dxa"/>
          </w:tcPr>
          <w:p w14:paraId="1A3D25F9" w14:textId="77777777" w:rsidR="00950299" w:rsidRDefault="00950299" w:rsidP="00950299">
            <w:pPr>
              <w:spacing w:beforeLines="50" w:before="120" w:afterLines="50" w:after="120"/>
            </w:pPr>
          </w:p>
        </w:tc>
        <w:tc>
          <w:tcPr>
            <w:tcW w:w="6770" w:type="dxa"/>
          </w:tcPr>
          <w:p w14:paraId="36E67ADA" w14:textId="77777777" w:rsidR="00950299" w:rsidRPr="00D60DB7" w:rsidRDefault="00950299" w:rsidP="00950299">
            <w:pPr>
              <w:spacing w:beforeLines="50" w:before="120" w:afterLines="50" w:after="120"/>
            </w:pPr>
          </w:p>
        </w:tc>
      </w:tr>
    </w:tbl>
    <w:p w14:paraId="60BF79C3" w14:textId="77777777" w:rsidR="00D40A40" w:rsidRDefault="00D40A40" w:rsidP="00EC2080">
      <w:pPr>
        <w:spacing w:beforeLines="50" w:before="120" w:afterLines="50" w:after="120"/>
        <w:rPr>
          <w:rFonts w:eastAsia="DengXian"/>
          <w:noProof/>
        </w:rPr>
      </w:pPr>
    </w:p>
    <w:p w14:paraId="0FE19CCF" w14:textId="77777777" w:rsidR="00222DD2" w:rsidRDefault="00222DD2" w:rsidP="00EC2080">
      <w:pPr>
        <w:spacing w:beforeLines="50" w:before="120" w:afterLines="50" w:after="120"/>
        <w:rPr>
          <w:rFonts w:eastAsia="DengXian"/>
          <w:noProof/>
        </w:rPr>
      </w:pPr>
    </w:p>
    <w:p w14:paraId="5D497349" w14:textId="77777777" w:rsidR="00222DD2" w:rsidRDefault="00222DD2"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DengXian"/>
          <w:bCs/>
        </w:rPr>
      </w:pPr>
      <w:r>
        <w:rPr>
          <w:rFonts w:eastAsia="DengXian" w:hint="eastAsia"/>
          <w:noProof/>
        </w:rPr>
        <w:t>I</w:t>
      </w:r>
      <w:r>
        <w:rPr>
          <w:rFonts w:eastAsia="DengXian"/>
          <w:noProof/>
        </w:rPr>
        <w:t>n phase 1 discussion, e</w:t>
      </w:r>
      <w:r w:rsidR="0090280E" w:rsidRPr="003D4166">
        <w:rPr>
          <w:rFonts w:eastAsia="DengXian"/>
          <w:bCs/>
        </w:rPr>
        <w:t xml:space="preserve">ven though option 2 has the majority, as Intel point out, option2 seems conflict with the agreement that RedCap UE should also follow cellbarring in MIB, which is used together with IFRI in MIB. Rapporteur propose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8E0111">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8E0111">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8E0111">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NW may prefer to handle RedCap and non-RedCap UEs differently</w:t>
            </w:r>
          </w:p>
        </w:tc>
      </w:tr>
      <w:tr w:rsidR="00950299" w:rsidRPr="00D60DB7" w14:paraId="7E7C3AAD" w14:textId="77777777" w:rsidTr="008E0111">
        <w:tc>
          <w:tcPr>
            <w:tcW w:w="1668" w:type="dxa"/>
          </w:tcPr>
          <w:p w14:paraId="3C832732" w14:textId="77777777" w:rsidR="00950299" w:rsidRDefault="00950299" w:rsidP="00950299">
            <w:pPr>
              <w:spacing w:beforeLines="50" w:before="120" w:afterLines="50" w:after="120"/>
            </w:pPr>
          </w:p>
        </w:tc>
        <w:tc>
          <w:tcPr>
            <w:tcW w:w="1417" w:type="dxa"/>
          </w:tcPr>
          <w:p w14:paraId="0E836C61" w14:textId="77777777" w:rsidR="00950299" w:rsidRDefault="00950299" w:rsidP="00950299">
            <w:pPr>
              <w:spacing w:beforeLines="50" w:before="120" w:afterLines="50" w:after="120"/>
            </w:pP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8E0111">
        <w:tc>
          <w:tcPr>
            <w:tcW w:w="1668" w:type="dxa"/>
          </w:tcPr>
          <w:p w14:paraId="7EE3F561" w14:textId="77777777" w:rsidR="00950299" w:rsidRDefault="00950299" w:rsidP="00950299">
            <w:pPr>
              <w:spacing w:beforeLines="50" w:before="120" w:afterLines="50" w:after="120"/>
            </w:pPr>
          </w:p>
        </w:tc>
        <w:tc>
          <w:tcPr>
            <w:tcW w:w="1417" w:type="dxa"/>
          </w:tcPr>
          <w:p w14:paraId="0A49983B" w14:textId="77777777" w:rsidR="00950299" w:rsidRDefault="00950299" w:rsidP="00950299">
            <w:pPr>
              <w:spacing w:beforeLines="50" w:before="120" w:afterLines="50" w:after="120"/>
            </w:pPr>
          </w:p>
        </w:tc>
        <w:tc>
          <w:tcPr>
            <w:tcW w:w="6770" w:type="dxa"/>
          </w:tcPr>
          <w:p w14:paraId="4461CB00" w14:textId="77777777" w:rsidR="00950299" w:rsidRPr="00D60DB7" w:rsidRDefault="00950299" w:rsidP="00950299">
            <w:pPr>
              <w:spacing w:beforeLines="50" w:before="120" w:afterLines="50" w:after="120"/>
            </w:pPr>
          </w:p>
        </w:tc>
      </w:tr>
    </w:tbl>
    <w:p w14:paraId="7B8A43EB" w14:textId="77777777" w:rsidR="00E74B0A" w:rsidRPr="003D4166" w:rsidRDefault="00E74B0A" w:rsidP="002876CB">
      <w:pPr>
        <w:spacing w:beforeLines="50" w:before="120" w:afterLines="50" w:after="120"/>
        <w:rPr>
          <w:rFonts w:eastAsia="DengXian"/>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utoSpaceDE w:val="0"/>
        <w:autoSpaceDN w:val="0"/>
        <w:adjustRightInd w:val="0"/>
        <w:spacing w:after="180" w:line="300" w:lineRule="auto"/>
        <w:textAlignment w:val="baseline"/>
        <w:rPr>
          <w:rFonts w:eastAsia="DengXian"/>
          <w:b/>
          <w:bCs/>
        </w:rPr>
      </w:pPr>
    </w:p>
    <w:p w14:paraId="787571A5" w14:textId="77777777" w:rsidR="00874552" w:rsidRDefault="00874552" w:rsidP="003D673D">
      <w:pPr>
        <w:overflowPunct w:val="0"/>
        <w:autoSpaceDE w:val="0"/>
        <w:autoSpaceDN w:val="0"/>
        <w:adjustRightInd w:val="0"/>
        <w:spacing w:after="180" w:line="300" w:lineRule="auto"/>
        <w:textAlignment w:val="baseline"/>
        <w:rPr>
          <w:rFonts w:eastAsia="DengXian"/>
          <w:b/>
          <w:bCs/>
        </w:rPr>
      </w:pPr>
    </w:p>
    <w:p w14:paraId="2E3FF00B" w14:textId="2847F0BA" w:rsidR="00227107" w:rsidRPr="00D60DB7" w:rsidRDefault="00874552" w:rsidP="00227107">
      <w:pPr>
        <w:spacing w:beforeLines="50" w:before="120" w:afterLines="50" w:after="120"/>
        <w:rPr>
          <w:b/>
        </w:rPr>
      </w:pPr>
      <w:r>
        <w:rPr>
          <w:rFonts w:eastAsia="DengXian"/>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utoSpaceDE w:val="0"/>
        <w:autoSpaceDN w:val="0"/>
        <w:adjustRightInd w:val="0"/>
        <w:spacing w:after="180" w:line="300" w:lineRule="auto"/>
        <w:textAlignment w:val="baseline"/>
        <w:rPr>
          <w:b/>
        </w:rPr>
      </w:pPr>
      <w:r>
        <w:rPr>
          <w:rFonts w:eastAsia="DengXian"/>
          <w:b/>
          <w:bCs/>
        </w:rPr>
        <w:t xml:space="preserve"> </w:t>
      </w:r>
    </w:p>
    <w:p w14:paraId="4CA45DF0" w14:textId="550BAA02" w:rsidR="00BA0DB1" w:rsidRPr="003D4166" w:rsidRDefault="001F674D" w:rsidP="003D673D">
      <w:pPr>
        <w:overflowPunct w:val="0"/>
        <w:autoSpaceDE w:val="0"/>
        <w:autoSpaceDN w:val="0"/>
        <w:adjustRightInd w:val="0"/>
        <w:spacing w:after="180" w:line="300" w:lineRule="auto"/>
        <w:textAlignment w:val="baseline"/>
        <w:rPr>
          <w:rFonts w:eastAsia="DengXian"/>
          <w:b/>
          <w:bCs/>
        </w:rPr>
      </w:pPr>
      <w:r>
        <w:rPr>
          <w:b/>
        </w:rPr>
        <w:t xml:space="preserve"> </w:t>
      </w:r>
    </w:p>
    <w:p w14:paraId="1633EF07" w14:textId="77777777" w:rsidR="00FC27A6" w:rsidRPr="00D60DB7"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D60DB7">
        <w:rPr>
          <w:sz w:val="32"/>
        </w:rPr>
        <w:t>ASN.1 for cell barring in SIB1</w:t>
      </w:r>
    </w:p>
    <w:p w14:paraId="61658A53" w14:textId="307E81CD" w:rsidR="00746CD1" w:rsidRPr="00D60DB7" w:rsidRDefault="009C051C" w:rsidP="009C051C">
      <w:pPr>
        <w:overflowPunct w:val="0"/>
        <w:autoSpaceDE w:val="0"/>
        <w:autoSpaceDN w:val="0"/>
        <w:adjustRightInd w:val="0"/>
        <w:spacing w:after="120"/>
        <w:textAlignment w:val="baseline"/>
        <w:rPr>
          <w:noProof/>
        </w:rPr>
      </w:pPr>
      <w:r>
        <w:rPr>
          <w:rFonts w:eastAsia="DengXian" w:hint="eastAsia"/>
          <w:noProof/>
        </w:rPr>
        <w:t>I</w:t>
      </w:r>
      <w:r>
        <w:rPr>
          <w:rFonts w:eastAsia="DengXian"/>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s with {barred, notBarred}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cellBarredRedCap-r17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cellBarredRedCap1Rx-r17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notBarred},</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lastRenderedPageBreak/>
        <w:t xml:space="preserve">cellBarredRedCap2Rx-r17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notBarred}</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  -- Need R</w:t>
      </w:r>
    </w:p>
    <w:p w14:paraId="4E6478D2" w14:textId="7427CCBB" w:rsidR="00FC27A6" w:rsidRPr="00D60DB7" w:rsidRDefault="00AA7A48"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r w:rsidR="00524953" w:rsidRPr="00D60DB7">
        <w:rPr>
          <w:b/>
        </w:rPr>
        <w:t>I</w:t>
      </w:r>
      <w:r w:rsidR="00435BB2" w:rsidRPr="00D60DB7">
        <w:rPr>
          <w:b/>
        </w:rPr>
        <w:t>e</w:t>
      </w:r>
      <w:r w:rsidR="00524953" w:rsidRPr="00D60DB7">
        <w:rPr>
          <w:b/>
        </w:rPr>
        <w:t>s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  --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  -- Need R</w:t>
      </w:r>
    </w:p>
    <w:p w14:paraId="72E49D5E" w14:textId="77777777" w:rsidR="008F4275" w:rsidRDefault="008F4275" w:rsidP="00746CD1">
      <w:pPr>
        <w:overflowPunct w:val="0"/>
        <w:autoSpaceDE w:val="0"/>
        <w:autoSpaceDN w:val="0"/>
        <w:adjustRightInd w:val="0"/>
        <w:spacing w:after="180" w:line="300" w:lineRule="auto"/>
        <w:textAlignment w:val="baseline"/>
        <w:rPr>
          <w:rFonts w:eastAsia="DengXian"/>
          <w:b/>
        </w:rPr>
      </w:pPr>
    </w:p>
    <w:tbl>
      <w:tblPr>
        <w:tblStyle w:val="TableGrid"/>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utoSpaceDE w:val="0"/>
              <w:autoSpaceDN w:val="0"/>
              <w:adjustRightInd w:val="0"/>
              <w:spacing w:after="180" w:line="300" w:lineRule="auto"/>
              <w:textAlignment w:val="baseline"/>
              <w:rPr>
                <w:rFonts w:eastAsia="DengXian"/>
              </w:rPr>
            </w:pPr>
            <w:r w:rsidRPr="003A7385">
              <w:rPr>
                <w:rFonts w:eastAsia="DengXian"/>
              </w:rPr>
              <w:t>Proposal 8: [Easy] For the cell barring in SIB1, RAN2 agree to use two mandatory sub-IEs with {barred, notBarred} values included in one optional parent IE cellBarredRedCap-r17.</w:t>
            </w:r>
          </w:p>
        </w:tc>
      </w:tr>
    </w:tbl>
    <w:p w14:paraId="28A3EC6B" w14:textId="3ADB7A93" w:rsidR="00B7268D" w:rsidRDefault="00B7268D" w:rsidP="00746CD1">
      <w:pPr>
        <w:overflowPunct w:val="0"/>
        <w:autoSpaceDE w:val="0"/>
        <w:autoSpaceDN w:val="0"/>
        <w:adjustRightInd w:val="0"/>
        <w:spacing w:after="180" w:line="300" w:lineRule="auto"/>
        <w:textAlignment w:val="baseline"/>
        <w:rPr>
          <w:rFonts w:eastAsia="DengXian"/>
          <w:b/>
        </w:rPr>
      </w:pPr>
    </w:p>
    <w:p w14:paraId="10FA1F2A" w14:textId="5A99B255" w:rsidR="00B7268D" w:rsidRPr="00B7268D" w:rsidRDefault="00B7268D" w:rsidP="00746CD1">
      <w:pPr>
        <w:overflowPunct w:val="0"/>
        <w:autoSpaceDE w:val="0"/>
        <w:autoSpaceDN w:val="0"/>
        <w:adjustRightInd w:val="0"/>
        <w:spacing w:after="180" w:line="300" w:lineRule="auto"/>
        <w:textAlignment w:val="baseline"/>
        <w:rPr>
          <w:rFonts w:eastAsia="DengXian"/>
          <w:noProof/>
        </w:rPr>
      </w:pPr>
      <w:r w:rsidRPr="00B7268D">
        <w:rPr>
          <w:rFonts w:eastAsia="DengXian" w:hint="eastAsia"/>
          <w:noProof/>
        </w:rPr>
        <w:t>W</w:t>
      </w:r>
      <w:r w:rsidRPr="00B7268D">
        <w:rPr>
          <w:rFonts w:eastAsia="DengXian"/>
          <w:noProof/>
        </w:rPr>
        <w:t>e received the email comments as “</w:t>
      </w:r>
      <w:r w:rsidRPr="006362C7">
        <w:rPr>
          <w:rFonts w:eastAsia="DengXian"/>
          <w:i/>
          <w:noProof/>
        </w:rPr>
        <w:t xml:space="preserve">TMUSA Reply: As T-Mobile and BT commented if this IE isn’t present the UE is allowed to access the network, ASN.1 uses a need code of “O”. </w:t>
      </w:r>
      <w:r w:rsidRPr="00B7268D">
        <w:rPr>
          <w:rFonts w:eastAsia="DengXian"/>
          <w:noProof/>
        </w:rPr>
        <w:t xml:space="preserve">“ </w:t>
      </w:r>
      <w:r>
        <w:rPr>
          <w:rFonts w:eastAsia="DengXian"/>
          <w:noProof/>
        </w:rPr>
        <w:t xml:space="preserve">rapporteur understand </w:t>
      </w:r>
      <w:r w:rsidRPr="00B7268D">
        <w:rPr>
          <w:rFonts w:eastAsia="DengXian"/>
          <w:noProof/>
        </w:rPr>
        <w:t>legacy UE can access the NW</w:t>
      </w:r>
      <w:r>
        <w:rPr>
          <w:rFonts w:eastAsia="DengXian"/>
          <w:noProof/>
        </w:rPr>
        <w:t>, since</w:t>
      </w:r>
      <w:r w:rsidRPr="00B7268D">
        <w:rPr>
          <w:rFonts w:eastAsia="DengXian"/>
          <w:noProof/>
        </w:rPr>
        <w:t xml:space="preserve"> the proposal</w:t>
      </w:r>
      <w:r w:rsidR="006362C7">
        <w:rPr>
          <w:rFonts w:eastAsia="DengXian"/>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8E0111">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8E0111">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8E0111">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8E0111">
        <w:tc>
          <w:tcPr>
            <w:tcW w:w="1668" w:type="dxa"/>
          </w:tcPr>
          <w:p w14:paraId="3D14B607" w14:textId="77777777" w:rsidR="00551CB6" w:rsidRDefault="00551CB6" w:rsidP="00551CB6">
            <w:pPr>
              <w:spacing w:beforeLines="50" w:before="120" w:afterLines="50" w:after="120"/>
            </w:pPr>
          </w:p>
        </w:tc>
        <w:tc>
          <w:tcPr>
            <w:tcW w:w="1417" w:type="dxa"/>
          </w:tcPr>
          <w:p w14:paraId="5E97FE03" w14:textId="77777777" w:rsidR="00551CB6" w:rsidRDefault="00551CB6" w:rsidP="00551CB6">
            <w:pPr>
              <w:spacing w:beforeLines="50" w:before="120" w:afterLines="50" w:after="120"/>
            </w:pPr>
          </w:p>
        </w:tc>
        <w:tc>
          <w:tcPr>
            <w:tcW w:w="6770" w:type="dxa"/>
          </w:tcPr>
          <w:p w14:paraId="07F8A045" w14:textId="77777777" w:rsidR="00551CB6" w:rsidRPr="00D60DB7" w:rsidRDefault="00551CB6" w:rsidP="00551CB6">
            <w:pPr>
              <w:spacing w:beforeLines="50" w:before="120" w:afterLines="50" w:after="120"/>
            </w:pPr>
          </w:p>
        </w:tc>
      </w:tr>
      <w:tr w:rsidR="00551CB6" w:rsidRPr="00D60DB7" w14:paraId="6D4148AF" w14:textId="77777777" w:rsidTr="008E0111">
        <w:tc>
          <w:tcPr>
            <w:tcW w:w="1668" w:type="dxa"/>
          </w:tcPr>
          <w:p w14:paraId="0F014048" w14:textId="77777777" w:rsidR="00551CB6" w:rsidRDefault="00551CB6" w:rsidP="00551CB6">
            <w:pPr>
              <w:spacing w:beforeLines="50" w:before="120" w:afterLines="50" w:after="120"/>
            </w:pPr>
          </w:p>
        </w:tc>
        <w:tc>
          <w:tcPr>
            <w:tcW w:w="1417" w:type="dxa"/>
          </w:tcPr>
          <w:p w14:paraId="3E0BCE57" w14:textId="77777777" w:rsidR="00551CB6" w:rsidRDefault="00551CB6" w:rsidP="00551CB6">
            <w:pPr>
              <w:spacing w:beforeLines="50" w:before="120" w:afterLines="50" w:after="120"/>
            </w:pPr>
          </w:p>
        </w:tc>
        <w:tc>
          <w:tcPr>
            <w:tcW w:w="6770" w:type="dxa"/>
          </w:tcPr>
          <w:p w14:paraId="65F7C4AF" w14:textId="77777777" w:rsidR="00551CB6" w:rsidRPr="00D60DB7" w:rsidRDefault="00551CB6" w:rsidP="00551CB6">
            <w:pPr>
              <w:spacing w:beforeLines="50" w:before="120" w:afterLines="50" w:after="120"/>
            </w:pP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Default="00AD0203" w:rsidP="00066ACC">
      <w:pPr>
        <w:spacing w:beforeLines="50" w:before="120" w:afterLines="50" w:after="120"/>
        <w:rPr>
          <w:rFonts w:eastAsia="DengXian"/>
          <w:noProof/>
        </w:rPr>
      </w:pPr>
      <w:r>
        <w:rPr>
          <w:rFonts w:eastAsia="DengXian"/>
          <w:noProof/>
        </w:rPr>
        <w:t>In phase 1 discussion, following proposal has received on P9.</w:t>
      </w:r>
    </w:p>
    <w:p w14:paraId="339AF1A0" w14:textId="0601C0FA" w:rsidR="00AD0203" w:rsidRDefault="00AD0203" w:rsidP="00066ACC">
      <w:pPr>
        <w:spacing w:beforeLines="50" w:before="120" w:afterLines="50" w:after="120"/>
      </w:pPr>
      <w:r>
        <w:t>“ TMUSA Reply: If this IE is present the UE uses legacy methods/ IE’s”</w:t>
      </w:r>
    </w:p>
    <w:p w14:paraId="0E19D8A3" w14:textId="0BA6C37F" w:rsidR="00AD0203" w:rsidRPr="00AD0203" w:rsidRDefault="00AD0203" w:rsidP="00AD0203">
      <w:r>
        <w:t>“CATT: w</w:t>
      </w:r>
      <w:r w:rsidRPr="00AD0203">
        <w:t>e suggest having a FFS in Proposal 9,</w:t>
      </w:r>
      <w:r>
        <w:t xml:space="preserve"> </w:t>
      </w:r>
      <w:r w:rsidRPr="00AD0203">
        <w:t>like:</w:t>
      </w:r>
    </w:p>
    <w:p w14:paraId="0C54FDC8" w14:textId="7E260A0D" w:rsidR="00AD0203" w:rsidRDefault="00AD0203" w:rsidP="008E0111">
      <w:pPr>
        <w:pStyle w:val="ListParagraph"/>
        <w:numPr>
          <w:ilvl w:val="0"/>
          <w:numId w:val="39"/>
        </w:numPr>
        <w:overflowPunct w:val="0"/>
        <w:autoSpaceDE w:val="0"/>
        <w:autoSpaceDN w:val="0"/>
        <w:spacing w:beforeLines="50" w:before="120" w:afterLines="50" w:afterAutospacing="1" w:line="240" w:lineRule="auto"/>
        <w:contextualSpacing w:val="0"/>
        <w:textAlignment w:val="baseline"/>
      </w:pPr>
      <w:r w:rsidRPr="00AD0203">
        <w:t>FFs whether the Release 17 or after release cell not supporting Redcap can also present the intraFreqReselectionRedCap in SIB1.</w:t>
      </w:r>
      <w:r>
        <w:t>”</w:t>
      </w:r>
    </w:p>
    <w:tbl>
      <w:tblPr>
        <w:tblStyle w:val="TableGrid"/>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autoSpaceDE w:val="0"/>
              <w:autoSpaceDN w:val="0"/>
              <w:spacing w:beforeLines="50" w:before="120" w:afterLines="50" w:after="120" w:afterAutospacing="1"/>
              <w:textAlignment w:val="baseline"/>
              <w:rPr>
                <w:rFonts w:eastAsia="DengXian"/>
              </w:rPr>
            </w:pPr>
            <w:r w:rsidRPr="00AD0203">
              <w:rPr>
                <w:rFonts w:eastAsia="DengXian"/>
              </w:rPr>
              <w:t>Proposal 9: [Easy] The cell supporting RedCap should always present the intraFreqReselectionRedCap in SIB1.</w:t>
            </w:r>
          </w:p>
        </w:tc>
      </w:tr>
    </w:tbl>
    <w:p w14:paraId="6CDD0254" w14:textId="604C6D3A" w:rsidR="00B968E7" w:rsidRPr="00D60DB7" w:rsidRDefault="00B968E7" w:rsidP="00B968E7">
      <w:pPr>
        <w:spacing w:beforeLines="50" w:before="120" w:afterLines="50" w:after="120"/>
        <w:rPr>
          <w:b/>
        </w:rPr>
      </w:pPr>
      <w:r w:rsidRPr="00D60DB7">
        <w:rPr>
          <w:b/>
        </w:rPr>
        <w:lastRenderedPageBreak/>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8E0111">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8E0111">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8E0111">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8E0111">
        <w:tc>
          <w:tcPr>
            <w:tcW w:w="1668" w:type="dxa"/>
          </w:tcPr>
          <w:p w14:paraId="54622ED1" w14:textId="77777777" w:rsidR="00E6496B" w:rsidRDefault="00E6496B" w:rsidP="00E6496B">
            <w:pPr>
              <w:spacing w:beforeLines="50" w:before="120" w:afterLines="50" w:after="120"/>
            </w:pPr>
          </w:p>
        </w:tc>
        <w:tc>
          <w:tcPr>
            <w:tcW w:w="1417" w:type="dxa"/>
          </w:tcPr>
          <w:p w14:paraId="55AAE1B0" w14:textId="77777777" w:rsidR="00E6496B" w:rsidRDefault="00E6496B" w:rsidP="00E6496B">
            <w:pPr>
              <w:spacing w:beforeLines="50" w:before="120" w:afterLines="50" w:after="120"/>
            </w:pPr>
          </w:p>
        </w:tc>
        <w:tc>
          <w:tcPr>
            <w:tcW w:w="6770" w:type="dxa"/>
          </w:tcPr>
          <w:p w14:paraId="17A10E02" w14:textId="77777777" w:rsidR="00E6496B" w:rsidRPr="00D60DB7" w:rsidRDefault="00E6496B" w:rsidP="00E6496B">
            <w:pPr>
              <w:spacing w:beforeLines="50" w:before="120" w:afterLines="50" w:after="120"/>
            </w:pPr>
          </w:p>
        </w:tc>
      </w:tr>
      <w:tr w:rsidR="00E6496B" w:rsidRPr="00D60DB7" w14:paraId="60B1943B" w14:textId="77777777" w:rsidTr="008E0111">
        <w:tc>
          <w:tcPr>
            <w:tcW w:w="1668" w:type="dxa"/>
          </w:tcPr>
          <w:p w14:paraId="4424743A" w14:textId="77777777" w:rsidR="00E6496B" w:rsidRDefault="00E6496B" w:rsidP="00E6496B">
            <w:pPr>
              <w:spacing w:beforeLines="50" w:before="120" w:afterLines="50" w:after="120"/>
            </w:pPr>
          </w:p>
        </w:tc>
        <w:tc>
          <w:tcPr>
            <w:tcW w:w="1417" w:type="dxa"/>
          </w:tcPr>
          <w:p w14:paraId="458BA458" w14:textId="77777777" w:rsidR="00E6496B" w:rsidRDefault="00E6496B" w:rsidP="00E6496B">
            <w:pPr>
              <w:spacing w:beforeLines="50" w:before="120" w:afterLines="50" w:after="120"/>
            </w:pPr>
          </w:p>
        </w:tc>
        <w:tc>
          <w:tcPr>
            <w:tcW w:w="6770" w:type="dxa"/>
          </w:tcPr>
          <w:p w14:paraId="192CA48E" w14:textId="77777777" w:rsidR="00E6496B" w:rsidRPr="00D60DB7" w:rsidRDefault="00E6496B" w:rsidP="00E6496B">
            <w:pPr>
              <w:spacing w:beforeLines="50" w:before="120" w:afterLines="50" w:after="120"/>
            </w:pPr>
          </w:p>
        </w:tc>
      </w:tr>
    </w:tbl>
    <w:p w14:paraId="392B75EF" w14:textId="6E7B49E0" w:rsidR="00131702" w:rsidRPr="003D4166" w:rsidRDefault="00131702" w:rsidP="00C41121">
      <w:pPr>
        <w:overflowPunct w:val="0"/>
        <w:autoSpaceDE w:val="0"/>
        <w:autoSpaceDN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 xml:space="preserve">here is clear majority to support the proposal. But, indeed, we see some doubt on the necessity. Rapporteur propose this as working assumption. It means </w:t>
      </w:r>
      <w:r w:rsidRPr="00B02ACB">
        <w:rPr>
          <w:rFonts w:eastAsia="DengXian"/>
          <w:bCs/>
          <w:highlight w:val="yellow"/>
        </w:rPr>
        <w:t>if RAN2 can achieve the consen</w:t>
      </w:r>
      <w:r w:rsidR="00B94B63">
        <w:rPr>
          <w:rFonts w:eastAsia="DengXian"/>
          <w:bCs/>
          <w:highlight w:val="yellow"/>
        </w:rPr>
        <w:t>sus on the detailed parameters</w:t>
      </w:r>
      <w:r w:rsidRPr="00B02ACB">
        <w:rPr>
          <w:rFonts w:eastAsia="DengXian"/>
          <w:bCs/>
          <w:highlight w:val="yellow"/>
        </w:rPr>
        <w:t>, it will be supported.</w:t>
      </w:r>
    </w:p>
    <w:tbl>
      <w:tblPr>
        <w:tblStyle w:val="TableGrid"/>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utoSpaceDE w:val="0"/>
              <w:autoSpaceDN w:val="0"/>
              <w:adjustRightInd w:val="0"/>
              <w:spacing w:after="180" w:line="300" w:lineRule="auto"/>
              <w:textAlignment w:val="baseline"/>
              <w:rPr>
                <w:rFonts w:eastAsia="DengXian"/>
                <w:b/>
                <w:noProof/>
              </w:rPr>
            </w:pPr>
            <w:r w:rsidRPr="00691B7D">
              <w:rPr>
                <w:b/>
              </w:rPr>
              <w:t>Proposal 10: [Easy] Working assumption: RAN2 support the RedCap specific cell (re)selection parameter.</w:t>
            </w:r>
          </w:p>
        </w:tc>
      </w:tr>
    </w:tbl>
    <w:p w14:paraId="0D271E6E" w14:textId="01061C40" w:rsidR="00902685" w:rsidRDefault="00902685" w:rsidP="00780EE3">
      <w:pPr>
        <w:overflowPunct w:val="0"/>
        <w:autoSpaceDE w:val="0"/>
        <w:autoSpaceDN w:val="0"/>
        <w:adjustRightInd w:val="0"/>
        <w:spacing w:after="180" w:line="300" w:lineRule="auto"/>
        <w:textAlignment w:val="baseline"/>
        <w:rPr>
          <w:rFonts w:eastAsia="DengXian"/>
          <w:noProof/>
        </w:rPr>
      </w:pPr>
      <w:r>
        <w:rPr>
          <w:rFonts w:eastAsia="DengXian" w:hint="eastAsia"/>
          <w:noProof/>
        </w:rPr>
        <w:t>S</w:t>
      </w:r>
      <w:r>
        <w:rPr>
          <w:rFonts w:eastAsia="DengXian"/>
          <w:noProof/>
        </w:rPr>
        <w:t xml:space="preserve">ome </w:t>
      </w:r>
      <w:r w:rsidR="00C209A8">
        <w:rPr>
          <w:rFonts w:eastAsia="DengXian"/>
          <w:noProof/>
        </w:rPr>
        <w:t>alternatives</w:t>
      </w:r>
      <w:r>
        <w:rPr>
          <w:rFonts w:eastAsia="DengXian"/>
          <w:noProof/>
        </w:rPr>
        <w:t xml:space="preserve"> on the parameters to be RedCap specifc can be:</w:t>
      </w:r>
    </w:p>
    <w:p w14:paraId="579058FF" w14:textId="0127B7A5" w:rsidR="00902685" w:rsidRDefault="00902685" w:rsidP="00780EE3">
      <w:pPr>
        <w:overflowPunct w:val="0"/>
        <w:autoSpaceDE w:val="0"/>
        <w:autoSpaceDN w:val="0"/>
        <w:adjustRightInd w:val="0"/>
        <w:spacing w:after="180" w:line="300" w:lineRule="auto"/>
        <w:textAlignment w:val="baseline"/>
      </w:pPr>
      <w:r w:rsidRPr="003851B2">
        <w:rPr>
          <w:rFonts w:eastAsia="DengXian" w:hint="eastAsia"/>
          <w:b/>
          <w:noProof/>
        </w:rPr>
        <w:t>A</w:t>
      </w:r>
      <w:r w:rsidRPr="003851B2">
        <w:rPr>
          <w:rFonts w:eastAsia="DengXian"/>
          <w:b/>
          <w:noProof/>
        </w:rPr>
        <w:t>lt.1</w:t>
      </w:r>
      <w:r>
        <w:rPr>
          <w:rFonts w:eastAsia="DengXian"/>
          <w:noProof/>
        </w:rPr>
        <w:t>: th</w:t>
      </w:r>
      <w:r w:rsidRPr="00B2699D">
        <w:t xml:space="preserve">e </w:t>
      </w:r>
      <w:r w:rsidRPr="00D60DB7">
        <w:t>‘</w:t>
      </w:r>
      <w:r w:rsidRPr="00B2699D">
        <w:t>minimum required signal strength/quality level</w:t>
      </w:r>
      <w:r w:rsidRPr="00D60DB7">
        <w:t xml:space="preserve">’ </w:t>
      </w:r>
      <w:r w:rsidRPr="003851B2">
        <w:t>(i.e. Q</w:t>
      </w:r>
      <w:r w:rsidRPr="003851B2">
        <w:rPr>
          <w:vertAlign w:val="subscript"/>
        </w:rPr>
        <w:t>rxlevmin</w:t>
      </w:r>
      <w:r w:rsidRPr="003851B2">
        <w:t>/Q</w:t>
      </w:r>
      <w:r w:rsidRPr="003851B2">
        <w:rPr>
          <w:vertAlign w:val="subscript"/>
        </w:rPr>
        <w:t>qualmin</w:t>
      </w:r>
      <w:r w:rsidRPr="003851B2">
        <w:t xml:space="preserve"> fr</w:t>
      </w:r>
      <w:r w:rsidRPr="00D60DB7">
        <w:t xml:space="preserve">om </w:t>
      </w:r>
      <w:r>
        <w:t>the cell selection criterion S);</w:t>
      </w:r>
    </w:p>
    <w:p w14:paraId="6BBCE498" w14:textId="615E4C2B" w:rsidR="00902685" w:rsidRDefault="00902685" w:rsidP="00780EE3">
      <w:pPr>
        <w:overflowPunct w:val="0"/>
        <w:autoSpaceDE w:val="0"/>
        <w:autoSpaceDN w:val="0"/>
        <w:adjustRightInd w:val="0"/>
        <w:spacing w:after="180" w:line="300" w:lineRule="auto"/>
        <w:textAlignment w:val="baseline"/>
      </w:pPr>
      <w:r w:rsidRPr="003851B2">
        <w:rPr>
          <w:b/>
        </w:rPr>
        <w:t>Alt.2</w:t>
      </w:r>
      <w:r>
        <w:t xml:space="preserve">: </w:t>
      </w:r>
      <w:r w:rsidRPr="00902685">
        <w:t>priority for cell reselection in SIB2&amp;4</w:t>
      </w:r>
      <w:r>
        <w:t>;</w:t>
      </w:r>
    </w:p>
    <w:p w14:paraId="039D2E53" w14:textId="30A80134" w:rsidR="00FC27A6" w:rsidRDefault="00902685" w:rsidP="003D673D">
      <w:pPr>
        <w:overflowPunct w:val="0"/>
        <w:autoSpaceDE w:val="0"/>
        <w:autoSpaceDN w:val="0"/>
        <w:adjustRightInd w:val="0"/>
        <w:spacing w:after="180" w:line="300" w:lineRule="auto"/>
        <w:textAlignment w:val="baseline"/>
        <w:rPr>
          <w:rFonts w:eastAsia="DengXian"/>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RedCap </w:t>
      </w:r>
      <w:r w:rsidR="004C6583">
        <w:rPr>
          <w:b/>
        </w:rPr>
        <w:t>specific</w:t>
      </w:r>
      <w:r w:rsidR="008E0111">
        <w:rPr>
          <w:b/>
        </w:rPr>
        <w:t>, so that we can converge on at least one of them.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0D10E3">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DengXian"/>
                <w:b/>
              </w:rPr>
            </w:pPr>
            <w:r>
              <w:rPr>
                <w:rFonts w:eastAsia="DengXian"/>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D60DB7" w14:paraId="322F8692" w14:textId="77777777" w:rsidTr="000D10E3">
        <w:tc>
          <w:tcPr>
            <w:tcW w:w="1413" w:type="dxa"/>
          </w:tcPr>
          <w:p w14:paraId="4E049199" w14:textId="60CC7753" w:rsidR="00902685" w:rsidRPr="000D10E3" w:rsidRDefault="00571DA8" w:rsidP="008E0111">
            <w:pPr>
              <w:spacing w:beforeLines="50" w:before="120" w:afterLines="50" w:after="120"/>
              <w:rPr>
                <w:rFonts w:eastAsia="DengXian"/>
              </w:rPr>
            </w:pPr>
            <w:r>
              <w:rPr>
                <w:rFonts w:eastAsia="DengXian"/>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14:paraId="2939049B" w14:textId="77777777" w:rsidTr="000D10E3">
        <w:tc>
          <w:tcPr>
            <w:tcW w:w="1413" w:type="dxa"/>
          </w:tcPr>
          <w:p w14:paraId="644A58D7" w14:textId="3232E8EA" w:rsidR="00902685" w:rsidRDefault="0011218B" w:rsidP="008E0111">
            <w:pPr>
              <w:spacing w:beforeLines="50" w:before="120" w:afterLines="50" w:after="120"/>
            </w:pPr>
            <w:r>
              <w:lastRenderedPageBreak/>
              <w:t>Sequans</w:t>
            </w:r>
          </w:p>
        </w:tc>
        <w:tc>
          <w:tcPr>
            <w:tcW w:w="1276" w:type="dxa"/>
          </w:tcPr>
          <w:p w14:paraId="14305577" w14:textId="1CCEEBD1" w:rsidR="00902685" w:rsidRDefault="0011218B" w:rsidP="008E0111">
            <w:pPr>
              <w:spacing w:beforeLines="50" w:before="120" w:afterLines="50" w:after="120"/>
            </w:pPr>
            <w:r>
              <w:t>No concern</w:t>
            </w:r>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non-RedCap UEs) and Alt1 (especially for 1-rx branch UEs)</w:t>
            </w:r>
          </w:p>
        </w:tc>
      </w:tr>
      <w:tr w:rsidR="00902685" w:rsidRPr="00D60DB7" w14:paraId="4B6649B9" w14:textId="77777777" w:rsidTr="000D10E3">
        <w:tc>
          <w:tcPr>
            <w:tcW w:w="1413" w:type="dxa"/>
          </w:tcPr>
          <w:p w14:paraId="0B726C94" w14:textId="77777777" w:rsidR="00902685" w:rsidRDefault="00902685" w:rsidP="008E0111">
            <w:pPr>
              <w:spacing w:beforeLines="50" w:before="120" w:afterLines="50" w:after="120"/>
            </w:pPr>
          </w:p>
        </w:tc>
        <w:tc>
          <w:tcPr>
            <w:tcW w:w="1276" w:type="dxa"/>
          </w:tcPr>
          <w:p w14:paraId="1F78765C" w14:textId="77777777" w:rsidR="00902685" w:rsidRDefault="00902685" w:rsidP="008E0111">
            <w:pPr>
              <w:spacing w:beforeLines="50" w:before="120" w:afterLines="50" w:after="120"/>
            </w:pP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77777777" w:rsidR="00902685" w:rsidRPr="00D60DB7" w:rsidRDefault="00902685" w:rsidP="008E0111">
            <w:pPr>
              <w:spacing w:beforeLines="50" w:before="120" w:afterLines="50" w:after="120"/>
            </w:pPr>
          </w:p>
        </w:tc>
      </w:tr>
      <w:tr w:rsidR="00902685" w:rsidRPr="00D60DB7" w14:paraId="64D07ED2" w14:textId="77777777" w:rsidTr="000D10E3">
        <w:tc>
          <w:tcPr>
            <w:tcW w:w="1413" w:type="dxa"/>
          </w:tcPr>
          <w:p w14:paraId="2E2727EF" w14:textId="77777777" w:rsidR="00902685" w:rsidRDefault="00902685" w:rsidP="008E0111">
            <w:pPr>
              <w:spacing w:beforeLines="50" w:before="120" w:afterLines="50" w:after="120"/>
            </w:pPr>
          </w:p>
        </w:tc>
        <w:tc>
          <w:tcPr>
            <w:tcW w:w="1276" w:type="dxa"/>
          </w:tcPr>
          <w:p w14:paraId="5308C096" w14:textId="77777777" w:rsidR="00902685" w:rsidRDefault="00902685" w:rsidP="008E0111">
            <w:pPr>
              <w:spacing w:beforeLines="50" w:before="120" w:afterLines="50" w:after="120"/>
            </w:pPr>
          </w:p>
        </w:tc>
        <w:tc>
          <w:tcPr>
            <w:tcW w:w="1417" w:type="dxa"/>
          </w:tcPr>
          <w:p w14:paraId="2F33BA9E" w14:textId="2FB8790D" w:rsidR="00902685" w:rsidRDefault="00902685" w:rsidP="008E0111">
            <w:pPr>
              <w:spacing w:beforeLines="50" w:before="120" w:afterLines="50" w:after="120"/>
            </w:pPr>
          </w:p>
        </w:tc>
        <w:tc>
          <w:tcPr>
            <w:tcW w:w="5749" w:type="dxa"/>
          </w:tcPr>
          <w:p w14:paraId="6E8AFB1D" w14:textId="77777777" w:rsidR="00902685" w:rsidRPr="00D60DB7" w:rsidRDefault="00902685" w:rsidP="008E0111">
            <w:pPr>
              <w:spacing w:beforeLines="50" w:before="120" w:afterLines="50" w:after="120"/>
            </w:pPr>
          </w:p>
        </w:tc>
      </w:tr>
    </w:tbl>
    <w:p w14:paraId="3842F046" w14:textId="77777777" w:rsidR="00902685" w:rsidRPr="00902685" w:rsidRDefault="00902685" w:rsidP="003D673D">
      <w:pPr>
        <w:overflowPunct w:val="0"/>
        <w:autoSpaceDE w:val="0"/>
        <w:autoSpaceDN w:val="0"/>
        <w:adjustRightInd w:val="0"/>
        <w:spacing w:after="180" w:line="300" w:lineRule="auto"/>
        <w:textAlignment w:val="baseline"/>
        <w:rPr>
          <w:rFonts w:eastAsia="DengXian"/>
        </w:rPr>
      </w:pPr>
    </w:p>
    <w:p w14:paraId="08494548" w14:textId="33258605" w:rsidR="008D6064" w:rsidRPr="003D4166" w:rsidRDefault="00DE32D8" w:rsidP="003D673D">
      <w:pPr>
        <w:overflowPunct w:val="0"/>
        <w:autoSpaceDE w:val="0"/>
        <w:autoSpaceDN w:val="0"/>
        <w:adjustRightInd w:val="0"/>
        <w:spacing w:after="180" w:line="300" w:lineRule="auto"/>
        <w:textAlignment w:val="baseline"/>
        <w:rPr>
          <w:rFonts w:eastAsia="DengXian"/>
          <w:b/>
          <w:bCs/>
        </w:rPr>
      </w:pPr>
      <w:r>
        <w:rPr>
          <w:rFonts w:eastAsia="DengXian"/>
          <w:b/>
          <w:bCs/>
        </w:rPr>
        <w:t xml:space="preserve"> </w:t>
      </w: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Neighbour cell supporting</w:t>
      </w:r>
    </w:p>
    <w:p w14:paraId="51FB6E01" w14:textId="20F9159B" w:rsidR="0080487B" w:rsidRDefault="0080487B" w:rsidP="0080487B">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here is clear majority to support the proposal and with minority objection (see many neutral answers).</w:t>
      </w:r>
      <w:r>
        <w:rPr>
          <w:rFonts w:eastAsia="DengXian"/>
          <w:bCs/>
        </w:rPr>
        <w:t xml:space="preserve"> </w:t>
      </w:r>
    </w:p>
    <w:tbl>
      <w:tblPr>
        <w:tblStyle w:val="TableGrid"/>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autoSpaceDE w:val="0"/>
              <w:autoSpaceDN w:val="0"/>
              <w:spacing w:before="100" w:beforeAutospacing="1" w:after="100" w:afterAutospacing="1"/>
              <w:textAlignment w:val="baseline"/>
              <w:rPr>
                <w:rFonts w:ascii="Calibri" w:eastAsia="SimSun" w:hAnsi="Calibri" w:cs="Calibri"/>
                <w:b/>
                <w:bCs/>
                <w:szCs w:val="21"/>
              </w:rPr>
            </w:pPr>
            <w:r>
              <w:rPr>
                <w:b/>
                <w:bCs/>
              </w:rPr>
              <w:t>Proposal 11’: [</w:t>
            </w:r>
            <w:r>
              <w:rPr>
                <w:b/>
                <w:bCs/>
                <w:highlight w:val="green"/>
              </w:rPr>
              <w:t>Easy</w:t>
            </w:r>
            <w:r>
              <w:rPr>
                <w:b/>
                <w:bCs/>
              </w:rPr>
              <w:t>] System informati</w:t>
            </w:r>
            <w:r w:rsidRPr="000201D7">
              <w:rPr>
                <w:b/>
                <w:bCs/>
              </w:rPr>
              <w:t>on may provide information on which cells and/or frequencies accept RedCap UE access (e.g. by considering whether supporting RedCap).</w:t>
            </w:r>
          </w:p>
        </w:tc>
      </w:tr>
    </w:tbl>
    <w:p w14:paraId="275C83F0" w14:textId="313DE5C3" w:rsidR="005E589C" w:rsidRPr="00D60DB7" w:rsidRDefault="005E589C" w:rsidP="005E589C">
      <w:pPr>
        <w:spacing w:beforeLines="50" w:before="120" w:afterLines="50" w:after="120"/>
        <w:rPr>
          <w:b/>
        </w:rPr>
      </w:pPr>
      <w:r w:rsidRPr="00D60DB7">
        <w:rPr>
          <w:b/>
        </w:rPr>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0201D7">
        <w:tc>
          <w:tcPr>
            <w:tcW w:w="1413" w:type="dxa"/>
          </w:tcPr>
          <w:p w14:paraId="233E663B" w14:textId="77777777" w:rsidR="000201D7" w:rsidRDefault="000201D7" w:rsidP="00EB5A92">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EB5A92">
            <w:pPr>
              <w:spacing w:beforeLines="50" w:before="120" w:afterLines="50" w:after="120"/>
              <w:rPr>
                <w:b/>
              </w:rPr>
            </w:pPr>
            <w:r>
              <w:rPr>
                <w:b/>
              </w:rPr>
              <w:t>Concern, or no concern?</w:t>
            </w:r>
          </w:p>
        </w:tc>
        <w:tc>
          <w:tcPr>
            <w:tcW w:w="6804" w:type="dxa"/>
          </w:tcPr>
          <w:p w14:paraId="0A4836E0" w14:textId="77777777" w:rsidR="000201D7" w:rsidRDefault="000201D7" w:rsidP="00EB5A92">
            <w:pPr>
              <w:spacing w:beforeLines="50" w:before="120" w:afterLines="50" w:after="120"/>
              <w:rPr>
                <w:b/>
              </w:rPr>
            </w:pPr>
            <w:r>
              <w:rPr>
                <w:rFonts w:hint="eastAsia"/>
                <w:b/>
              </w:rPr>
              <w:t>C</w:t>
            </w:r>
            <w:r>
              <w:rPr>
                <w:b/>
              </w:rPr>
              <w:t>omments</w:t>
            </w:r>
          </w:p>
        </w:tc>
      </w:tr>
      <w:tr w:rsidR="00551CB6" w:rsidRPr="00D60DB7" w14:paraId="214D1CB0" w14:textId="77777777" w:rsidTr="000201D7">
        <w:tc>
          <w:tcPr>
            <w:tcW w:w="1413" w:type="dxa"/>
          </w:tcPr>
          <w:p w14:paraId="04B321BC" w14:textId="2AEC841F" w:rsidR="00551CB6" w:rsidRPr="000D10E3" w:rsidRDefault="00551CB6" w:rsidP="00551CB6">
            <w:pPr>
              <w:spacing w:beforeLines="50" w:before="120" w:afterLines="50" w:after="120"/>
              <w:rPr>
                <w:rFonts w:eastAsia="DengXian"/>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0201D7">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0201D7">
        <w:tc>
          <w:tcPr>
            <w:tcW w:w="1413" w:type="dxa"/>
          </w:tcPr>
          <w:p w14:paraId="33B20206" w14:textId="77777777" w:rsidR="00551CB6" w:rsidRDefault="00551CB6" w:rsidP="00551CB6">
            <w:pPr>
              <w:spacing w:beforeLines="50" w:before="120" w:afterLines="50" w:after="120"/>
            </w:pPr>
          </w:p>
        </w:tc>
        <w:tc>
          <w:tcPr>
            <w:tcW w:w="1417" w:type="dxa"/>
          </w:tcPr>
          <w:p w14:paraId="4F046065" w14:textId="77777777" w:rsidR="00551CB6" w:rsidRDefault="00551CB6" w:rsidP="00551CB6">
            <w:pPr>
              <w:spacing w:beforeLines="50" w:before="120" w:afterLines="50" w:after="120"/>
            </w:pPr>
          </w:p>
        </w:tc>
        <w:tc>
          <w:tcPr>
            <w:tcW w:w="6804" w:type="dxa"/>
          </w:tcPr>
          <w:p w14:paraId="7F179530" w14:textId="77777777" w:rsidR="00551CB6" w:rsidRPr="00D60DB7" w:rsidRDefault="00551CB6" w:rsidP="00551CB6">
            <w:pPr>
              <w:spacing w:beforeLines="50" w:before="120" w:afterLines="50" w:after="120"/>
            </w:pPr>
          </w:p>
        </w:tc>
      </w:tr>
      <w:tr w:rsidR="00551CB6" w:rsidRPr="00D60DB7" w14:paraId="3078D4FD" w14:textId="77777777" w:rsidTr="000201D7">
        <w:tc>
          <w:tcPr>
            <w:tcW w:w="1413" w:type="dxa"/>
          </w:tcPr>
          <w:p w14:paraId="50571787" w14:textId="77777777" w:rsidR="00551CB6" w:rsidRDefault="00551CB6" w:rsidP="00551CB6">
            <w:pPr>
              <w:spacing w:beforeLines="50" w:before="120" w:afterLines="50" w:after="120"/>
            </w:pPr>
          </w:p>
        </w:tc>
        <w:tc>
          <w:tcPr>
            <w:tcW w:w="1417" w:type="dxa"/>
          </w:tcPr>
          <w:p w14:paraId="382E7F65" w14:textId="77777777" w:rsidR="00551CB6" w:rsidRDefault="00551CB6" w:rsidP="00551CB6">
            <w:pPr>
              <w:spacing w:beforeLines="50" w:before="120" w:afterLines="50" w:after="120"/>
            </w:pPr>
          </w:p>
        </w:tc>
        <w:tc>
          <w:tcPr>
            <w:tcW w:w="6804" w:type="dxa"/>
          </w:tcPr>
          <w:p w14:paraId="4971DEB0" w14:textId="77777777" w:rsidR="00551CB6" w:rsidRPr="00D60DB7" w:rsidRDefault="00551CB6" w:rsidP="00551CB6">
            <w:pPr>
              <w:spacing w:beforeLines="50" w:before="120" w:afterLines="50" w:after="120"/>
            </w:pPr>
          </w:p>
        </w:tc>
      </w:tr>
    </w:tbl>
    <w:p w14:paraId="268FB997" w14:textId="77777777" w:rsidR="005E589C" w:rsidRPr="00902685" w:rsidRDefault="005E589C" w:rsidP="005E589C">
      <w:pPr>
        <w:overflowPunct w:val="0"/>
        <w:autoSpaceDE w:val="0"/>
        <w:autoSpaceDN w:val="0"/>
        <w:adjustRightInd w:val="0"/>
        <w:spacing w:after="180" w:line="300" w:lineRule="auto"/>
        <w:textAlignment w:val="baseline"/>
        <w:rPr>
          <w:rFonts w:eastAsia="DengXian"/>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DengXian"/>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DengXian"/>
          <w:b/>
        </w:rPr>
      </w:pPr>
    </w:p>
    <w:p w14:paraId="5BCBBC50" w14:textId="77777777" w:rsidR="005A27CB" w:rsidRPr="0080487B" w:rsidRDefault="005A27CB">
      <w:pPr>
        <w:spacing w:beforeLines="50" w:before="120" w:afterLines="50" w:after="120"/>
        <w:rPr>
          <w:rFonts w:eastAsia="DengXian"/>
          <w: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441D3836" w14:textId="77FF34B5" w:rsidR="004B11DF" w:rsidRDefault="004B11DF" w:rsidP="004B11DF">
      <w:pPr>
        <w:numPr>
          <w:ilvl w:val="0"/>
          <w:numId w:val="21"/>
        </w:numPr>
        <w:overflowPunct w:val="0"/>
        <w:autoSpaceDE w:val="0"/>
        <w:autoSpaceDN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utoSpaceDE w:val="0"/>
        <w:autoSpaceDN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utoSpaceDE w:val="0"/>
        <w:autoSpaceDN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utoSpaceDE w:val="0"/>
        <w:autoSpaceDN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utoSpaceDE w:val="0"/>
        <w:autoSpaceDN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utoSpaceDE w:val="0"/>
        <w:autoSpaceDN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utoSpaceDE w:val="0"/>
        <w:autoSpaceDN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utoSpaceDE w:val="0"/>
        <w:autoSpaceDN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5A73" w14:textId="77777777" w:rsidR="00C63787" w:rsidRDefault="00C63787">
      <w:r>
        <w:separator/>
      </w:r>
    </w:p>
  </w:endnote>
  <w:endnote w:type="continuationSeparator" w:id="0">
    <w:p w14:paraId="42E89B97" w14:textId="77777777" w:rsidR="00C63787" w:rsidRDefault="00C6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SimSun"/>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FE1" w14:textId="4B224D12" w:rsidR="008E0111" w:rsidRDefault="008E0111">
    <w:pPr>
      <w:pStyle w:val="Footer"/>
      <w:tabs>
        <w:tab w:val="center" w:pos="4820"/>
        <w:tab w:val="right" w:pos="9639"/>
      </w:tabs>
    </w:pPr>
    <w:r>
      <w:tab/>
    </w:r>
    <w:r>
      <w:fldChar w:fldCharType="begin"/>
    </w:r>
    <w:r>
      <w:rPr>
        <w:rStyle w:val="PageNumber"/>
      </w:rPr>
      <w:instrText xml:space="preserve"> PAGE </w:instrText>
    </w:r>
    <w:r>
      <w:fldChar w:fldCharType="separate"/>
    </w:r>
    <w:r w:rsidR="000201D7">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sidR="000201D7">
      <w:rPr>
        <w:rStyle w:val="PageNumber"/>
        <w:noProof/>
      </w:rPr>
      <w:t>8</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7C03" w14:textId="77777777" w:rsidR="00C63787" w:rsidRDefault="00C63787">
      <w:r>
        <w:separator/>
      </w:r>
    </w:p>
  </w:footnote>
  <w:footnote w:type="continuationSeparator" w:id="0">
    <w:p w14:paraId="53504356" w14:textId="77777777" w:rsidR="00C63787" w:rsidRDefault="00C6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99" w14:textId="77777777" w:rsidR="008E0111" w:rsidRDefault="008E01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55E6B"/>
    <w:multiLevelType w:val="hybridMultilevel"/>
    <w:tmpl w:val="0C325A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1"/>
  </w:num>
  <w:num w:numId="5">
    <w:abstractNumId w:val="15"/>
  </w:num>
  <w:num w:numId="6">
    <w:abstractNumId w:val="21"/>
  </w:num>
  <w:num w:numId="7">
    <w:abstractNumId w:val="23"/>
  </w:num>
  <w:num w:numId="8">
    <w:abstractNumId w:val="12"/>
  </w:num>
  <w:num w:numId="9">
    <w:abstractNumId w:val="24"/>
  </w:num>
  <w:num w:numId="10">
    <w:abstractNumId w:val="33"/>
  </w:num>
  <w:num w:numId="11">
    <w:abstractNumId w:val="28"/>
    <w:lvlOverride w:ilvl="0">
      <w:startOverride w:val="1"/>
    </w:lvlOverride>
  </w:num>
  <w:num w:numId="12">
    <w:abstractNumId w:val="7"/>
  </w:num>
  <w:num w:numId="13">
    <w:abstractNumId w:val="18"/>
  </w:num>
  <w:num w:numId="14">
    <w:abstractNumId w:val="27"/>
  </w:num>
  <w:num w:numId="15">
    <w:abstractNumId w:val="25"/>
  </w:num>
  <w:num w:numId="16">
    <w:abstractNumId w:val="11"/>
  </w:num>
  <w:num w:numId="17">
    <w:abstractNumId w:val="16"/>
  </w:num>
  <w:num w:numId="18">
    <w:abstractNumId w:val="30"/>
  </w:num>
  <w:num w:numId="19">
    <w:abstractNumId w:val="6"/>
  </w:num>
  <w:num w:numId="20">
    <w:abstractNumId w:val="8"/>
  </w:num>
  <w:num w:numId="21">
    <w:abstractNumId w:val="5"/>
  </w:num>
  <w:num w:numId="22">
    <w:abstractNumId w:val="30"/>
  </w:num>
  <w:num w:numId="23">
    <w:abstractNumId w:val="34"/>
  </w:num>
  <w:num w:numId="24">
    <w:abstractNumId w:val="33"/>
  </w:num>
  <w:num w:numId="25">
    <w:abstractNumId w:val="20"/>
  </w:num>
  <w:num w:numId="26">
    <w:abstractNumId w:val="35"/>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7"/>
  </w:num>
  <w:num w:numId="34">
    <w:abstractNumId w:val="10"/>
  </w:num>
  <w:num w:numId="35">
    <w:abstractNumId w:val="32"/>
  </w:num>
  <w:num w:numId="36">
    <w:abstractNumId w:val="26"/>
  </w:num>
  <w:num w:numId="37">
    <w:abstractNumId w:val="1"/>
  </w:num>
  <w:num w:numId="38">
    <w:abstractNumId w:val="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uiPriority="3" w:qFormat="1"/>
    <w:lsdException w:name="footnote reference" w:semiHidden="1"/>
    <w:lsdException w:name="annotation reference" w:qFormat="1"/>
    <w:lsdException w:name="page number" w:semiHidden="1"/>
    <w:lsdException w:name="List" w:uiPriority="99"/>
    <w:lsdException w:name="List Bullet" w:uiPriority="1" w:qFormat="1"/>
    <w:lsdException w:name="List Number" w:uiPriority="2"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qFormat="1"/>
    <w:lsdException w:name="Subtitle" w:qFormat="1"/>
    <w:lsdException w:name="Hyperlink" w:uiPriority="99" w:qFormat="1"/>
    <w:lsdException w:name="FollowedHyperlink" w:semiHidden="1"/>
    <w:lsdException w:name="Strong" w:uiPriority="39" w:qFormat="1"/>
    <w:lsdException w:name="Emphasis" w:uiPriority="39"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299"/>
    <w:pPr>
      <w:spacing w:after="160" w:line="259" w:lineRule="auto"/>
    </w:pPr>
    <w:rPr>
      <w:rFonts w:asciiTheme="minorHAnsi" w:eastAsiaTheme="minorHAnsi" w:hAnsiTheme="minorHAnsi" w:cstheme="minorBidi"/>
      <w:sz w:val="22"/>
      <w:szCs w:val="22"/>
      <w:lang w:val="en-GB" w:bidi="he-IL"/>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9502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299"/>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Batang"/>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 w:type="paragraph" w:customStyle="1" w:styleId="SQNDocTitle">
    <w:name w:val="SQN Doc Title"/>
    <w:basedOn w:val="Normal"/>
    <w:next w:val="Normal"/>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1807</Words>
  <Characters>10301</Characters>
  <Application>Microsoft Office Word</Application>
  <DocSecurity>0</DocSecurity>
  <Lines>85</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Sequans</cp:lastModifiedBy>
  <cp:revision>96</cp:revision>
  <cp:lastPrinted>2021-09-29T18:28:00Z</cp:lastPrinted>
  <dcterms:created xsi:type="dcterms:W3CDTF">2022-01-20T10:01:00Z</dcterms:created>
  <dcterms:modified xsi:type="dcterms:W3CDTF">2022-01-20T17:25:00Z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