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[AT116bis-e][</w:t>
      </w:r>
      <w:proofErr w:type="gramStart"/>
      <w:r w:rsidR="005F08E1" w:rsidRPr="00250449">
        <w:rPr>
          <w:rFonts w:ascii="Arial" w:hAnsi="Arial" w:cs="Arial"/>
          <w:b/>
          <w:bCs/>
          <w:sz w:val="24"/>
          <w:lang w:val="en-US"/>
        </w:rPr>
        <w:t>058][</w:t>
      </w:r>
      <w:proofErr w:type="spellStart"/>
      <w:proofErr w:type="gramEnd"/>
      <w:r w:rsidR="005F08E1" w:rsidRPr="00250449">
        <w:rPr>
          <w:rFonts w:ascii="Arial" w:hAnsi="Arial" w:cs="Arial"/>
          <w:b/>
          <w:bCs/>
          <w:sz w:val="24"/>
          <w:lang w:val="en-US"/>
        </w:rPr>
        <w:t>ePowSav</w:t>
      </w:r>
      <w:proofErr w:type="spellEnd"/>
      <w:r w:rsidR="005F08E1" w:rsidRPr="00250449">
        <w:rPr>
          <w:rFonts w:ascii="Arial" w:hAnsi="Arial" w:cs="Arial"/>
          <w:b/>
          <w:bCs/>
          <w:sz w:val="24"/>
          <w:lang w:val="en-US"/>
        </w:rPr>
        <w:t>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</w:t>
      </w:r>
      <w:proofErr w:type="gramStart"/>
      <w:r>
        <w:t>058][</w:t>
      </w:r>
      <w:proofErr w:type="spellStart"/>
      <w:proofErr w:type="gramEnd"/>
      <w:r>
        <w:t>ePowSav</w:t>
      </w:r>
      <w:proofErr w:type="spellEnd"/>
      <w:r>
        <w:t>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 Bergström</w:t>
            </w:r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01907B62" w:rsidR="0027364F" w:rsidRPr="009B3FDE" w:rsidRDefault="009B3FDE" w:rsidP="008479C5">
            <w:pPr>
              <w:spacing w:after="0"/>
              <w:rPr>
                <w:szCs w:val="20"/>
                <w:lang w:val="en-US" w:eastAsia="ja-JP"/>
              </w:rPr>
            </w:pPr>
            <w:r>
              <w:rPr>
                <w:szCs w:val="20"/>
                <w:lang w:val="en-US" w:eastAsia="ja-JP"/>
              </w:rPr>
              <w:t>Sequans</w:t>
            </w:r>
          </w:p>
        </w:tc>
        <w:tc>
          <w:tcPr>
            <w:tcW w:w="2687" w:type="dxa"/>
          </w:tcPr>
          <w:p w14:paraId="1A9CA829" w14:textId="12E811D1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 Cayron</w:t>
            </w:r>
          </w:p>
        </w:tc>
        <w:tc>
          <w:tcPr>
            <w:tcW w:w="4903" w:type="dxa"/>
          </w:tcPr>
          <w:p w14:paraId="06EBEFCF" w14:textId="146BC6FD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noam.cayron@sequans.com</w:t>
            </w: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9C85F3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FA0345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09B6D501" w14:textId="77777777" w:rsidTr="008479C5">
        <w:tc>
          <w:tcPr>
            <w:tcW w:w="1760" w:type="dxa"/>
          </w:tcPr>
          <w:p w14:paraId="4F36C157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2A40C5D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6A7AF285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CFEC5B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4F4A11A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186324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442AB58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84C16EB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A182696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B1136A9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E6AC2B0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7825CA9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7F29769D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A6F5C2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D2FC014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Leave RAN2 to decide whether Need for the </w:t>
            </w:r>
            <w:proofErr w:type="spellStart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gNB</w:t>
            </w:r>
            <w:proofErr w:type="spellEnd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 xml:space="preserve">Whether Need for the </w:t>
      </w:r>
      <w:proofErr w:type="spellStart"/>
      <w:r w:rsidRPr="005B1CC9">
        <w:rPr>
          <w:rFonts w:asciiTheme="majorHAnsi" w:hAnsiTheme="majorHAnsi" w:cstheme="majorHAnsi"/>
          <w:szCs w:val="18"/>
          <w:lang w:eastAsia="ja-JP"/>
        </w:rPr>
        <w:t>gNB</w:t>
      </w:r>
      <w:proofErr w:type="spellEnd"/>
      <w:r w:rsidRPr="005B1CC9">
        <w:rPr>
          <w:rFonts w:asciiTheme="majorHAnsi" w:hAnsiTheme="majorHAnsi" w:cstheme="majorHAnsi"/>
          <w:szCs w:val="18"/>
          <w:lang w:eastAsia="ja-JP"/>
        </w:rPr>
        <w:t xml:space="preserve">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and</w:t>
      </w:r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has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also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</w:t>
      </w:r>
      <w:proofErr w:type="gramStart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i.e.</w:t>
      </w:r>
      <w:proofErr w:type="gramEnd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K=1) while the cell is configured with PEI and subgrouping (i.e. K&gt;1) as UE will not know which paging indication bit to monitor for the paging indication value of {0,1}.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ld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also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when the UE and </w:t>
      </w:r>
      <w:proofErr w:type="spellStart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gNB</w:t>
      </w:r>
      <w:proofErr w:type="spellEnd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 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 xml:space="preserve">Whether Need for the </w:t>
      </w:r>
      <w:proofErr w:type="spellStart"/>
      <w:r w:rsidR="005B1CC9" w:rsidRPr="005B1CC9">
        <w:t>gNB</w:t>
      </w:r>
      <w:proofErr w:type="spellEnd"/>
      <w:r w:rsidR="005B1CC9" w:rsidRPr="005B1CC9">
        <w:t xml:space="preserve">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‘optional with capability signalling’ (as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 xml:space="preserve">. The PEI and subgrouping capabilities need to be both known by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so that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</w:t>
      </w:r>
      <w:proofErr w:type="spellStart"/>
      <w:r w:rsidR="0022407C" w:rsidRPr="0022407C">
        <w:rPr>
          <w:rStyle w:val="normaltextrun"/>
          <w:rFonts w:eastAsia="Malgun Gothic"/>
          <w:szCs w:val="20"/>
          <w:lang w:val="en-US"/>
        </w:rPr>
        <w:t>UERadioPagingInfo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IE (new) in the </w:t>
      </w:r>
      <w:proofErr w:type="spellStart"/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proofErr w:type="spellStart"/>
      <w:r w:rsidRPr="00CB509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interprets UE’s reported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 xml:space="preserve">informing the PEI/subgroup capability over the </w:t>
      </w:r>
      <w:proofErr w:type="spellStart"/>
      <w:r w:rsidR="00D50166">
        <w:rPr>
          <w:rStyle w:val="normaltextrun"/>
          <w:rFonts w:eastAsia="Malgun Gothic"/>
          <w:szCs w:val="20"/>
          <w:lang w:val="en-US"/>
        </w:rPr>
        <w:t>Xn</w:t>
      </w:r>
      <w:proofErr w:type="spellEnd"/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 xml:space="preserve">UE Radio Capability for Paging is not present on the F1 interface, but as PEI transmission is typically handled by lower layers in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 xml:space="preserve">-DU, the information about whether PEI shall be transmitted before a PO needs to be provided to the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>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</w:t>
      </w:r>
      <w:proofErr w:type="spellStart"/>
      <w:r w:rsidR="00571C44">
        <w:rPr>
          <w:rStyle w:val="normaltextrun"/>
          <w:rFonts w:eastAsia="Malgun Gothic"/>
          <w:szCs w:val="20"/>
        </w:rPr>
        <w:t>gNB</w:t>
      </w:r>
      <w:proofErr w:type="spellEnd"/>
      <w:r w:rsidR="00571C44">
        <w:rPr>
          <w:rStyle w:val="normaltextrun"/>
          <w:rFonts w:eastAsia="Malgun Gothic"/>
          <w:szCs w:val="20"/>
        </w:rPr>
        <w:t xml:space="preserve">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ED6196">
        <w:rPr>
          <w:rStyle w:val="normaltextrun"/>
          <w:rFonts w:eastAsia="Malgun Gothic"/>
          <w:szCs w:val="20"/>
        </w:rPr>
        <w:t xml:space="preserve"> (</w:t>
      </w:r>
      <w:proofErr w:type="gramStart"/>
      <w:r w:rsidR="00ED6196">
        <w:rPr>
          <w:rStyle w:val="normaltextrun"/>
          <w:rFonts w:eastAsia="Malgun Gothic"/>
          <w:szCs w:val="20"/>
        </w:rPr>
        <w:t>e.g.</w:t>
      </w:r>
      <w:proofErr w:type="gramEnd"/>
      <w:r w:rsidR="00ED6196">
        <w:rPr>
          <w:rStyle w:val="normaltextrun"/>
          <w:rFonts w:eastAsia="Malgun Gothic"/>
          <w:szCs w:val="20"/>
        </w:rPr>
        <w:t xml:space="preserve">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proofErr w:type="spellStart"/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proofErr w:type="spellStart"/>
      <w:r w:rsidR="00F76A58" w:rsidRPr="00F76A58">
        <w:rPr>
          <w:rStyle w:val="normaltextrun"/>
          <w:rFonts w:eastAsia="Malgun Gothic"/>
          <w:szCs w:val="20"/>
        </w:rPr>
        <w:t>gNB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interprets UE’s reported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 xml:space="preserve">that there </w:t>
      </w:r>
      <w:proofErr w:type="spellStart"/>
      <w:r w:rsidR="00523F32">
        <w:rPr>
          <w:rStyle w:val="normaltextrun"/>
          <w:rFonts w:eastAsia="Malgun Gothic"/>
          <w:szCs w:val="20"/>
        </w:rPr>
        <w:t>maybe</w:t>
      </w:r>
      <w:proofErr w:type="spellEnd"/>
      <w:r w:rsidR="00523F32">
        <w:rPr>
          <w:rStyle w:val="normaltextrun"/>
          <w:rFonts w:eastAsia="Malgun Gothic"/>
          <w:szCs w:val="20"/>
        </w:rPr>
        <w:t xml:space="preserve">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</w:t>
      </w:r>
      <w:proofErr w:type="spellStart"/>
      <w:r>
        <w:t>ies</w:t>
      </w:r>
      <w:proofErr w:type="spellEnd"/>
      <w:r>
        <w:t>)</w:t>
      </w:r>
      <w:r w:rsidRPr="0A7332AD">
        <w:rPr>
          <w:rStyle w:val="normaltextrun"/>
          <w:rFonts w:eastAsia="Malgun Gothic"/>
        </w:rPr>
        <w:t xml:space="preserve"> (</w:t>
      </w:r>
      <w:proofErr w:type="gramStart"/>
      <w:r w:rsidRPr="0A7332AD">
        <w:rPr>
          <w:rStyle w:val="normaltextrun"/>
          <w:rFonts w:eastAsia="Malgun Gothic"/>
        </w:rPr>
        <w:t>e.g.</w:t>
      </w:r>
      <w:proofErr w:type="gramEnd"/>
      <w:r w:rsidRPr="0A7332AD">
        <w:rPr>
          <w:rStyle w:val="normaltextrun"/>
          <w:rFonts w:eastAsia="Malgun Gothic"/>
        </w:rPr>
        <w:t xml:space="preserve"> PEI capability, UEID based subgrouping capability or the combined capability of PEI and UEID based subgrouping) are ‘optional with capability signalling’ as </w:t>
      </w:r>
      <w:proofErr w:type="spellStart"/>
      <w:r w:rsidRPr="0A7332AD">
        <w:rPr>
          <w:rStyle w:val="normaltextrun"/>
          <w:rFonts w:eastAsia="Malgun Gothic"/>
        </w:rPr>
        <w:t>gNB</w:t>
      </w:r>
      <w:proofErr w:type="spellEnd"/>
      <w:r w:rsidRPr="0A7332AD">
        <w:rPr>
          <w:rStyle w:val="normaltextrun"/>
          <w:rFonts w:eastAsia="Malgun Gothic"/>
        </w:rPr>
        <w:t xml:space="preserve"> needs to know the paging enhancement capability(-</w:t>
      </w:r>
      <w:proofErr w:type="spellStart"/>
      <w:r w:rsidRPr="0A7332AD">
        <w:rPr>
          <w:rStyle w:val="normaltextrun"/>
          <w:rFonts w:eastAsia="Malgun Gothic"/>
        </w:rPr>
        <w:t>ies</w:t>
      </w:r>
      <w:proofErr w:type="spellEnd"/>
      <w:r w:rsidRPr="0A7332AD">
        <w:rPr>
          <w:rStyle w:val="normaltextrun"/>
          <w:rFonts w:eastAsia="Malgun Gothic"/>
        </w:rPr>
        <w:t>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49A059B5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6F4F48E" w14:textId="76300BA4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3E56D4B6" w14:textId="77777777" w:rsidR="00BA3721" w:rsidRDefault="00BA3721" w:rsidP="008479C5"/>
        </w:tc>
      </w:tr>
      <w:tr w:rsidR="009B3FDE" w14:paraId="550D22D4" w14:textId="77777777" w:rsidTr="008479C5">
        <w:tc>
          <w:tcPr>
            <w:tcW w:w="1696" w:type="dxa"/>
          </w:tcPr>
          <w:p w14:paraId="4F6CC576" w14:textId="77777777" w:rsidR="009B3FDE" w:rsidRDefault="009B3FDE" w:rsidP="008479C5"/>
        </w:tc>
        <w:tc>
          <w:tcPr>
            <w:tcW w:w="1134" w:type="dxa"/>
          </w:tcPr>
          <w:p w14:paraId="1AE012F7" w14:textId="77777777" w:rsidR="009B3FDE" w:rsidRDefault="009B3FDE" w:rsidP="008479C5"/>
        </w:tc>
        <w:tc>
          <w:tcPr>
            <w:tcW w:w="7089" w:type="dxa"/>
          </w:tcPr>
          <w:p w14:paraId="21445211" w14:textId="77777777" w:rsidR="009B3FDE" w:rsidRDefault="009B3FDE" w:rsidP="008479C5"/>
        </w:tc>
      </w:tr>
    </w:tbl>
    <w:p w14:paraId="25266A27" w14:textId="77777777" w:rsidR="00BA3721" w:rsidRDefault="00BA3721" w:rsidP="00BA3721"/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>capability(-</w:t>
      </w:r>
      <w:proofErr w:type="spellStart"/>
      <w:r>
        <w:rPr>
          <w:rStyle w:val="normaltextrun"/>
          <w:rFonts w:eastAsia="Malgun Gothic"/>
          <w:szCs w:val="20"/>
        </w:rPr>
        <w:t>ies</w:t>
      </w:r>
      <w:proofErr w:type="spellEnd"/>
      <w:r>
        <w:rPr>
          <w:rStyle w:val="normaltextrun"/>
          <w:rFonts w:eastAsia="Malgun Gothic"/>
          <w:szCs w:val="20"/>
        </w:rPr>
        <w:t xml:space="preserve">) can be included into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</w:t>
      </w:r>
      <w:proofErr w:type="gramStart"/>
      <w:r>
        <w:rPr>
          <w:rStyle w:val="normaltextrun"/>
          <w:rFonts w:eastAsia="Malgun Gothic"/>
          <w:szCs w:val="20"/>
          <w:lang w:val="en-US"/>
        </w:rPr>
        <w:t>i.e.</w:t>
      </w:r>
      <w:proofErr w:type="gramEnd"/>
      <w:r>
        <w:rPr>
          <w:rStyle w:val="normaltextrun"/>
          <w:rFonts w:eastAsia="Malgun Gothic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3FDF1E2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E141C58" w14:textId="2682978C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BA3721" w14:paraId="442BD283" w14:textId="77777777" w:rsidTr="008479C5">
        <w:tc>
          <w:tcPr>
            <w:tcW w:w="1696" w:type="dxa"/>
          </w:tcPr>
          <w:p w14:paraId="6EFF9B2E" w14:textId="77777777" w:rsidR="00BA3721" w:rsidRDefault="00BA3721" w:rsidP="008479C5"/>
        </w:tc>
        <w:tc>
          <w:tcPr>
            <w:tcW w:w="1134" w:type="dxa"/>
          </w:tcPr>
          <w:p w14:paraId="5EF131BD" w14:textId="77777777" w:rsidR="00BA3721" w:rsidRDefault="00BA3721" w:rsidP="008479C5"/>
        </w:tc>
        <w:tc>
          <w:tcPr>
            <w:tcW w:w="7089" w:type="dxa"/>
          </w:tcPr>
          <w:p w14:paraId="660E0D94" w14:textId="77777777" w:rsidR="00BA3721" w:rsidRDefault="00BA3721" w:rsidP="008479C5"/>
        </w:tc>
      </w:tr>
    </w:tbl>
    <w:p w14:paraId="6037CD12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proofErr w:type="spellStart"/>
      <w:r w:rsidRPr="120625C8">
        <w:rPr>
          <w:rStyle w:val="normaltextrun"/>
          <w:rFonts w:eastAsia="Malgun Gothic"/>
        </w:rPr>
        <w:t>gNB</w:t>
      </w:r>
      <w:proofErr w:type="spellEnd"/>
      <w:r w:rsidRPr="120625C8">
        <w:rPr>
          <w:rStyle w:val="normaltextrun"/>
          <w:rFonts w:eastAsia="Malgun Gothic"/>
        </w:rPr>
        <w:t xml:space="preserve"> interprets UE’s reported </w:t>
      </w:r>
      <w:proofErr w:type="spellStart"/>
      <w:r w:rsidRPr="120625C8">
        <w:rPr>
          <w:rStyle w:val="normaltextrun"/>
          <w:rFonts w:eastAsia="Malgun Gothic"/>
          <w:i/>
        </w:rPr>
        <w:t>UECapabilityInformation</w:t>
      </w:r>
      <w:proofErr w:type="spellEnd"/>
      <w:r w:rsidRPr="120625C8">
        <w:rPr>
          <w:rStyle w:val="normaltextrun"/>
          <w:rFonts w:eastAsia="Malgun Gothic"/>
        </w:rPr>
        <w:t xml:space="preserve">, copies the </w:t>
      </w:r>
      <w:proofErr w:type="spellStart"/>
      <w:r w:rsidRPr="120625C8">
        <w:rPr>
          <w:rStyle w:val="normaltextrun"/>
          <w:rFonts w:eastAsia="Malgun Gothic"/>
          <w:i/>
        </w:rPr>
        <w:t>UERadioPagingInfo</w:t>
      </w:r>
      <w:proofErr w:type="spellEnd"/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</w:t>
      </w:r>
      <w:proofErr w:type="spellStart"/>
      <w:r w:rsidRPr="120625C8">
        <w:rPr>
          <w:rStyle w:val="normaltextrun"/>
          <w:rFonts w:eastAsia="Malgun Gothic"/>
          <w:i/>
        </w:rPr>
        <w:t>RadioPagingInfo</w:t>
      </w:r>
      <w:proofErr w:type="spellEnd"/>
      <w:r w:rsidRPr="120625C8">
        <w:rPr>
          <w:rStyle w:val="normaltextrun"/>
          <w:rFonts w:eastAsia="Malgun Gothic"/>
        </w:rPr>
        <w:t xml:space="preserve"> IE in the </w:t>
      </w:r>
      <w:proofErr w:type="spellStart"/>
      <w:r w:rsidRPr="120625C8">
        <w:rPr>
          <w:rStyle w:val="normaltextrun"/>
          <w:rFonts w:eastAsia="Malgun Gothic"/>
          <w:i/>
        </w:rPr>
        <w:t>UERadioPagingInformation</w:t>
      </w:r>
      <w:proofErr w:type="spellEnd"/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AFC9ED6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2DE78860" w14:textId="0A67940D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BA3721" w14:paraId="754729C2" w14:textId="77777777" w:rsidTr="008479C5">
        <w:tc>
          <w:tcPr>
            <w:tcW w:w="1696" w:type="dxa"/>
          </w:tcPr>
          <w:p w14:paraId="4E88794C" w14:textId="77777777" w:rsidR="00BA3721" w:rsidRDefault="00BA3721" w:rsidP="008479C5"/>
        </w:tc>
        <w:tc>
          <w:tcPr>
            <w:tcW w:w="1134" w:type="dxa"/>
          </w:tcPr>
          <w:p w14:paraId="64A23418" w14:textId="77777777" w:rsidR="00BA3721" w:rsidRDefault="00BA3721" w:rsidP="008479C5"/>
        </w:tc>
        <w:tc>
          <w:tcPr>
            <w:tcW w:w="7089" w:type="dxa"/>
          </w:tcPr>
          <w:p w14:paraId="3DB5749B" w14:textId="77777777" w:rsidR="00BA3721" w:rsidRDefault="00BA3721" w:rsidP="008479C5"/>
        </w:tc>
      </w:tr>
    </w:tbl>
    <w:p w14:paraId="29A91E5C" w14:textId="6CBD31E9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 xml:space="preserve">n RAN2#116e meeting, RAN2 discussed whether to introduce common or separate UE capabilities for UE-ID based subgrouping and CN-assigned </w:t>
      </w:r>
      <w:proofErr w:type="gramStart"/>
      <w:r>
        <w:t>subgrouping, and</w:t>
      </w:r>
      <w:proofErr w:type="gramEnd"/>
      <w:r>
        <w:t xml:space="preserve">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lastRenderedPageBreak/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42A77537" w:rsidR="00CD683A" w:rsidRDefault="009B3FDE" w:rsidP="008479C5">
            <w:r>
              <w:t>Sequans</w:t>
            </w:r>
          </w:p>
        </w:tc>
        <w:tc>
          <w:tcPr>
            <w:tcW w:w="1134" w:type="dxa"/>
          </w:tcPr>
          <w:p w14:paraId="5F56CB21" w14:textId="38B92578" w:rsidR="00CD683A" w:rsidRDefault="009B3FDE" w:rsidP="008479C5">
            <w:r>
              <w:t>Yes</w:t>
            </w:r>
          </w:p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CD683A" w14:paraId="443FC44E" w14:textId="77777777" w:rsidTr="008479C5">
        <w:tc>
          <w:tcPr>
            <w:tcW w:w="1696" w:type="dxa"/>
          </w:tcPr>
          <w:p w14:paraId="02C9FB24" w14:textId="77777777" w:rsidR="00CD683A" w:rsidRDefault="00CD683A" w:rsidP="008479C5"/>
        </w:tc>
        <w:tc>
          <w:tcPr>
            <w:tcW w:w="1134" w:type="dxa"/>
          </w:tcPr>
          <w:p w14:paraId="19B444DC" w14:textId="77777777" w:rsidR="00CD683A" w:rsidRDefault="00CD683A" w:rsidP="008479C5"/>
        </w:tc>
        <w:tc>
          <w:tcPr>
            <w:tcW w:w="7089" w:type="dxa"/>
          </w:tcPr>
          <w:p w14:paraId="33C268EB" w14:textId="77777777" w:rsidR="00CD683A" w:rsidRDefault="00CD683A" w:rsidP="008479C5"/>
        </w:tc>
      </w:tr>
    </w:tbl>
    <w:p w14:paraId="69064C14" w14:textId="77777777" w:rsidR="00CD683A" w:rsidRDefault="00CD683A" w:rsidP="007539B1"/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 xml:space="preserve">known to the </w:t>
      </w:r>
      <w:proofErr w:type="spellStart"/>
      <w:r w:rsidR="00F23F6B" w:rsidRPr="00CD683A">
        <w:rPr>
          <w:color w:val="808080" w:themeColor="background1" w:themeShade="80"/>
        </w:rPr>
        <w:t>gNB</w:t>
      </w:r>
      <w:proofErr w:type="spellEnd"/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</w:t>
      </w:r>
      <w:proofErr w:type="spellStart"/>
      <w:r w:rsidR="008C65C7" w:rsidRPr="00CD683A">
        <w:rPr>
          <w:color w:val="808080" w:themeColor="background1" w:themeShade="80"/>
        </w:rPr>
        <w:t>SIBx</w:t>
      </w:r>
      <w:proofErr w:type="spellEnd"/>
      <w:r w:rsidR="008C65C7" w:rsidRPr="00CD683A">
        <w:rPr>
          <w:color w:val="808080" w:themeColor="background1" w:themeShade="80"/>
        </w:rPr>
        <w:t>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r w:rsidR="00183A6C" w:rsidRPr="00CD683A">
        <w:rPr>
          <w:color w:val="808080" w:themeColor="background1" w:themeShade="80"/>
        </w:rPr>
        <w:t>and also</w:t>
      </w:r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5810B221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[8] </w:t>
      </w:r>
      <w:r w:rsidR="00D33CDD" w:rsidRPr="00CD683A">
        <w:rPr>
          <w:color w:val="808080" w:themeColor="background1" w:themeShade="80"/>
        </w:rPr>
        <w:t>thinks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UEs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>e and inactive UEs.</w:t>
      </w:r>
      <w:r w:rsidR="009163F7" w:rsidRPr="00CD683A">
        <w:rPr>
          <w:color w:val="808080" w:themeColor="background1" w:themeShade="80"/>
        </w:rPr>
        <w:t xml:space="preserve"> </w:t>
      </w:r>
      <w:proofErr w:type="gramStart"/>
      <w:r w:rsidR="009163F7" w:rsidRPr="00CD683A">
        <w:rPr>
          <w:color w:val="808080" w:themeColor="background1" w:themeShade="80"/>
        </w:rPr>
        <w:t>Likewise</w:t>
      </w:r>
      <w:proofErr w:type="gramEnd"/>
      <w:r w:rsidR="009163F7" w:rsidRPr="00CD683A">
        <w:rPr>
          <w:color w:val="808080" w:themeColor="background1" w:themeShade="80"/>
        </w:rPr>
        <w:t xml:space="preserve">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[14] just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</w:t>
      </w:r>
      <w:proofErr w:type="spellStart"/>
      <w:r w:rsidR="00247E10" w:rsidRPr="00CD683A">
        <w:rPr>
          <w:color w:val="808080" w:themeColor="background1" w:themeShade="80"/>
        </w:rPr>
        <w:t>gNB</w:t>
      </w:r>
      <w:proofErr w:type="spellEnd"/>
      <w:r w:rsidR="00247E10" w:rsidRPr="00CD683A">
        <w:rPr>
          <w:color w:val="808080" w:themeColor="background1" w:themeShade="80"/>
        </w:rPr>
        <w:t xml:space="preserve">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</w:t>
      </w:r>
      <w:proofErr w:type="spellStart"/>
      <w:r w:rsidR="00895FB6" w:rsidRPr="00CD683A">
        <w:rPr>
          <w:color w:val="808080" w:themeColor="background1" w:themeShade="80"/>
        </w:rPr>
        <w:t>gNB</w:t>
      </w:r>
      <w:proofErr w:type="spellEnd"/>
      <w:r w:rsidR="00895FB6" w:rsidRPr="00CD683A">
        <w:rPr>
          <w:color w:val="808080" w:themeColor="background1" w:themeShade="80"/>
        </w:rPr>
        <w:t xml:space="preserve">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a network vendor that think</w:t>
      </w:r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</w:t>
      </w:r>
      <w:proofErr w:type="spellStart"/>
      <w:r w:rsidR="004D694B" w:rsidRPr="00CD683A">
        <w:rPr>
          <w:color w:val="808080" w:themeColor="background1" w:themeShade="80"/>
        </w:rPr>
        <w:t>gNB</w:t>
      </w:r>
      <w:proofErr w:type="spellEnd"/>
      <w:r w:rsidR="004D694B" w:rsidRPr="00CD683A">
        <w:rPr>
          <w:color w:val="808080" w:themeColor="background1" w:themeShade="80"/>
        </w:rPr>
        <w:t xml:space="preserve">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 xml:space="preserve">ial for the </w:t>
      </w:r>
      <w:proofErr w:type="spellStart"/>
      <w:r w:rsidR="007B36A0" w:rsidRPr="00CD683A">
        <w:rPr>
          <w:color w:val="808080" w:themeColor="background1" w:themeShade="80"/>
        </w:rPr>
        <w:t>gNB</w:t>
      </w:r>
      <w:proofErr w:type="spellEnd"/>
      <w:r w:rsidR="007B36A0" w:rsidRPr="00CD683A">
        <w:rPr>
          <w:color w:val="808080" w:themeColor="background1" w:themeShade="80"/>
        </w:rPr>
        <w:t xml:space="preserve"> to know</w:t>
      </w:r>
    </w:p>
    <w:p w14:paraId="748C2591" w14:textId="2CB2D1B9" w:rsidR="00CF2667" w:rsidRDefault="00CF2667" w:rsidP="00840375">
      <w:pPr>
        <w:pStyle w:val="Heading1"/>
      </w:pPr>
      <w:r>
        <w:lastRenderedPageBreak/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4804A694" w:rsidR="003D4A58" w:rsidRDefault="009B3FDE" w:rsidP="008479C5">
            <w:r>
              <w:t>Sequans</w:t>
            </w:r>
          </w:p>
        </w:tc>
        <w:tc>
          <w:tcPr>
            <w:tcW w:w="1134" w:type="dxa"/>
          </w:tcPr>
          <w:p w14:paraId="374A4C71" w14:textId="5D38716A" w:rsidR="003D4A58" w:rsidRDefault="009B3FDE" w:rsidP="008479C5">
            <w:r>
              <w:t>Yes</w:t>
            </w:r>
          </w:p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3D4A58" w14:paraId="08FC2FB9" w14:textId="77777777" w:rsidTr="008479C5">
        <w:tc>
          <w:tcPr>
            <w:tcW w:w="1696" w:type="dxa"/>
          </w:tcPr>
          <w:p w14:paraId="3019C1D9" w14:textId="77777777" w:rsidR="003D4A58" w:rsidRDefault="003D4A58" w:rsidP="008479C5"/>
        </w:tc>
        <w:tc>
          <w:tcPr>
            <w:tcW w:w="1134" w:type="dxa"/>
          </w:tcPr>
          <w:p w14:paraId="672E7C7E" w14:textId="77777777" w:rsidR="003D4A58" w:rsidRDefault="003D4A58" w:rsidP="008479C5"/>
        </w:tc>
        <w:tc>
          <w:tcPr>
            <w:tcW w:w="7089" w:type="dxa"/>
          </w:tcPr>
          <w:p w14:paraId="7D6AE5BB" w14:textId="77777777" w:rsidR="003D4A58" w:rsidRDefault="003D4A58" w:rsidP="008479C5"/>
        </w:tc>
      </w:tr>
    </w:tbl>
    <w:p w14:paraId="4DBF7830" w14:textId="77777777" w:rsidR="003D4A58" w:rsidRDefault="003D4A58" w:rsidP="003D4A58"/>
    <w:p w14:paraId="3E90621B" w14:textId="77777777" w:rsidR="003D4A58" w:rsidRPr="00C52D26" w:rsidRDefault="003D4A58" w:rsidP="00373909"/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78188AD9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09D9EBFB" w:rsidR="003C09CD" w:rsidRDefault="0085204B" w:rsidP="008479C5">
            <w:r>
              <w:t>Sequans</w:t>
            </w:r>
          </w:p>
        </w:tc>
        <w:tc>
          <w:tcPr>
            <w:tcW w:w="1134" w:type="dxa"/>
          </w:tcPr>
          <w:p w14:paraId="694AFF9E" w14:textId="4C7EE2A0" w:rsidR="003C09CD" w:rsidRDefault="0085204B" w:rsidP="008479C5">
            <w:r>
              <w:t>Yes</w:t>
            </w:r>
          </w:p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3C09CD" w14:paraId="1C0C5104" w14:textId="77777777" w:rsidTr="008479C5">
        <w:tc>
          <w:tcPr>
            <w:tcW w:w="1696" w:type="dxa"/>
          </w:tcPr>
          <w:p w14:paraId="6B9606C5" w14:textId="77777777" w:rsidR="003C09CD" w:rsidRDefault="003C09CD" w:rsidP="008479C5"/>
        </w:tc>
        <w:tc>
          <w:tcPr>
            <w:tcW w:w="1134" w:type="dxa"/>
          </w:tcPr>
          <w:p w14:paraId="758EB171" w14:textId="77777777" w:rsidR="003C09CD" w:rsidRDefault="003C09CD" w:rsidP="008479C5"/>
        </w:tc>
        <w:tc>
          <w:tcPr>
            <w:tcW w:w="7089" w:type="dxa"/>
          </w:tcPr>
          <w:p w14:paraId="7E3A423E" w14:textId="77777777" w:rsidR="003C09CD" w:rsidRDefault="003C09CD" w:rsidP="008479C5"/>
        </w:tc>
      </w:tr>
    </w:tbl>
    <w:p w14:paraId="70EB607C" w14:textId="77777777" w:rsidR="003C09CD" w:rsidRPr="006B281D" w:rsidRDefault="003C09CD" w:rsidP="006B281D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0B39CFC" w:rsidR="00280D62" w:rsidRDefault="0034770A" w:rsidP="57DA470E">
      <w:r>
        <w:t>To be added later</w:t>
      </w:r>
    </w:p>
    <w:p w14:paraId="0947B117" w14:textId="270EDF8E" w:rsidR="00140772" w:rsidRDefault="00140772" w:rsidP="00140772">
      <w:pPr>
        <w:pStyle w:val="Heading1"/>
      </w:pPr>
      <w:r>
        <w:lastRenderedPageBreak/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4085" w14:textId="77777777" w:rsidR="009D1CFD" w:rsidRDefault="009D1CFD"/>
  </w:endnote>
  <w:endnote w:type="continuationSeparator" w:id="0">
    <w:p w14:paraId="66DC5C02" w14:textId="77777777" w:rsidR="009D1CFD" w:rsidRDefault="009D1CFD"/>
  </w:endnote>
  <w:endnote w:type="continuationNotice" w:id="1">
    <w:p w14:paraId="7CC4F095" w14:textId="77777777" w:rsidR="009D1CFD" w:rsidRDefault="009D1C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SimSun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FB8B" w14:textId="77777777" w:rsidR="009D1CFD" w:rsidRDefault="009D1CFD"/>
  </w:footnote>
  <w:footnote w:type="continuationSeparator" w:id="0">
    <w:p w14:paraId="6193BCAD" w14:textId="77777777" w:rsidR="009D1CFD" w:rsidRDefault="009D1CFD"/>
  </w:footnote>
  <w:footnote w:type="continuationNotice" w:id="1">
    <w:p w14:paraId="2E9F2243" w14:textId="77777777" w:rsidR="009D1CFD" w:rsidRDefault="009D1C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04B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3FD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CFD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16</TotalTime>
  <Pages>7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Sequans</cp:lastModifiedBy>
  <cp:revision>4</cp:revision>
  <cp:lastPrinted>2017-10-24T05:18:00Z</cp:lastPrinted>
  <dcterms:created xsi:type="dcterms:W3CDTF">2022-01-19T05:59:00Z</dcterms:created>
  <dcterms:modified xsi:type="dcterms:W3CDTF">2022-01-20T15:40:00Z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