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t>To:RAN2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1"/>
        <w:jc w:val="both"/>
      </w:pPr>
      <w:r w:rsidRPr="00955B2E">
        <w:t>2   Contact info</w:t>
      </w:r>
    </w:p>
    <w:tbl>
      <w:tblPr>
        <w:tblStyle w:val="a6"/>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uawei, HiSilicon</w:t>
            </w:r>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rPr>
            </w:pPr>
            <w:r>
              <w:rPr>
                <w:rFonts w:eastAsiaTheme="minorEastAsia" w:hint="eastAsia"/>
              </w:rPr>
              <w:t>X</w:t>
            </w:r>
            <w:r>
              <w:rPr>
                <w:rFonts w:eastAsiaTheme="minorEastAsia"/>
              </w:rPr>
              <w:t>iaodong Yang</w:t>
            </w:r>
          </w:p>
        </w:tc>
        <w:tc>
          <w:tcPr>
            <w:tcW w:w="3211" w:type="dxa"/>
          </w:tcPr>
          <w:p w14:paraId="36ABCD6A" w14:textId="6F9AB69F" w:rsidR="00EF4A83" w:rsidRPr="00C937DA" w:rsidRDefault="00C937DA" w:rsidP="00296EDF">
            <w:pPr>
              <w:rPr>
                <w:rFonts w:eastAsiaTheme="minorEastAsia"/>
              </w:rPr>
            </w:pPr>
            <w:r>
              <w:rPr>
                <w:rFonts w:eastAsiaTheme="minorEastAsia"/>
              </w:rPr>
              <w:t>Yangxiaodong5g@vivo.com</w:t>
            </w:r>
          </w:p>
        </w:tc>
      </w:tr>
      <w:tr w:rsidR="00EF4A83" w14:paraId="2EB21D36" w14:textId="77777777" w:rsidTr="00296EDF">
        <w:tc>
          <w:tcPr>
            <w:tcW w:w="3210" w:type="dxa"/>
          </w:tcPr>
          <w:p w14:paraId="6C7082DE" w14:textId="00E6362D" w:rsidR="00EF4A83" w:rsidRPr="00C25DF8" w:rsidRDefault="00C25DF8" w:rsidP="00296EDF">
            <w:pPr>
              <w:rPr>
                <w:rFonts w:eastAsiaTheme="minorEastAsia" w:hint="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296EDF">
            <w:pPr>
              <w:rPr>
                <w:rFonts w:eastAsiaTheme="minorEastAsia" w:hint="eastAsia"/>
              </w:rPr>
            </w:pPr>
            <w:r>
              <w:rPr>
                <w:rFonts w:eastAsiaTheme="minorEastAsia" w:hint="eastAsia"/>
              </w:rPr>
              <w:t>L</w:t>
            </w:r>
            <w:r>
              <w:rPr>
                <w:rFonts w:eastAsiaTheme="minorEastAsia"/>
              </w:rPr>
              <w:t>iuJing</w:t>
            </w:r>
          </w:p>
        </w:tc>
        <w:tc>
          <w:tcPr>
            <w:tcW w:w="3211" w:type="dxa"/>
          </w:tcPr>
          <w:p w14:paraId="0861E59B" w14:textId="1F0907A2" w:rsidR="00EF4A83" w:rsidRPr="00C25DF8" w:rsidRDefault="00C25DF8" w:rsidP="00296EDF">
            <w:pPr>
              <w:rPr>
                <w:rFonts w:eastAsiaTheme="minorEastAsia" w:hint="eastAsia"/>
              </w:rPr>
            </w:pPr>
            <w:r>
              <w:rPr>
                <w:rFonts w:eastAsiaTheme="minorEastAsia"/>
              </w:rPr>
              <w:t>liu.jing30@zte.com.cn</w:t>
            </w:r>
          </w:p>
        </w:tc>
      </w:tr>
      <w:tr w:rsidR="00EF4A83" w14:paraId="7490BC0C" w14:textId="77777777" w:rsidTr="00296EDF">
        <w:tc>
          <w:tcPr>
            <w:tcW w:w="3210" w:type="dxa"/>
          </w:tcPr>
          <w:p w14:paraId="02177969" w14:textId="77777777" w:rsidR="00EF4A83" w:rsidRDefault="00EF4A83" w:rsidP="00296EDF">
            <w:pPr>
              <w:rPr>
                <w:lang w:eastAsia="en-US"/>
              </w:rPr>
            </w:pPr>
          </w:p>
        </w:tc>
        <w:tc>
          <w:tcPr>
            <w:tcW w:w="3210" w:type="dxa"/>
          </w:tcPr>
          <w:p w14:paraId="59996DFC" w14:textId="77777777" w:rsidR="00EF4A83" w:rsidRDefault="00EF4A83" w:rsidP="00296EDF">
            <w:pPr>
              <w:rPr>
                <w:lang w:eastAsia="en-US"/>
              </w:rPr>
            </w:pPr>
          </w:p>
        </w:tc>
        <w:tc>
          <w:tcPr>
            <w:tcW w:w="3211" w:type="dxa"/>
          </w:tcPr>
          <w:p w14:paraId="6E1D4945" w14:textId="77777777" w:rsidR="00EF4A83" w:rsidRDefault="00EF4A83" w:rsidP="00296EDF">
            <w:pPr>
              <w:rPr>
                <w:lang w:eastAsia="en-US"/>
              </w:rPr>
            </w:pPr>
          </w:p>
        </w:tc>
      </w:tr>
      <w:tr w:rsidR="00EF4A83" w14:paraId="05C3BF54" w14:textId="77777777" w:rsidTr="00296EDF">
        <w:tc>
          <w:tcPr>
            <w:tcW w:w="3210" w:type="dxa"/>
          </w:tcPr>
          <w:p w14:paraId="6F8B0C6C" w14:textId="77777777" w:rsidR="00EF4A83" w:rsidRDefault="00EF4A83" w:rsidP="00296EDF">
            <w:pPr>
              <w:rPr>
                <w:lang w:eastAsia="en-US"/>
              </w:rPr>
            </w:pPr>
          </w:p>
        </w:tc>
        <w:tc>
          <w:tcPr>
            <w:tcW w:w="3210" w:type="dxa"/>
          </w:tcPr>
          <w:p w14:paraId="44687303" w14:textId="77777777" w:rsidR="00EF4A83" w:rsidRDefault="00EF4A83" w:rsidP="00296EDF">
            <w:pPr>
              <w:rPr>
                <w:lang w:eastAsia="en-US"/>
              </w:rPr>
            </w:pPr>
          </w:p>
        </w:tc>
        <w:tc>
          <w:tcPr>
            <w:tcW w:w="3211" w:type="dxa"/>
          </w:tcPr>
          <w:p w14:paraId="76110397" w14:textId="77777777" w:rsidR="00EF4A83" w:rsidRDefault="00EF4A83" w:rsidP="00296EDF">
            <w:pPr>
              <w:rPr>
                <w:lang w:eastAsia="en-US"/>
              </w:rPr>
            </w:pPr>
          </w:p>
        </w:tc>
      </w:tr>
      <w:tr w:rsidR="00EF4A83" w14:paraId="087D36BD" w14:textId="77777777" w:rsidTr="00296EDF">
        <w:tc>
          <w:tcPr>
            <w:tcW w:w="3210" w:type="dxa"/>
          </w:tcPr>
          <w:p w14:paraId="418FBC94" w14:textId="77777777" w:rsidR="00EF4A83" w:rsidRDefault="00EF4A83" w:rsidP="00296EDF">
            <w:pPr>
              <w:rPr>
                <w:lang w:eastAsia="en-US"/>
              </w:rPr>
            </w:pPr>
          </w:p>
        </w:tc>
        <w:tc>
          <w:tcPr>
            <w:tcW w:w="3210" w:type="dxa"/>
          </w:tcPr>
          <w:p w14:paraId="4242430C" w14:textId="77777777" w:rsidR="00EF4A83" w:rsidRDefault="00EF4A83" w:rsidP="00296EDF">
            <w:pPr>
              <w:rPr>
                <w:lang w:eastAsia="en-US"/>
              </w:rPr>
            </w:pPr>
          </w:p>
        </w:tc>
        <w:tc>
          <w:tcPr>
            <w:tcW w:w="3211" w:type="dxa"/>
          </w:tcPr>
          <w:p w14:paraId="0312EF91" w14:textId="77777777" w:rsidR="00EF4A83" w:rsidRDefault="00EF4A83" w:rsidP="00296EDF">
            <w:pPr>
              <w:rPr>
                <w:lang w:eastAsia="en-US"/>
              </w:rPr>
            </w:pPr>
          </w:p>
        </w:tc>
      </w:tr>
    </w:tbl>
    <w:p w14:paraId="6B7F5B7E" w14:textId="77777777" w:rsidR="00EF4A83" w:rsidRDefault="00EF4A83" w:rsidP="00EF4A83">
      <w:pPr>
        <w:pStyle w:val="1"/>
        <w:ind w:left="0" w:firstLine="0"/>
        <w:jc w:val="both"/>
      </w:pPr>
      <w:r>
        <w:t>3   Phase 1 Discussion</w:t>
      </w:r>
    </w:p>
    <w:p w14:paraId="2CADC8D8" w14:textId="35B746A3" w:rsidR="00604733" w:rsidRDefault="00EF4A83" w:rsidP="00EF4A83">
      <w:pPr>
        <w:pStyle w:val="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w:t>
      </w:r>
      <w:bookmarkStart w:id="1" w:name="_GoBack"/>
      <w:bookmarkEnd w:id="1"/>
      <w:r w:rsidR="00286219">
        <w:rPr>
          <w:rFonts w:cs="Arial"/>
          <w:lang w:val="en-US" w:eastAsia="zh-CN"/>
        </w:rPr>
        <w:t>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a6"/>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3: In SA deployment scenario, for synchronous FR2 CA configuration, the SFN and subframe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subframe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the SFN and subframe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2F7F41CC" w:rsidR="00AF1421" w:rsidRPr="00C25DF8" w:rsidRDefault="00C25DF8"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hint="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77777777" w:rsidR="00AF1421" w:rsidRDefault="00AF1421" w:rsidP="00AF1421">
            <w:pPr>
              <w:spacing w:before="100" w:beforeAutospacing="1" w:after="100" w:afterAutospacing="1"/>
              <w:jc w:val="both"/>
              <w:rPr>
                <w:bCs/>
                <w:kern w:val="2"/>
              </w:rPr>
            </w:pPr>
          </w:p>
        </w:tc>
        <w:tc>
          <w:tcPr>
            <w:tcW w:w="3113" w:type="dxa"/>
          </w:tcPr>
          <w:p w14:paraId="0F8DC9A4" w14:textId="77777777" w:rsidR="00AF1421" w:rsidRDefault="00AF1421" w:rsidP="00AF1421">
            <w:pPr>
              <w:spacing w:before="100" w:beforeAutospacing="1" w:after="100" w:afterAutospacing="1"/>
              <w:jc w:val="both"/>
              <w:rPr>
                <w:bCs/>
                <w:kern w:val="2"/>
              </w:rPr>
            </w:pPr>
          </w:p>
        </w:tc>
        <w:tc>
          <w:tcPr>
            <w:tcW w:w="4966" w:type="dxa"/>
          </w:tcPr>
          <w:p w14:paraId="4D7D4BC1" w14:textId="77777777" w:rsidR="00AF1421" w:rsidRDefault="00AF1421" w:rsidP="00AF1421">
            <w:pPr>
              <w:spacing w:before="100" w:beforeAutospacing="1" w:after="100" w:afterAutospacing="1"/>
              <w:jc w:val="both"/>
              <w:rPr>
                <w:bCs/>
                <w:kern w:val="2"/>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220408DB" w:rsidR="00AF1421" w:rsidRPr="00C25DF8" w:rsidRDefault="00C25DF8"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77777777" w:rsidR="00AF1421" w:rsidRDefault="00AF1421" w:rsidP="00AF1421">
            <w:pPr>
              <w:spacing w:before="100" w:beforeAutospacing="1" w:after="100" w:afterAutospacing="1"/>
              <w:jc w:val="both"/>
              <w:rPr>
                <w:bCs/>
                <w:kern w:val="2"/>
              </w:rPr>
            </w:pPr>
          </w:p>
        </w:tc>
        <w:tc>
          <w:tcPr>
            <w:tcW w:w="3113" w:type="dxa"/>
          </w:tcPr>
          <w:p w14:paraId="4AD994D7" w14:textId="77777777" w:rsidR="00AF1421" w:rsidRDefault="00AF1421" w:rsidP="00AF1421">
            <w:pPr>
              <w:spacing w:before="100" w:beforeAutospacing="1" w:after="100" w:afterAutospacing="1"/>
              <w:jc w:val="both"/>
              <w:rPr>
                <w:bCs/>
                <w:kern w:val="2"/>
              </w:rPr>
            </w:pPr>
          </w:p>
        </w:tc>
        <w:tc>
          <w:tcPr>
            <w:tcW w:w="4966" w:type="dxa"/>
          </w:tcPr>
          <w:p w14:paraId="182FD858" w14:textId="77777777" w:rsidR="00AF1421" w:rsidRDefault="00AF1421" w:rsidP="00AF1421">
            <w:pPr>
              <w:spacing w:before="100" w:beforeAutospacing="1" w:after="100" w:afterAutospacing="1"/>
              <w:jc w:val="both"/>
              <w:rPr>
                <w:bCs/>
                <w:kern w:val="2"/>
              </w:rPr>
            </w:pPr>
          </w:p>
        </w:tc>
      </w:tr>
    </w:tbl>
    <w:p w14:paraId="46B26E62" w14:textId="3879AF50" w:rsidR="00286219" w:rsidRPr="00730FCA" w:rsidRDefault="00730FCA" w:rsidP="00730FCA">
      <w:pPr>
        <w:pStyle w:val="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af"/>
        <w:rPr>
          <w:ins w:id="2" w:author="Apple" w:date="2022-01-19T12:26:00Z"/>
        </w:rPr>
      </w:pPr>
      <w:ins w:id="3" w:author="Apple" w:date="2022-01-19T12:25:00Z">
        <w:r>
          <w:t>In last RAN plenary meeting, it was agreed that MR-DC scenario is included. It was also captured in the revised WID</w:t>
        </w:r>
      </w:ins>
      <w:ins w:id="4" w:author="Apple" w:date="2022-01-19T12:31:00Z">
        <w:r w:rsidR="009B7B7F" w:rsidRPr="009B7B7F">
          <w:t xml:space="preserve"> RP-213666 </w:t>
        </w:r>
      </w:ins>
      <w:ins w:id="5" w:author="Apple" w:date="2022-01-19T12:25:00Z">
        <w:r>
          <w:t xml:space="preserve">that </w:t>
        </w:r>
      </w:ins>
      <w:ins w:id="6" w:author="Apple" w:date="2022-01-19T12:26:00Z">
        <w:r>
          <w:t>eNB oper</w:t>
        </w:r>
      </w:ins>
      <w:ins w:id="7" w:author="Apple" w:date="2022-01-19T12:27:00Z">
        <w:r>
          <w:t>ation or LTE RRC should not be impacted.</w:t>
        </w:r>
      </w:ins>
    </w:p>
    <w:tbl>
      <w:tblPr>
        <w:tblStyle w:val="a6"/>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UE Tx power management</w:t>
            </w:r>
          </w:p>
          <w:p w14:paraId="7B60C3CF" w14:textId="77777777" w:rsidR="00CF78E2" w:rsidRPr="00995D7A" w:rsidRDefault="00CF78E2" w:rsidP="0024318A">
            <w:pPr>
              <w:numPr>
                <w:ilvl w:val="2"/>
                <w:numId w:val="27"/>
              </w:numPr>
              <w:contextualSpacing/>
              <w:rPr>
                <w:rFonts w:ascii="Arial" w:eastAsia="宋体" w:hAnsi="Arial" w:cs="Arial"/>
                <w:sz w:val="20"/>
                <w:szCs w:val="20"/>
              </w:rPr>
            </w:pPr>
            <w:r w:rsidRPr="00995D7A">
              <w:rPr>
                <w:rFonts w:ascii="Arial" w:eastAsia="宋体"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8" w:author="Apple" w:date="2021-12-30T15:56:00Z">
              <w:r w:rsidRPr="00995D7A">
                <w:rPr>
                  <w:rFonts w:ascii="Arial" w:hAnsi="Arial" w:cs="Arial"/>
                  <w:sz w:val="20"/>
                  <w:szCs w:val="20"/>
                </w:rPr>
                <w:t>Note: The work of FR2 UL gaps includes (NG) EN-DC, NE-DC, NR-DC and SA. FR2 UL gap operation shall have no impacts to eNB operation or LTE RRC.</w:t>
              </w:r>
            </w:ins>
          </w:p>
        </w:tc>
      </w:tr>
    </w:tbl>
    <w:p w14:paraId="24DF500A" w14:textId="77777777" w:rsidR="00CF78E2" w:rsidRDefault="00CF78E2" w:rsidP="00C35AC3">
      <w:pPr>
        <w:pStyle w:val="af"/>
        <w:rPr>
          <w:ins w:id="9" w:author="Apple" w:date="2022-01-19T12:25:00Z"/>
        </w:rPr>
      </w:pPr>
    </w:p>
    <w:p w14:paraId="5F9080C4" w14:textId="37132C08" w:rsidR="00C35AC3" w:rsidRPr="00730FCA" w:rsidRDefault="00C35AC3" w:rsidP="00C35AC3">
      <w:pPr>
        <w:pStyle w:val="af"/>
      </w:pPr>
      <w:r>
        <w:t xml:space="preserve">Before </w:t>
      </w:r>
      <w:r w:rsidR="009E414B">
        <w:t xml:space="preserve">RAN2 </w:t>
      </w:r>
      <w:r>
        <w:t>receiv</w:t>
      </w:r>
      <w:r w:rsidR="009E414B">
        <w:t>es</w:t>
      </w:r>
      <w:r>
        <w:t xml:space="preserve"> RAN4 reply</w:t>
      </w:r>
      <w:ins w:id="10" w:author="Apple" w:date="2022-01-19T12:31:00Z">
        <w:r w:rsidR="009B7B7F">
          <w:t xml:space="preserve"> to LS </w:t>
        </w:r>
      </w:ins>
      <w:ins w:id="11"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3"/>
        <w:spacing w:before="380"/>
      </w:pPr>
      <w:r>
        <w:lastRenderedPageBreak/>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a6"/>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a6"/>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13AC05FC" w14:textId="00E6C985"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496E53C9" w14:textId="6F48A02A" w:rsidR="00AF1421" w:rsidRDefault="00AF1421" w:rsidP="00AF1421">
            <w:pPr>
              <w:spacing w:before="100" w:beforeAutospacing="1" w:after="100" w:afterAutospacing="1"/>
              <w:jc w:val="both"/>
              <w:rPr>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296EDF">
        <w:tc>
          <w:tcPr>
            <w:tcW w:w="1555" w:type="dxa"/>
          </w:tcPr>
          <w:p w14:paraId="20F4C915" w14:textId="2347049B" w:rsidR="00AF1421" w:rsidRPr="00C25DF8" w:rsidRDefault="00C25DF8"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hint="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38064F83" w:rsidR="0006148F" w:rsidRDefault="0006148F" w:rsidP="0006148F">
            <w:pPr>
              <w:spacing w:afterLines="50" w:after="120"/>
              <w:jc w:val="both"/>
              <w:rPr>
                <w:rFonts w:eastAsiaTheme="minorEastAsia"/>
                <w:bCs/>
                <w:kern w:val="2"/>
              </w:rPr>
            </w:pPr>
            <w:r>
              <w:rPr>
                <w:rFonts w:eastAsiaTheme="minorEastAsia"/>
                <w:bCs/>
                <w:kern w:val="2"/>
              </w:rPr>
              <w:t xml:space="preserve">While for NR-DC, actually it doesn’t make much sense to define two different solutions for “without FR2-FR2” case and “with FR2-FR2” case. </w:t>
            </w:r>
          </w:p>
          <w:p w14:paraId="5E3A0E75" w14:textId="3572EFFE" w:rsidR="0006148F" w:rsidRPr="00ED50C0" w:rsidRDefault="0006148F" w:rsidP="00ED50C0">
            <w:pPr>
              <w:spacing w:afterLines="50" w:after="120"/>
              <w:jc w:val="both"/>
              <w:rPr>
                <w:rFonts w:eastAsiaTheme="minorEastAsia" w:hint="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xml:space="preserve">, or if RAN4 can conclude that MN and SN can configure two independent FR2 UL gaps for </w:t>
            </w:r>
            <w:r w:rsidR="00ED50C0">
              <w:rPr>
                <w:rFonts w:eastAsiaTheme="minorEastAsia"/>
                <w:bCs/>
                <w:kern w:val="2"/>
              </w:rPr>
              <w:lastRenderedPageBreak/>
              <w:t>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296EDF">
        <w:tc>
          <w:tcPr>
            <w:tcW w:w="1555" w:type="dxa"/>
          </w:tcPr>
          <w:p w14:paraId="414A1D43" w14:textId="77777777" w:rsidR="00AF1421" w:rsidRDefault="00AF1421" w:rsidP="00AF1421">
            <w:pPr>
              <w:spacing w:before="100" w:beforeAutospacing="1" w:after="100" w:afterAutospacing="1"/>
              <w:jc w:val="both"/>
              <w:rPr>
                <w:bCs/>
                <w:kern w:val="2"/>
              </w:rPr>
            </w:pPr>
          </w:p>
        </w:tc>
        <w:tc>
          <w:tcPr>
            <w:tcW w:w="3113" w:type="dxa"/>
          </w:tcPr>
          <w:p w14:paraId="53516D2E" w14:textId="77777777" w:rsidR="00AF1421" w:rsidRDefault="00AF1421" w:rsidP="00AF1421">
            <w:pPr>
              <w:spacing w:before="100" w:beforeAutospacing="1" w:after="100" w:afterAutospacing="1"/>
              <w:jc w:val="both"/>
              <w:rPr>
                <w:bCs/>
                <w:kern w:val="2"/>
              </w:rPr>
            </w:pPr>
          </w:p>
        </w:tc>
        <w:tc>
          <w:tcPr>
            <w:tcW w:w="4966" w:type="dxa"/>
          </w:tcPr>
          <w:p w14:paraId="75D64F61" w14:textId="6D8FB12C" w:rsidR="00AF1421" w:rsidRPr="0006148F" w:rsidRDefault="00AF1421" w:rsidP="00AF1421">
            <w:pPr>
              <w:spacing w:before="100" w:beforeAutospacing="1" w:after="100" w:afterAutospacing="1"/>
              <w:jc w:val="both"/>
              <w:rPr>
                <w:bCs/>
                <w:kern w:val="2"/>
              </w:rPr>
            </w:pP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a6"/>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a6"/>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327AC85F"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r>
              <w:rPr>
                <w:rFonts w:eastAsiaTheme="minorEastAsia"/>
                <w:bCs/>
                <w:kern w:val="2"/>
              </w:rPr>
              <w:t>Yes for EN-DC and NE-DC;</w:t>
            </w:r>
          </w:p>
          <w:p w14:paraId="50B26269" w14:textId="41ACC7A7" w:rsidR="00ED50C0" w:rsidRPr="00ED50C0" w:rsidRDefault="00ED50C0" w:rsidP="00AF1421">
            <w:pPr>
              <w:spacing w:before="100" w:beforeAutospacing="1" w:after="100" w:afterAutospacing="1"/>
              <w:jc w:val="both"/>
              <w:rPr>
                <w:rFonts w:eastAsiaTheme="minorEastAsia" w:hint="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bCs/>
                <w:kern w:val="2"/>
              </w:rPr>
              <w:t xml:space="preserve">For NR-DC, please see our comment to Q3. </w:t>
            </w:r>
          </w:p>
        </w:tc>
      </w:tr>
      <w:tr w:rsidR="00AF1421" w14:paraId="3263E23F" w14:textId="77777777" w:rsidTr="00296EDF">
        <w:tc>
          <w:tcPr>
            <w:tcW w:w="1555" w:type="dxa"/>
          </w:tcPr>
          <w:p w14:paraId="66271AA1" w14:textId="77777777" w:rsidR="00AF1421" w:rsidRDefault="00AF1421" w:rsidP="00AF1421">
            <w:pPr>
              <w:spacing w:before="100" w:beforeAutospacing="1" w:after="100" w:afterAutospacing="1"/>
              <w:jc w:val="both"/>
              <w:rPr>
                <w:bCs/>
                <w:kern w:val="2"/>
              </w:rPr>
            </w:pPr>
          </w:p>
        </w:tc>
        <w:tc>
          <w:tcPr>
            <w:tcW w:w="3113" w:type="dxa"/>
          </w:tcPr>
          <w:p w14:paraId="053582A9" w14:textId="77777777" w:rsidR="00AF1421" w:rsidRDefault="00AF1421" w:rsidP="00AF1421">
            <w:pPr>
              <w:spacing w:before="100" w:beforeAutospacing="1" w:after="100" w:afterAutospacing="1"/>
              <w:jc w:val="both"/>
              <w:rPr>
                <w:bCs/>
                <w:kern w:val="2"/>
              </w:rPr>
            </w:pPr>
          </w:p>
        </w:tc>
        <w:tc>
          <w:tcPr>
            <w:tcW w:w="4966" w:type="dxa"/>
          </w:tcPr>
          <w:p w14:paraId="70E23DA5" w14:textId="77777777" w:rsidR="00AF1421" w:rsidRDefault="00AF1421" w:rsidP="00AF1421">
            <w:pPr>
              <w:spacing w:before="100" w:beforeAutospacing="1" w:after="100" w:afterAutospacing="1"/>
              <w:jc w:val="both"/>
              <w:rPr>
                <w:bCs/>
                <w:kern w:val="2"/>
              </w:rPr>
            </w:pPr>
          </w:p>
        </w:tc>
      </w:tr>
    </w:tbl>
    <w:p w14:paraId="040664EE" w14:textId="2B451F1C" w:rsidR="005515D1" w:rsidRDefault="005515D1" w:rsidP="00B838EC">
      <w:pPr>
        <w:tabs>
          <w:tab w:val="left" w:pos="1061"/>
        </w:tabs>
        <w:spacing w:before="100" w:beforeAutospacing="1" w:after="100" w:afterAutospacing="1"/>
        <w:jc w:val="both"/>
        <w:rPr>
          <w:rFonts w:ascii="Arial" w:hAnsi="Arial" w:cs="Arial"/>
          <w:b/>
          <w:kern w:val="2"/>
          <w:sz w:val="20"/>
          <w:szCs w:val="20"/>
          <w:lang w:val="en-US"/>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a6"/>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as timing reference for the SFN and subframe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EN-DC, NE-DC and NR-DC without FR2-FR2 BC, use FR2 serving cell inside the CG with FR2 band as timing reference for the SFN and subframe calculation in FR2 UL gap calculation</w:t>
      </w:r>
      <w:r w:rsidRPr="00726648">
        <w:rPr>
          <w:b/>
          <w:kern w:val="2"/>
          <w:lang w:val="en-US"/>
        </w:rPr>
        <w:t>?</w:t>
      </w:r>
    </w:p>
    <w:tbl>
      <w:tblPr>
        <w:tblStyle w:val="a6"/>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4B6066C9"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bCs/>
                <w:kern w:val="2"/>
              </w:rPr>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77777777" w:rsidR="00AF1421" w:rsidRDefault="00AF1421" w:rsidP="00AF1421">
            <w:pPr>
              <w:spacing w:before="100" w:beforeAutospacing="1" w:after="100" w:afterAutospacing="1"/>
              <w:jc w:val="both"/>
              <w:rPr>
                <w:bCs/>
                <w:kern w:val="2"/>
              </w:rPr>
            </w:pPr>
          </w:p>
        </w:tc>
        <w:tc>
          <w:tcPr>
            <w:tcW w:w="3113" w:type="dxa"/>
          </w:tcPr>
          <w:p w14:paraId="22A65E58" w14:textId="77777777" w:rsidR="00AF1421" w:rsidRDefault="00AF1421" w:rsidP="00AF1421">
            <w:pPr>
              <w:spacing w:before="100" w:beforeAutospacing="1" w:after="100" w:afterAutospacing="1"/>
              <w:jc w:val="both"/>
              <w:rPr>
                <w:bCs/>
                <w:kern w:val="2"/>
              </w:rPr>
            </w:pPr>
          </w:p>
        </w:tc>
        <w:tc>
          <w:tcPr>
            <w:tcW w:w="4966" w:type="dxa"/>
          </w:tcPr>
          <w:p w14:paraId="637E0D44" w14:textId="77777777" w:rsidR="00AF1421" w:rsidRDefault="00AF1421" w:rsidP="00AF1421">
            <w:pPr>
              <w:spacing w:before="100" w:beforeAutospacing="1" w:after="100" w:afterAutospacing="1"/>
              <w:jc w:val="both"/>
              <w:rPr>
                <w:bCs/>
                <w:kern w:val="2"/>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a6"/>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a6"/>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4AB9D629"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022BA2E7"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hint="eastAsia"/>
                <w:bCs/>
                <w:kern w:val="2"/>
              </w:rPr>
            </w:pPr>
            <w:r>
              <w:rPr>
                <w:rFonts w:eastAsiaTheme="minorEastAsia"/>
                <w:bCs/>
                <w:kern w:val="2"/>
              </w:rPr>
              <w:t>But we should avoid introducing different solutions for different NR-DC cases.</w:t>
            </w:r>
          </w:p>
        </w:tc>
      </w:tr>
      <w:tr w:rsidR="00AF1421" w14:paraId="7080F6FA" w14:textId="77777777" w:rsidTr="00296EDF">
        <w:tc>
          <w:tcPr>
            <w:tcW w:w="1555" w:type="dxa"/>
          </w:tcPr>
          <w:p w14:paraId="140D1F27" w14:textId="77777777" w:rsidR="00AF1421" w:rsidRDefault="00AF1421" w:rsidP="00AF1421">
            <w:pPr>
              <w:spacing w:before="100" w:beforeAutospacing="1" w:after="100" w:afterAutospacing="1"/>
              <w:jc w:val="both"/>
              <w:rPr>
                <w:bCs/>
                <w:kern w:val="2"/>
              </w:rPr>
            </w:pPr>
          </w:p>
        </w:tc>
        <w:tc>
          <w:tcPr>
            <w:tcW w:w="3113" w:type="dxa"/>
          </w:tcPr>
          <w:p w14:paraId="5670DCA7" w14:textId="77777777" w:rsidR="00AF1421" w:rsidRDefault="00AF1421" w:rsidP="00AF1421">
            <w:pPr>
              <w:spacing w:before="100" w:beforeAutospacing="1" w:after="100" w:afterAutospacing="1"/>
              <w:jc w:val="both"/>
              <w:rPr>
                <w:bCs/>
                <w:kern w:val="2"/>
              </w:rPr>
            </w:pPr>
          </w:p>
        </w:tc>
        <w:tc>
          <w:tcPr>
            <w:tcW w:w="4966" w:type="dxa"/>
          </w:tcPr>
          <w:p w14:paraId="42CDE96E" w14:textId="77777777" w:rsidR="00AF1421" w:rsidRDefault="00AF1421" w:rsidP="00AF1421">
            <w:pPr>
              <w:spacing w:before="100" w:beforeAutospacing="1" w:after="100" w:afterAutospacing="1"/>
              <w:jc w:val="both"/>
              <w:rPr>
                <w:bCs/>
                <w:kern w:val="2"/>
              </w:rPr>
            </w:pPr>
          </w:p>
        </w:tc>
      </w:tr>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selectedBandCombination in CG-Config,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a6"/>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lastRenderedPageBreak/>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a6"/>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30A3501C"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27E58D00"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If RAN4 confirms only one FR2 UL gap</w:t>
            </w:r>
            <w:r>
              <w:rPr>
                <w:rFonts w:eastAsiaTheme="minorEastAsia"/>
                <w:bCs/>
                <w:kern w:val="2"/>
              </w:rPr>
              <w:t xml:space="preserve"> pattern</w:t>
            </w:r>
            <w:r>
              <w:rPr>
                <w:rFonts w:eastAsiaTheme="minorEastAsia"/>
                <w:bCs/>
                <w:kern w:val="2"/>
              </w:rPr>
              <w:t xml:space="preserve">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hint="eastAsia"/>
                <w:bCs/>
                <w:kern w:val="2"/>
              </w:rPr>
            </w:pPr>
            <w:r>
              <w:rPr>
                <w:rFonts w:eastAsiaTheme="minorEastAsia"/>
                <w:bCs/>
                <w:kern w:val="2"/>
              </w:rPr>
              <w:t>But we should avoid introducing different solutions for different NR-DC cases.</w:t>
            </w:r>
          </w:p>
        </w:tc>
      </w:tr>
      <w:tr w:rsidR="00AF1421" w14:paraId="6F8F26E9" w14:textId="77777777" w:rsidTr="00296EDF">
        <w:tc>
          <w:tcPr>
            <w:tcW w:w="1555" w:type="dxa"/>
          </w:tcPr>
          <w:p w14:paraId="20BB864F" w14:textId="77777777" w:rsidR="00AF1421" w:rsidRDefault="00AF1421" w:rsidP="00AF1421">
            <w:pPr>
              <w:spacing w:before="100" w:beforeAutospacing="1" w:after="100" w:afterAutospacing="1"/>
              <w:jc w:val="both"/>
              <w:rPr>
                <w:bCs/>
                <w:kern w:val="2"/>
              </w:rPr>
            </w:pPr>
          </w:p>
        </w:tc>
        <w:tc>
          <w:tcPr>
            <w:tcW w:w="3113" w:type="dxa"/>
          </w:tcPr>
          <w:p w14:paraId="551C5AA4" w14:textId="77777777" w:rsidR="00AF1421" w:rsidRDefault="00AF1421" w:rsidP="00AF1421">
            <w:pPr>
              <w:spacing w:before="100" w:beforeAutospacing="1" w:after="100" w:afterAutospacing="1"/>
              <w:jc w:val="both"/>
              <w:rPr>
                <w:bCs/>
                <w:kern w:val="2"/>
              </w:rPr>
            </w:pPr>
          </w:p>
        </w:tc>
        <w:tc>
          <w:tcPr>
            <w:tcW w:w="4966" w:type="dxa"/>
          </w:tcPr>
          <w:p w14:paraId="3BCE2C88" w14:textId="77777777" w:rsidR="00AF1421" w:rsidRDefault="00AF1421" w:rsidP="00AF1421">
            <w:pPr>
              <w:spacing w:before="100" w:beforeAutospacing="1" w:after="100" w:afterAutospacing="1"/>
              <w:jc w:val="both"/>
              <w:rPr>
                <w:bCs/>
                <w:kern w:val="2"/>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r w:rsidR="00EF1765" w:rsidRPr="00EF1765">
        <w:rPr>
          <w:bCs/>
          <w:i/>
          <w:iCs/>
          <w:kern w:val="2"/>
          <w:lang w:val="en-US"/>
        </w:rPr>
        <w:t>refServCellIndicator</w:t>
      </w:r>
      <w:r w:rsidR="00EF1765" w:rsidRPr="00EF1765">
        <w:rPr>
          <w:bCs/>
          <w:kern w:val="2"/>
          <w:lang w:val="en-US"/>
        </w:rPr>
        <w:t xml:space="preserve"> is</w:t>
      </w:r>
      <w:r w:rsidR="00EF1765">
        <w:rPr>
          <w:bCs/>
          <w:kern w:val="2"/>
          <w:lang w:val="en-US"/>
        </w:rPr>
        <w:t xml:space="preserve"> used to indicate PCell, PSCell, or MCG-FR2 cell to UE as timing reference. Thus, [2] has the following proposal.</w:t>
      </w:r>
    </w:p>
    <w:tbl>
      <w:tblPr>
        <w:tblStyle w:val="a6"/>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r w:rsidRPr="00995D7A">
              <w:rPr>
                <w:rFonts w:ascii="Arial" w:hAnsi="Arial" w:cs="Arial"/>
                <w:b/>
                <w:i/>
                <w:iCs/>
                <w:kern w:val="2"/>
                <w:lang w:val="en-US"/>
              </w:rPr>
              <w:t>refServCellIndicator</w:t>
            </w:r>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a9"/>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a9"/>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r w:rsidR="001A17A7" w:rsidRPr="00A93C90">
        <w:rPr>
          <w:b/>
          <w:bCs/>
          <w:i/>
          <w:iCs/>
          <w:kern w:val="2"/>
          <w:lang w:val="en-US"/>
        </w:rPr>
        <w:t>refServCellIndicator</w:t>
      </w:r>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lastRenderedPageBreak/>
        <w:t xml:space="preserve">- For </w:t>
      </w:r>
      <w:r w:rsidRPr="00A93C90">
        <w:rPr>
          <w:b/>
          <w:bCs/>
          <w:lang w:val="en-US"/>
        </w:rPr>
        <w:t>FR2 UL gap</w:t>
      </w:r>
      <w:r w:rsidRPr="00A93C90">
        <w:rPr>
          <w:b/>
          <w:bCs/>
          <w:i/>
          <w:iCs/>
        </w:rPr>
        <w:t xml:space="preserve"> </w:t>
      </w:r>
      <w:r w:rsidRPr="00A93C90">
        <w:rPr>
          <w:b/>
          <w:bCs/>
        </w:rPr>
        <w:t xml:space="preserve">configuration with synchrnonous CA, for the UE in NR-DC with FR-FR2 band combination configured, the SFN and subframe of the serving cell indicated by the </w:t>
      </w:r>
      <w:r w:rsidRPr="00A93C90">
        <w:rPr>
          <w:b/>
          <w:bCs/>
          <w:i/>
          <w:iCs/>
        </w:rPr>
        <w:t xml:space="preserve">refServCellIndicator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subframe of the serving cell indicated by the </w:t>
      </w:r>
      <w:r w:rsidRPr="00A93C90">
        <w:rPr>
          <w:b/>
          <w:bCs/>
          <w:i/>
          <w:iCs/>
        </w:rPr>
        <w:t xml:space="preserve">refServCellIndicator and refFR2ServCellAsyncCA </w:t>
      </w:r>
      <w:r w:rsidRPr="00A93C90">
        <w:rPr>
          <w:b/>
          <w:bCs/>
        </w:rPr>
        <w:t xml:space="preserve">is used in the gap calculation. </w:t>
      </w:r>
    </w:p>
    <w:tbl>
      <w:tblPr>
        <w:tblStyle w:val="a6"/>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1E56CDE3"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77777777" w:rsidR="00AF1421" w:rsidRDefault="00AF1421" w:rsidP="00AF1421">
            <w:pPr>
              <w:spacing w:before="100" w:beforeAutospacing="1" w:after="100" w:afterAutospacing="1"/>
              <w:jc w:val="both"/>
              <w:rPr>
                <w:bCs/>
                <w:kern w:val="2"/>
              </w:rPr>
            </w:pPr>
          </w:p>
        </w:tc>
        <w:tc>
          <w:tcPr>
            <w:tcW w:w="3113" w:type="dxa"/>
          </w:tcPr>
          <w:p w14:paraId="392900DE" w14:textId="77777777" w:rsidR="00AF1421" w:rsidRDefault="00AF1421" w:rsidP="00AF1421">
            <w:pPr>
              <w:spacing w:before="100" w:beforeAutospacing="1" w:after="100" w:afterAutospacing="1"/>
              <w:jc w:val="both"/>
              <w:rPr>
                <w:bCs/>
                <w:kern w:val="2"/>
              </w:rPr>
            </w:pPr>
          </w:p>
        </w:tc>
        <w:tc>
          <w:tcPr>
            <w:tcW w:w="4966" w:type="dxa"/>
          </w:tcPr>
          <w:p w14:paraId="751314AB" w14:textId="77777777" w:rsidR="00AF1421" w:rsidRDefault="00AF1421" w:rsidP="00AF1421">
            <w:pPr>
              <w:spacing w:before="100" w:beforeAutospacing="1" w:after="100" w:afterAutospacing="1"/>
              <w:jc w:val="both"/>
              <w:rPr>
                <w:bCs/>
                <w:kern w:val="2"/>
              </w:rPr>
            </w:pPr>
          </w:p>
        </w:tc>
      </w:tr>
    </w:tbl>
    <w:p w14:paraId="37C9B4A9" w14:textId="29A27057"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2" w:author="Apple" w:date="2022-01-19T12:33:00Z">
        <w:r w:rsidR="009B7B7F" w:rsidRPr="009B7B7F">
          <w:rPr>
            <w:bCs/>
            <w:kern w:val="2"/>
          </w:rPr>
          <w:t xml:space="preserve"> R4-2119962 </w:t>
        </w:r>
      </w:ins>
      <w:del w:id="13" w:author="Apple" w:date="2022-01-19T12:33:00Z">
        <w:r w:rsidRPr="009B7B7F" w:rsidDel="009B7B7F">
          <w:rPr>
            <w:bCs/>
            <w:kern w:val="2"/>
            <w:rPrChange w:id="14"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a6"/>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a6"/>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Huawei, HiSilicon</w:t>
            </w:r>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B5285E2"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hint="eastAsia"/>
                <w:bCs/>
                <w:kern w:val="2"/>
              </w:rPr>
            </w:pPr>
            <w:r>
              <w:rPr>
                <w:rFonts w:eastAsiaTheme="minorEastAsia"/>
                <w:bCs/>
                <w:kern w:val="2"/>
              </w:rPr>
              <w:t>But the content of UAI need further discussion, e.g. whether it is 1 bit activation or deactivation indication? Or UE preferred gap pattern?</w:t>
            </w:r>
          </w:p>
        </w:tc>
      </w:tr>
      <w:tr w:rsidR="00AF1421" w14:paraId="4E673EF4" w14:textId="77777777" w:rsidTr="00296EDF">
        <w:tc>
          <w:tcPr>
            <w:tcW w:w="1555" w:type="dxa"/>
          </w:tcPr>
          <w:p w14:paraId="759A1736" w14:textId="77777777" w:rsidR="00AF1421" w:rsidRDefault="00AF1421" w:rsidP="00AF1421">
            <w:pPr>
              <w:spacing w:before="100" w:beforeAutospacing="1" w:after="100" w:afterAutospacing="1"/>
              <w:jc w:val="both"/>
              <w:rPr>
                <w:bCs/>
                <w:kern w:val="2"/>
              </w:rPr>
            </w:pPr>
          </w:p>
        </w:tc>
        <w:tc>
          <w:tcPr>
            <w:tcW w:w="3113" w:type="dxa"/>
          </w:tcPr>
          <w:p w14:paraId="33796868" w14:textId="77777777" w:rsidR="00AF1421" w:rsidRDefault="00AF1421" w:rsidP="00AF1421">
            <w:pPr>
              <w:spacing w:before="100" w:beforeAutospacing="1" w:after="100" w:afterAutospacing="1"/>
              <w:jc w:val="both"/>
              <w:rPr>
                <w:bCs/>
                <w:kern w:val="2"/>
              </w:rPr>
            </w:pPr>
          </w:p>
        </w:tc>
        <w:tc>
          <w:tcPr>
            <w:tcW w:w="4966" w:type="dxa"/>
          </w:tcPr>
          <w:p w14:paraId="53A725F0" w14:textId="77777777" w:rsidR="00AF1421" w:rsidRDefault="00AF1421" w:rsidP="00AF1421">
            <w:pPr>
              <w:spacing w:before="100" w:beforeAutospacing="1" w:after="100" w:afterAutospacing="1"/>
              <w:jc w:val="both"/>
              <w:rPr>
                <w:bCs/>
                <w:kern w:val="2"/>
              </w:rPr>
            </w:pP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the configuration and deconfiguration of FR2 UL gaps at the same time activates and deactivates the FR2 UL gap.</w:t>
      </w:r>
    </w:p>
    <w:p w14:paraId="590D8CF2" w14:textId="77777777" w:rsidR="00DD72BF" w:rsidRPr="00DD72BF" w:rsidRDefault="00DD72BF" w:rsidP="00DD72BF">
      <w:pPr>
        <w:rPr>
          <w:lang w:eastAsia="en-US"/>
        </w:rPr>
      </w:pPr>
    </w:p>
    <w:tbl>
      <w:tblPr>
        <w:tblStyle w:val="a6"/>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deconfigured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FFS: The UL gaps can additionally and optionally be activated and deactivated using MAC command after UL gap is configured by RRC Signaling</w:t>
            </w:r>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deconfigured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 xml:space="preserve">when the </w:t>
      </w:r>
      <w:r w:rsidR="00D3172C" w:rsidRPr="00D3172C">
        <w:rPr>
          <w:lang w:eastAsia="en-US"/>
        </w:rPr>
        <w:lastRenderedPageBreak/>
        <w:t>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a6"/>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4F0FA9CE"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30FFAE51" w:rsidR="00AF1421" w:rsidRPr="00D179E1" w:rsidRDefault="00D179E1"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hint="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hint="eastAsia"/>
                <w:bCs/>
                <w:kern w:val="2"/>
              </w:rPr>
            </w:pPr>
          </w:p>
        </w:tc>
      </w:tr>
      <w:tr w:rsidR="00AF1421" w14:paraId="213CDCA4" w14:textId="77777777" w:rsidTr="00296EDF">
        <w:tc>
          <w:tcPr>
            <w:tcW w:w="1555" w:type="dxa"/>
          </w:tcPr>
          <w:p w14:paraId="282C2DE7" w14:textId="77777777" w:rsidR="00AF1421" w:rsidRDefault="00AF1421" w:rsidP="00AF1421">
            <w:pPr>
              <w:spacing w:before="100" w:beforeAutospacing="1" w:after="100" w:afterAutospacing="1"/>
              <w:jc w:val="both"/>
              <w:rPr>
                <w:bCs/>
                <w:kern w:val="2"/>
              </w:rPr>
            </w:pPr>
          </w:p>
        </w:tc>
        <w:tc>
          <w:tcPr>
            <w:tcW w:w="3113" w:type="dxa"/>
          </w:tcPr>
          <w:p w14:paraId="41E9BDF3" w14:textId="77777777" w:rsidR="00AF1421" w:rsidRDefault="00AF1421" w:rsidP="00AF1421">
            <w:pPr>
              <w:spacing w:before="100" w:beforeAutospacing="1" w:after="100" w:afterAutospacing="1"/>
              <w:jc w:val="both"/>
              <w:rPr>
                <w:bCs/>
                <w:kern w:val="2"/>
              </w:rPr>
            </w:pPr>
          </w:p>
        </w:tc>
        <w:tc>
          <w:tcPr>
            <w:tcW w:w="4966" w:type="dxa"/>
          </w:tcPr>
          <w:p w14:paraId="3F28F49C" w14:textId="77777777" w:rsidR="00AF1421" w:rsidRDefault="00AF1421" w:rsidP="00AF1421">
            <w:pPr>
              <w:spacing w:before="100" w:beforeAutospacing="1" w:after="100" w:afterAutospacing="1"/>
              <w:jc w:val="both"/>
              <w:rPr>
                <w:bCs/>
                <w:kern w:val="2"/>
              </w:rPr>
            </w:pP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2"/>
        <w:rPr>
          <w:rFonts w:cs="Arial"/>
        </w:rPr>
      </w:pPr>
      <w:r>
        <w:rPr>
          <w:rFonts w:cs="Arial"/>
        </w:rPr>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5" w:author="Apple" w:date="2022-01-19T12:28:00Z"/>
          <w:bCs/>
          <w:kern w:val="2"/>
        </w:rPr>
      </w:pPr>
      <w:r w:rsidRPr="008866E7">
        <w:rPr>
          <w:bCs/>
          <w:kern w:val="2"/>
          <w:lang w:val="en-US"/>
        </w:rPr>
        <w:t xml:space="preserve">[2] mentions that </w:t>
      </w:r>
      <w:r w:rsidRPr="008866E7">
        <w:rPr>
          <w:bCs/>
          <w:kern w:val="2"/>
        </w:rPr>
        <w:t>RAN4 has agreed that UE supporting UL gap should support MPE mandatorily</w:t>
      </w:r>
      <w:ins w:id="16" w:author="Apple" w:date="2022-01-19T12:28:00Z">
        <w:r w:rsidR="00CF78E2">
          <w:rPr>
            <w:bCs/>
            <w:kern w:val="2"/>
            <w:lang w:val="en-US"/>
          </w:rPr>
          <w:t xml:space="preserve"> in LS[1]</w:t>
        </w:r>
      </w:ins>
      <w:r w:rsidRPr="008866E7">
        <w:rPr>
          <w:bCs/>
          <w:kern w:val="2"/>
        </w:rPr>
        <w:t xml:space="preserve">. </w:t>
      </w:r>
    </w:p>
    <w:p w14:paraId="0BBA2E21" w14:textId="77777777" w:rsidR="00CF78E2" w:rsidRPr="00DA5319" w:rsidRDefault="00CF78E2" w:rsidP="00CF78E2">
      <w:pPr>
        <w:tabs>
          <w:tab w:val="num" w:pos="1800"/>
        </w:tabs>
        <w:rPr>
          <w:ins w:id="17" w:author="Apple" w:date="2022-01-19T12:28:00Z"/>
          <w:iCs/>
          <w:sz w:val="20"/>
          <w:szCs w:val="20"/>
          <w:u w:val="single"/>
        </w:rPr>
      </w:pPr>
      <w:ins w:id="18"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19" w:author="Apple" w:date="2022-01-19T12:28:00Z"/>
          <w:iCs/>
          <w:sz w:val="20"/>
          <w:szCs w:val="20"/>
        </w:rPr>
      </w:pPr>
      <w:ins w:id="20"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P-MPR</w:t>
        </w:r>
        <w:r w:rsidRPr="00AC07AE">
          <w:rPr>
            <w:sz w:val="20"/>
            <w:szCs w:val="20"/>
            <w:vertAlign w:val="subscript"/>
          </w:rPr>
          <w:t>gapon</w:t>
        </w:r>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1" w:author="Apple" w:date="2022-01-19T12:28:00Z"/>
          <w:sz w:val="20"/>
          <w:szCs w:val="20"/>
        </w:rPr>
      </w:pPr>
      <w:ins w:id="22" w:author="Apple" w:date="2022-01-19T12:28:00Z">
        <w:r w:rsidRPr="00AC07AE">
          <w:rPr>
            <w:sz w:val="20"/>
            <w:szCs w:val="20"/>
          </w:rPr>
          <w:t>UE will report P-MPR</w:t>
        </w:r>
        <w:r w:rsidRPr="00AC07AE">
          <w:rPr>
            <w:sz w:val="20"/>
            <w:szCs w:val="20"/>
            <w:vertAlign w:val="subscript"/>
          </w:rPr>
          <w:t>gapon</w:t>
        </w:r>
        <w:r w:rsidRPr="00AC07AE">
          <w:rPr>
            <w:sz w:val="20"/>
            <w:szCs w:val="20"/>
          </w:rPr>
          <w:t xml:space="preserve"> when UL gap is activated </w:t>
        </w:r>
      </w:ins>
    </w:p>
    <w:p w14:paraId="69D1F859" w14:textId="77777777" w:rsidR="00CF78E2" w:rsidRPr="00AC07AE" w:rsidRDefault="00CF78E2" w:rsidP="00CF78E2">
      <w:pPr>
        <w:numPr>
          <w:ilvl w:val="1"/>
          <w:numId w:val="35"/>
        </w:numPr>
        <w:tabs>
          <w:tab w:val="num" w:pos="1800"/>
        </w:tabs>
        <w:rPr>
          <w:ins w:id="23" w:author="Apple" w:date="2022-01-19T12:28:00Z"/>
          <w:sz w:val="20"/>
          <w:szCs w:val="20"/>
        </w:rPr>
      </w:pPr>
      <w:ins w:id="24" w:author="Apple" w:date="2022-01-19T12:28:00Z">
        <w:r w:rsidRPr="00AC07AE">
          <w:rPr>
            <w:sz w:val="20"/>
            <w:szCs w:val="20"/>
          </w:rPr>
          <w:t>At most UE should report 0~3dB P-MPR in the PHR</w:t>
        </w:r>
      </w:ins>
    </w:p>
    <w:p w14:paraId="385A41D7" w14:textId="3AD411C7" w:rsidR="00CF78E2" w:rsidRPr="00CF78E2" w:rsidRDefault="00CF78E2" w:rsidP="00CF78E2">
      <w:pPr>
        <w:tabs>
          <w:tab w:val="num" w:pos="1800"/>
        </w:tabs>
        <w:rPr>
          <w:ins w:id="25" w:author="Apple" w:date="2022-01-19T12:28:00Z"/>
          <w:iCs/>
          <w:sz w:val="20"/>
          <w:szCs w:val="20"/>
        </w:rPr>
      </w:pPr>
      <w:ins w:id="26"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a6"/>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a6"/>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6130D8B3" w:rsidR="00AF1421" w:rsidRPr="004C388A" w:rsidRDefault="004C388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3E5A0CEF" w:rsidR="00AF1421" w:rsidRPr="00C25DF8" w:rsidRDefault="00C25DF8" w:rsidP="00AF1421">
            <w:pPr>
              <w:spacing w:before="100" w:beforeAutospacing="1" w:after="100" w:afterAutospacing="1"/>
              <w:jc w:val="both"/>
              <w:rPr>
                <w:rFonts w:eastAsiaTheme="minorEastAsia" w:hint="eastAsia"/>
                <w:bCs/>
                <w:kern w:val="2"/>
              </w:rPr>
            </w:pPr>
            <w:r>
              <w:rPr>
                <w:rFonts w:eastAsiaTheme="minorEastAsia"/>
                <w:bCs/>
                <w:kern w:val="2"/>
              </w:rPr>
              <w:lastRenderedPageBreak/>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hint="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hint="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296EDF">
        <w:tc>
          <w:tcPr>
            <w:tcW w:w="1555" w:type="dxa"/>
          </w:tcPr>
          <w:p w14:paraId="6ECC93F6" w14:textId="77777777" w:rsidR="00AF1421" w:rsidRDefault="00AF1421" w:rsidP="00AF1421">
            <w:pPr>
              <w:spacing w:before="100" w:beforeAutospacing="1" w:after="100" w:afterAutospacing="1"/>
              <w:jc w:val="both"/>
              <w:rPr>
                <w:bCs/>
                <w:kern w:val="2"/>
              </w:rPr>
            </w:pPr>
          </w:p>
        </w:tc>
        <w:tc>
          <w:tcPr>
            <w:tcW w:w="3113" w:type="dxa"/>
          </w:tcPr>
          <w:p w14:paraId="395533F0" w14:textId="77777777" w:rsidR="00AF1421" w:rsidRDefault="00AF1421" w:rsidP="00AF1421">
            <w:pPr>
              <w:spacing w:before="100" w:beforeAutospacing="1" w:after="100" w:afterAutospacing="1"/>
              <w:jc w:val="both"/>
              <w:rPr>
                <w:bCs/>
                <w:kern w:val="2"/>
              </w:rPr>
            </w:pPr>
          </w:p>
        </w:tc>
        <w:tc>
          <w:tcPr>
            <w:tcW w:w="4966" w:type="dxa"/>
          </w:tcPr>
          <w:p w14:paraId="14B64380" w14:textId="77777777" w:rsidR="00AF1421" w:rsidRDefault="00AF1421" w:rsidP="00AF1421">
            <w:pPr>
              <w:spacing w:before="100" w:beforeAutospacing="1" w:after="100" w:afterAutospacing="1"/>
              <w:jc w:val="both"/>
              <w:rPr>
                <w:bCs/>
                <w:kern w:val="2"/>
              </w:rPr>
            </w:pP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a6"/>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296EDF">
        <w:tc>
          <w:tcPr>
            <w:tcW w:w="1555" w:type="dxa"/>
          </w:tcPr>
          <w:p w14:paraId="368B54DE" w14:textId="38EDFD78" w:rsidR="004C388A" w:rsidRDefault="004C388A" w:rsidP="004C388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296EDF">
        <w:tc>
          <w:tcPr>
            <w:tcW w:w="1555" w:type="dxa"/>
          </w:tcPr>
          <w:p w14:paraId="1E8AF2D8" w14:textId="29AB2618" w:rsidR="00AF1421" w:rsidRPr="007A1C5C" w:rsidRDefault="007A1C5C" w:rsidP="00AF1421">
            <w:pPr>
              <w:spacing w:before="100" w:beforeAutospacing="1" w:after="100" w:afterAutospacing="1"/>
              <w:jc w:val="both"/>
              <w:rPr>
                <w:rFonts w:eastAsiaTheme="minorEastAsia" w:hint="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hint="eastAsia"/>
                <w:bCs/>
                <w:kern w:val="2"/>
              </w:rPr>
            </w:pPr>
            <w:r>
              <w:rPr>
                <w:rFonts w:eastAsiaTheme="minorEastAsia" w:hint="eastAsia"/>
                <w:bCs/>
                <w:kern w:val="2"/>
              </w:rPr>
              <w:t>W</w:t>
            </w:r>
            <w:r>
              <w:rPr>
                <w:rFonts w:eastAsiaTheme="minorEastAsia"/>
                <w:bCs/>
                <w:kern w:val="2"/>
              </w:rPr>
              <w:t xml:space="preserve">e understand UE will indicate the supported FR2 UL gap patterns in Ue capability, but it is ok to wait for RAN4’s feature list. </w:t>
            </w:r>
          </w:p>
        </w:tc>
      </w:tr>
      <w:tr w:rsidR="00AF1421" w14:paraId="1DF6662B" w14:textId="77777777" w:rsidTr="00296EDF">
        <w:tc>
          <w:tcPr>
            <w:tcW w:w="1555" w:type="dxa"/>
          </w:tcPr>
          <w:p w14:paraId="6B4FCFBB" w14:textId="77777777" w:rsidR="00AF1421" w:rsidRDefault="00AF1421" w:rsidP="00AF1421">
            <w:pPr>
              <w:spacing w:before="100" w:beforeAutospacing="1" w:after="100" w:afterAutospacing="1"/>
              <w:jc w:val="both"/>
              <w:rPr>
                <w:bCs/>
                <w:kern w:val="2"/>
              </w:rPr>
            </w:pPr>
          </w:p>
        </w:tc>
        <w:tc>
          <w:tcPr>
            <w:tcW w:w="3113" w:type="dxa"/>
          </w:tcPr>
          <w:p w14:paraId="6FE12A26" w14:textId="77777777" w:rsidR="00AF1421" w:rsidRDefault="00AF1421" w:rsidP="00AF1421">
            <w:pPr>
              <w:spacing w:before="100" w:beforeAutospacing="1" w:after="100" w:afterAutospacing="1"/>
              <w:jc w:val="both"/>
              <w:rPr>
                <w:bCs/>
                <w:kern w:val="2"/>
              </w:rPr>
            </w:pPr>
          </w:p>
        </w:tc>
        <w:tc>
          <w:tcPr>
            <w:tcW w:w="4966" w:type="dxa"/>
          </w:tcPr>
          <w:p w14:paraId="2C1ADF54" w14:textId="77777777" w:rsidR="00AF1421" w:rsidRDefault="00AF1421" w:rsidP="00AF1421">
            <w:pPr>
              <w:spacing w:before="100" w:beforeAutospacing="1" w:after="100" w:afterAutospacing="1"/>
              <w:jc w:val="both"/>
              <w:rPr>
                <w:bCs/>
                <w:kern w:val="2"/>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6"/>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a9"/>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91A7A" w14:textId="77777777" w:rsidR="00E10C8B" w:rsidRDefault="00E10C8B">
      <w:r>
        <w:separator/>
      </w:r>
    </w:p>
  </w:endnote>
  <w:endnote w:type="continuationSeparator" w:id="0">
    <w:p w14:paraId="6EBEF183" w14:textId="77777777" w:rsidR="00E10C8B" w:rsidRDefault="00E1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07E8E" w14:textId="77777777" w:rsidR="00C25DF8" w:rsidRDefault="00C25D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53B68B0F" w:rsidR="00E72324" w:rsidRDefault="00E72324" w:rsidP="00FA2149">
    <w:pPr>
      <w:pStyle w:val="a4"/>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7EB9" w14:textId="77777777" w:rsidR="00C25DF8" w:rsidRDefault="00C25D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B1F06" w14:textId="77777777" w:rsidR="00E10C8B" w:rsidRDefault="00E10C8B">
      <w:r>
        <w:separator/>
      </w:r>
    </w:p>
  </w:footnote>
  <w:footnote w:type="continuationSeparator" w:id="0">
    <w:p w14:paraId="19B43AB6" w14:textId="77777777" w:rsidR="00E10C8B" w:rsidRDefault="00E10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6E905" w14:textId="77777777" w:rsidR="00C25DF8" w:rsidRDefault="00C25D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3D25" w14:textId="77777777" w:rsidR="00C25DF8" w:rsidRDefault="00C25D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7F138" w14:textId="77777777" w:rsidR="00C25DF8" w:rsidRDefault="00C25D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6"/>
  </w:num>
  <w:num w:numId="5">
    <w:abstractNumId w:val="6"/>
  </w:num>
  <w:num w:numId="6">
    <w:abstractNumId w:val="6"/>
  </w:num>
  <w:num w:numId="7">
    <w:abstractNumId w:val="20"/>
  </w:num>
  <w:num w:numId="8">
    <w:abstractNumId w:val="9"/>
  </w:num>
  <w:num w:numId="9">
    <w:abstractNumId w:val="6"/>
  </w:num>
  <w:num w:numId="10">
    <w:abstractNumId w:val="27"/>
  </w:num>
  <w:num w:numId="11">
    <w:abstractNumId w:val="38"/>
  </w:num>
  <w:num w:numId="12">
    <w:abstractNumId w:val="39"/>
  </w:num>
  <w:num w:numId="13">
    <w:abstractNumId w:val="30"/>
  </w:num>
  <w:num w:numId="14">
    <w:abstractNumId w:val="42"/>
  </w:num>
  <w:num w:numId="15">
    <w:abstractNumId w:val="23"/>
  </w:num>
  <w:num w:numId="16">
    <w:abstractNumId w:val="24"/>
  </w:num>
  <w:num w:numId="17">
    <w:abstractNumId w:val="3"/>
  </w:num>
  <w:num w:numId="18">
    <w:abstractNumId w:val="32"/>
  </w:num>
  <w:num w:numId="19">
    <w:abstractNumId w:val="2"/>
  </w:num>
  <w:num w:numId="20">
    <w:abstractNumId w:val="31"/>
  </w:num>
  <w:num w:numId="21">
    <w:abstractNumId w:val="33"/>
  </w:num>
  <w:num w:numId="22">
    <w:abstractNumId w:val="7"/>
  </w:num>
  <w:num w:numId="23">
    <w:abstractNumId w:val="15"/>
  </w:num>
  <w:num w:numId="24">
    <w:abstractNumId w:val="11"/>
  </w:num>
  <w:num w:numId="25">
    <w:abstractNumId w:val="29"/>
  </w:num>
  <w:num w:numId="26">
    <w:abstractNumId w:val="37"/>
  </w:num>
  <w:num w:numId="27">
    <w:abstractNumId w:val="22"/>
  </w:num>
  <w:num w:numId="28">
    <w:abstractNumId w:val="21"/>
  </w:num>
  <w:num w:numId="29">
    <w:abstractNumId w:val="13"/>
  </w:num>
  <w:num w:numId="30">
    <w:abstractNumId w:val="25"/>
  </w:num>
  <w:num w:numId="31">
    <w:abstractNumId w:val="41"/>
  </w:num>
  <w:num w:numId="32">
    <w:abstractNumId w:val="35"/>
  </w:num>
  <w:num w:numId="33">
    <w:abstractNumId w:val="19"/>
  </w:num>
  <w:num w:numId="34">
    <w:abstractNumId w:val="43"/>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4"/>
  </w:num>
  <w:num w:numId="43">
    <w:abstractNumId w:val="40"/>
  </w:num>
  <w:num w:numId="44">
    <w:abstractNumId w:val="0"/>
    <w:lvlOverride w:ilvl="0">
      <w:startOverride w:val="1"/>
    </w:lvlOverride>
  </w:num>
  <w:num w:numId="45">
    <w:abstractNumId w:val="26"/>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148F"/>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42A"/>
    <w:rsid w:val="00103867"/>
    <w:rsid w:val="00104BC6"/>
    <w:rsid w:val="001061CB"/>
    <w:rsid w:val="00106E1E"/>
    <w:rsid w:val="00107C38"/>
    <w:rsid w:val="0011060C"/>
    <w:rsid w:val="00113016"/>
    <w:rsid w:val="001135E9"/>
    <w:rsid w:val="00113BFE"/>
    <w:rsid w:val="00115498"/>
    <w:rsid w:val="00120798"/>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6219"/>
    <w:rsid w:val="00287FE3"/>
    <w:rsid w:val="00291693"/>
    <w:rsid w:val="00295C21"/>
    <w:rsid w:val="002962F9"/>
    <w:rsid w:val="00297AEA"/>
    <w:rsid w:val="002A0B28"/>
    <w:rsid w:val="002A633E"/>
    <w:rsid w:val="002B30CD"/>
    <w:rsid w:val="002B4977"/>
    <w:rsid w:val="002B5D80"/>
    <w:rsid w:val="002B6339"/>
    <w:rsid w:val="002B7D65"/>
    <w:rsid w:val="002C0098"/>
    <w:rsid w:val="002C1478"/>
    <w:rsid w:val="002C196A"/>
    <w:rsid w:val="002C3916"/>
    <w:rsid w:val="002C4431"/>
    <w:rsid w:val="002D34C8"/>
    <w:rsid w:val="002D4822"/>
    <w:rsid w:val="002D653E"/>
    <w:rsid w:val="002E00EE"/>
    <w:rsid w:val="002E6F28"/>
    <w:rsid w:val="002E7866"/>
    <w:rsid w:val="002F19AD"/>
    <w:rsid w:val="002F41D1"/>
    <w:rsid w:val="002F7D4A"/>
    <w:rsid w:val="00300D0D"/>
    <w:rsid w:val="003102F6"/>
    <w:rsid w:val="00312CEF"/>
    <w:rsid w:val="00313F1B"/>
    <w:rsid w:val="003148B9"/>
    <w:rsid w:val="003172DC"/>
    <w:rsid w:val="003222E4"/>
    <w:rsid w:val="0033110D"/>
    <w:rsid w:val="00331E92"/>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585A"/>
    <w:rsid w:val="003D7AA8"/>
    <w:rsid w:val="003E1297"/>
    <w:rsid w:val="003E31FD"/>
    <w:rsid w:val="003E43E3"/>
    <w:rsid w:val="003E4DE1"/>
    <w:rsid w:val="003E6822"/>
    <w:rsid w:val="003E7753"/>
    <w:rsid w:val="003F2460"/>
    <w:rsid w:val="003F3AD6"/>
    <w:rsid w:val="003F3C0E"/>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A0FC8"/>
    <w:rsid w:val="004A4597"/>
    <w:rsid w:val="004B5EC9"/>
    <w:rsid w:val="004B73A6"/>
    <w:rsid w:val="004C0F82"/>
    <w:rsid w:val="004C1601"/>
    <w:rsid w:val="004C388A"/>
    <w:rsid w:val="004C4F6E"/>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42E2"/>
    <w:rsid w:val="005C4561"/>
    <w:rsid w:val="005D2E01"/>
    <w:rsid w:val="005D3B46"/>
    <w:rsid w:val="005D4671"/>
    <w:rsid w:val="005D7260"/>
    <w:rsid w:val="005D7526"/>
    <w:rsid w:val="005E352F"/>
    <w:rsid w:val="005E69AE"/>
    <w:rsid w:val="005E738B"/>
    <w:rsid w:val="005F2C8C"/>
    <w:rsid w:val="005F506D"/>
    <w:rsid w:val="00601946"/>
    <w:rsid w:val="006025AA"/>
    <w:rsid w:val="00602AEA"/>
    <w:rsid w:val="00603221"/>
    <w:rsid w:val="006040FF"/>
    <w:rsid w:val="0060440C"/>
    <w:rsid w:val="00604733"/>
    <w:rsid w:val="00607E3C"/>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5DF8"/>
    <w:rsid w:val="00C25FA2"/>
    <w:rsid w:val="00C32093"/>
    <w:rsid w:val="00C33079"/>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7DA"/>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179E1"/>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BF8"/>
    <w:rsid w:val="00ED7C51"/>
    <w:rsid w:val="00EE113A"/>
    <w:rsid w:val="00EE48CD"/>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800"/>
    </w:pPr>
  </w:style>
  <w:style w:type="paragraph" w:styleId="40">
    <w:name w:val="toc 4"/>
    <w:basedOn w:val="30"/>
    <w:uiPriority w:val="39"/>
    <w:pPr>
      <w:ind w:left="600"/>
    </w:pPr>
  </w:style>
  <w:style w:type="paragraph" w:styleId="30">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0"/>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5">
    <w:name w:val="Balloon Text"/>
    <w:basedOn w:val="a"/>
    <w:link w:val="Char1"/>
    <w:rsid w:val="004F0988"/>
    <w:rPr>
      <w:rFonts w:ascii="Segoe UI" w:hAnsi="Segoe UI" w:cs="Segoe UI"/>
      <w:sz w:val="18"/>
      <w:szCs w:val="18"/>
      <w:lang w:val="en-US"/>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2"/>
    <w:rsid w:val="00A86B86"/>
    <w:rPr>
      <w:lang w:val="en-US"/>
    </w:rPr>
  </w:style>
  <w:style w:type="character" w:customStyle="1" w:styleId="Char2">
    <w:name w:val="文档结构图 Char"/>
    <w:basedOn w:val="a0"/>
    <w:link w:val="aa"/>
    <w:rsid w:val="00A86B86"/>
    <w:rPr>
      <w:sz w:val="24"/>
      <w:szCs w:val="24"/>
      <w:lang w:eastAsia="en-US"/>
    </w:r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c">
    <w:name w:val="Body Text"/>
    <w:basedOn w:val="a"/>
    <w:link w:val="Char4"/>
    <w:rsid w:val="000D7B98"/>
    <w:rPr>
      <w:rFonts w:ascii="Arial" w:hAnsi="Arial" w:cs="Arial"/>
      <w:color w:val="FF0000"/>
      <w:lang w:val="en-US"/>
    </w:rPr>
  </w:style>
  <w:style w:type="character" w:customStyle="1" w:styleId="Char4">
    <w:name w:val="正文文本 Char"/>
    <w:basedOn w:val="a0"/>
    <w:link w:val="ac"/>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e">
    <w:name w:val="annotation reference"/>
    <w:basedOn w:val="a0"/>
    <w:qFormat/>
    <w:rsid w:val="005C42E2"/>
    <w:rPr>
      <w:sz w:val="16"/>
      <w:szCs w:val="16"/>
    </w:rPr>
  </w:style>
  <w:style w:type="paragraph" w:styleId="af">
    <w:name w:val="annotation text"/>
    <w:basedOn w:val="a"/>
    <w:link w:val="Char5"/>
    <w:uiPriority w:val="99"/>
    <w:qFormat/>
    <w:rsid w:val="005C42E2"/>
    <w:rPr>
      <w:lang w:val="en-US"/>
    </w:rPr>
  </w:style>
  <w:style w:type="character" w:customStyle="1" w:styleId="Char5">
    <w:name w:val="批注文字 Char"/>
    <w:basedOn w:val="a0"/>
    <w:link w:val="af"/>
    <w:uiPriority w:val="99"/>
    <w:rsid w:val="005C42E2"/>
    <w:rPr>
      <w:lang w:eastAsia="en-US"/>
    </w:rPr>
  </w:style>
  <w:style w:type="paragraph" w:styleId="af0">
    <w:name w:val="annotation subject"/>
    <w:basedOn w:val="af"/>
    <w:next w:val="af"/>
    <w:link w:val="Char6"/>
    <w:rsid w:val="005C42E2"/>
    <w:rPr>
      <w:b/>
      <w:bCs/>
    </w:rPr>
  </w:style>
  <w:style w:type="character" w:customStyle="1" w:styleId="Char6">
    <w:name w:val="批注主题 Char"/>
    <w:basedOn w:val="Char5"/>
    <w:link w:val="af0"/>
    <w:rsid w:val="005C42E2"/>
    <w:rPr>
      <w:b/>
      <w:bCs/>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1"/>
    <w:rsid w:val="004C4F6E"/>
    <w:pPr>
      <w:ind w:left="851"/>
    </w:pPr>
  </w:style>
  <w:style w:type="character" w:styleId="af2">
    <w:name w:val="footnote reference"/>
    <w:rsid w:val="004C4F6E"/>
    <w:rPr>
      <w:b/>
      <w:position w:val="6"/>
      <w:sz w:val="16"/>
    </w:rPr>
  </w:style>
  <w:style w:type="paragraph" w:styleId="af3">
    <w:name w:val="footnote text"/>
    <w:basedOn w:val="a"/>
    <w:link w:val="Char7"/>
    <w:rsid w:val="004C4F6E"/>
    <w:pPr>
      <w:keepLines/>
      <w:ind w:left="454" w:hanging="454"/>
    </w:pPr>
    <w:rPr>
      <w:rFonts w:eastAsiaTheme="minorEastAsia"/>
      <w:sz w:val="16"/>
      <w:szCs w:val="20"/>
      <w:lang w:eastAsia="en-US"/>
    </w:rPr>
  </w:style>
  <w:style w:type="character" w:customStyle="1" w:styleId="Char7">
    <w:name w:val="脚注文本 Char"/>
    <w:basedOn w:val="a0"/>
    <w:link w:val="af3"/>
    <w:rsid w:val="004C4F6E"/>
    <w:rPr>
      <w:rFonts w:eastAsiaTheme="minorEastAsia"/>
      <w:sz w:val="16"/>
      <w:lang w:eastAsia="en-US"/>
    </w:rPr>
  </w:style>
  <w:style w:type="paragraph" w:styleId="23">
    <w:name w:val="List Bullet 2"/>
    <w:basedOn w:val="af4"/>
    <w:rsid w:val="004C4F6E"/>
    <w:pPr>
      <w:ind w:left="851"/>
    </w:pPr>
  </w:style>
  <w:style w:type="paragraph" w:styleId="31">
    <w:name w:val="List Bullet 3"/>
    <w:basedOn w:val="23"/>
    <w:rsid w:val="004C4F6E"/>
    <w:pPr>
      <w:ind w:left="1135"/>
    </w:pPr>
  </w:style>
  <w:style w:type="paragraph" w:styleId="af1">
    <w:name w:val="List Number"/>
    <w:basedOn w:val="af5"/>
    <w:rsid w:val="004C4F6E"/>
  </w:style>
  <w:style w:type="paragraph" w:styleId="24">
    <w:name w:val="List 2"/>
    <w:basedOn w:val="af5"/>
    <w:rsid w:val="004C4F6E"/>
    <w:pPr>
      <w:ind w:left="851"/>
    </w:pPr>
  </w:style>
  <w:style w:type="paragraph" w:styleId="32">
    <w:name w:val="List 3"/>
    <w:basedOn w:val="24"/>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5">
    <w:name w:val="List"/>
    <w:basedOn w:val="a"/>
    <w:rsid w:val="004C4F6E"/>
    <w:pPr>
      <w:spacing w:after="180"/>
      <w:ind w:left="568" w:hanging="284"/>
    </w:pPr>
    <w:rPr>
      <w:rFonts w:eastAsiaTheme="minorEastAsia"/>
      <w:sz w:val="20"/>
      <w:szCs w:val="20"/>
      <w:lang w:eastAsia="en-US"/>
    </w:rPr>
  </w:style>
  <w:style w:type="paragraph" w:styleId="af4">
    <w:name w:val="List Bullet"/>
    <w:basedOn w:val="af5"/>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Char">
    <w:name w:val="标题 3 Char"/>
    <w:link w:val="3"/>
    <w:rsid w:val="004C4F6E"/>
    <w:rPr>
      <w:rFonts w:ascii="Arial" w:hAnsi="Arial"/>
      <w:sz w:val="28"/>
      <w:lang w:eastAsia="en-US"/>
    </w:rPr>
  </w:style>
  <w:style w:type="character" w:customStyle="1" w:styleId="4Char">
    <w:name w:val="标题 4 Char"/>
    <w:link w:val="4"/>
    <w:qFormat/>
    <w:locked/>
    <w:rsid w:val="004C4F6E"/>
    <w:rPr>
      <w:rFonts w:ascii="Arial" w:hAnsi="Arial"/>
      <w:sz w:val="24"/>
      <w:lang w:eastAsia="en-US"/>
    </w:rPr>
  </w:style>
  <w:style w:type="character" w:customStyle="1" w:styleId="9Char">
    <w:name w:val="标题 9 Char"/>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Char">
    <w:name w:val="标题 5 Char"/>
    <w:link w:val="5"/>
    <w:rsid w:val="004C4F6E"/>
    <w:rPr>
      <w:rFonts w:ascii="Arial" w:hAnsi="Arial"/>
      <w:sz w:val="22"/>
      <w:lang w:eastAsia="en-US"/>
    </w:rPr>
  </w:style>
  <w:style w:type="character" w:customStyle="1" w:styleId="Char0">
    <w:name w:val="页脚 Char"/>
    <w:link w:val="a4"/>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Char">
    <w:name w:val="页眉 Char"/>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636B-1E07-47B3-9F00-CFB93073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9</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15876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ZTE-LiuJing</cp:lastModifiedBy>
  <cp:revision>4</cp:revision>
  <cp:lastPrinted>2019-02-25T14:05:00Z</cp:lastPrinted>
  <dcterms:created xsi:type="dcterms:W3CDTF">2022-01-19T08:54:00Z</dcterms:created>
  <dcterms:modified xsi:type="dcterms:W3CDTF">2022-01-19T13:16:00Z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