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1A102" w14:textId="77777777" w:rsidR="00FE3425" w:rsidRPr="004006F2" w:rsidRDefault="00FE3425" w:rsidP="00FE3425">
      <w:pPr>
        <w:pStyle w:val="a3"/>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宋体"/>
          <w:lang w:eastAsia="ko-KR"/>
        </w:rPr>
      </w:pPr>
      <w:r>
        <w:rPr>
          <w:lang w:eastAsia="ko-KR"/>
        </w:rPr>
        <w:t xml:space="preserve">Contact </w:t>
      </w:r>
      <w:r w:rsidR="009F213A">
        <w:rPr>
          <w:lang w:eastAsia="ko-KR"/>
        </w:rPr>
        <w:t>table</w:t>
      </w:r>
    </w:p>
    <w:tbl>
      <w:tblPr>
        <w:tblStyle w:val="af"/>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Limei Wei,   limei.wei@td-tech.com</w:t>
            </w:r>
          </w:p>
        </w:tc>
      </w:tr>
      <w:tr w:rsidR="00E47510"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77777777" w:rsidR="00E47510" w:rsidRDefault="00E47510">
            <w:pPr>
              <w:rPr>
                <w:lang w:eastAsia="ko-KR"/>
              </w:rPr>
            </w:pPr>
          </w:p>
        </w:tc>
        <w:tc>
          <w:tcPr>
            <w:tcW w:w="6394" w:type="dxa"/>
            <w:tcBorders>
              <w:top w:val="single" w:sz="4" w:space="0" w:color="auto"/>
              <w:left w:val="single" w:sz="4" w:space="0" w:color="auto"/>
              <w:bottom w:val="single" w:sz="4" w:space="0" w:color="auto"/>
              <w:right w:val="single" w:sz="4" w:space="0" w:color="auto"/>
            </w:tcBorders>
          </w:tcPr>
          <w:p w14:paraId="10BF8769" w14:textId="77777777" w:rsidR="00E47510" w:rsidRDefault="00E47510">
            <w:pPr>
              <w:rPr>
                <w:lang w:eastAsia="ko-KR"/>
              </w:rPr>
            </w:pPr>
          </w:p>
        </w:tc>
      </w:tr>
    </w:tbl>
    <w:p w14:paraId="71A8E6D2" w14:textId="77777777" w:rsidR="00CD4C7B" w:rsidRDefault="00933186" w:rsidP="00545137">
      <w:pPr>
        <w:pStyle w:val="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UEAssistanceInformation</w:t>
      </w:r>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lastRenderedPageBreak/>
        <w:t>O</w:t>
      </w:r>
      <w:r w:rsidRPr="00A45785">
        <w:rPr>
          <w:rFonts w:ascii="Times New Roman" w:hAnsi="Times New Roman"/>
          <w:b/>
          <w:bCs/>
          <w:lang w:eastAsia="zh-CN"/>
        </w:rPr>
        <w:t xml:space="preserve">ption2: </w:t>
      </w:r>
      <w:r w:rsidRPr="00A45785">
        <w:rPr>
          <w:rFonts w:ascii="Times New Roman" w:hAnsi="Times New Roman"/>
          <w:b/>
          <w:bCs/>
          <w:i/>
          <w:iCs/>
          <w:lang w:eastAsia="zh-CN"/>
        </w:rPr>
        <w:t>UEAssistanceInformation</w:t>
      </w:r>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onsider DedicatedSIBRequest of MBS-related SIBs as an MBS interest indication</w:t>
      </w:r>
    </w:p>
    <w:tbl>
      <w:tblPr>
        <w:tblStyle w:val="af"/>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MSG4(RRCResume)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A45785"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95266C8" w14:textId="77777777" w:rsidR="00A45785" w:rsidRDefault="00A45785">
            <w:pPr>
              <w:spacing w:afterLines="50" w:after="156"/>
              <w:jc w:val="center"/>
              <w:rPr>
                <w:rFonts w:cs="Arial"/>
                <w:lang w:eastAsia="zh-CN"/>
              </w:rPr>
            </w:pPr>
          </w:p>
        </w:tc>
      </w:tr>
      <w:tr w:rsidR="00A45785"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7777777" w:rsidR="00A45785" w:rsidRDefault="00A45785">
            <w:pPr>
              <w:spacing w:afterLines="50" w:after="156"/>
              <w:jc w:val="center"/>
              <w:rPr>
                <w:rFonts w:cs="Arial"/>
                <w:lang w:eastAsia="zh-CN"/>
              </w:rPr>
            </w:pPr>
          </w:p>
        </w:tc>
      </w:tr>
      <w:tr w:rsidR="00A45785"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82038AF" w14:textId="77777777" w:rsidR="00A45785" w:rsidRDefault="00A45785">
            <w:pPr>
              <w:spacing w:afterLines="50" w:after="156"/>
              <w:jc w:val="center"/>
              <w:rPr>
                <w:rFonts w:cs="Arial"/>
                <w:lang w:eastAsia="zh-CN"/>
              </w:rPr>
            </w:pP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af"/>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xml:space="preserve">” with “upon change of interest” explained as upon change of interest content or MII content”, where a change in the order of interest in </w:t>
            </w:r>
            <w:r>
              <w:lastRenderedPageBreak/>
              <w:t>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59758C"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77777777" w:rsidR="0059758C" w:rsidRDefault="0059758C">
            <w:pPr>
              <w:spacing w:afterLines="50" w:after="156"/>
              <w:jc w:val="center"/>
              <w:rPr>
                <w:rFonts w:cs="Arial"/>
                <w:lang w:eastAsia="zh-CN"/>
              </w:rPr>
            </w:pPr>
          </w:p>
        </w:tc>
      </w:tr>
      <w:tr w:rsidR="0059758C"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77777777" w:rsidR="0059758C" w:rsidRDefault="0059758C">
            <w:pPr>
              <w:spacing w:afterLines="50" w:after="156"/>
              <w:jc w:val="center"/>
              <w:rPr>
                <w:rFonts w:cs="Arial"/>
                <w:lang w:eastAsia="zh-CN"/>
              </w:rPr>
            </w:pPr>
          </w:p>
        </w:tc>
      </w:tr>
      <w:tr w:rsidR="0059758C"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77777777" w:rsidR="0059758C" w:rsidRDefault="0059758C">
            <w:pPr>
              <w:spacing w:afterLines="50" w:after="156"/>
              <w:jc w:val="center"/>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presence of SIBx1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gNB</w:t>
      </w:r>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af"/>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e think UE supporting MBS shall have the capability of reporting MII to gNB.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We suggest that MII reporting can’t be disabled by gNB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A2684B"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77777777" w:rsidR="00A2684B" w:rsidRDefault="00A2684B">
            <w:pPr>
              <w:spacing w:afterLines="50" w:after="156"/>
              <w:jc w:val="center"/>
              <w:rPr>
                <w:rFonts w:cs="Arial"/>
                <w:lang w:eastAsia="zh-CN"/>
              </w:rPr>
            </w:pPr>
          </w:p>
        </w:tc>
      </w:tr>
      <w:tr w:rsidR="00A2684B"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77777777" w:rsidR="00A2684B" w:rsidRDefault="00A2684B">
            <w:pPr>
              <w:spacing w:afterLines="50" w:after="156"/>
              <w:jc w:val="center"/>
              <w:rPr>
                <w:rFonts w:cs="Arial"/>
                <w:lang w:eastAsia="zh-CN"/>
              </w:rPr>
            </w:pPr>
          </w:p>
        </w:tc>
      </w:tr>
      <w:tr w:rsidR="00A2684B"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77777777" w:rsidR="00A2684B" w:rsidRDefault="00A2684B">
            <w:pPr>
              <w:spacing w:afterLines="50" w:after="156"/>
              <w:jc w:val="center"/>
              <w:rPr>
                <w:rFonts w:cs="Arial"/>
                <w:lang w:eastAsia="zh-CN"/>
              </w:rPr>
            </w:pP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lastRenderedPageBreak/>
        <w:t xml:space="preserve">Besides, there’s an FFS on the precondition of MII reporting in the running CR that </w:t>
      </w:r>
      <w:r w:rsidRPr="0059758C">
        <w:rPr>
          <w:rFonts w:ascii="Times New Roman" w:hAnsi="Times New Roman"/>
          <w:b/>
          <w:bCs/>
          <w:i/>
          <w:iCs/>
          <w:lang w:eastAsia="zh-CN"/>
        </w:rPr>
        <w:t>It should be confirmed whether the UE should include mbs-Services in MII only in case SIBx is scheduled by the UE’s PCell</w:t>
      </w:r>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mbs-Services in MII only in case SIBx is scheduled by the UE’s PCell</w:t>
      </w:r>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703E1A" w14:paraId="04D76E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643413"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77777777" w:rsidR="00703E1A" w:rsidRDefault="00703E1A">
            <w:pPr>
              <w:spacing w:afterLines="50" w:after="156"/>
              <w:jc w:val="center"/>
              <w:rPr>
                <w:rFonts w:cs="Arial"/>
                <w:lang w:eastAsia="zh-CN"/>
              </w:rPr>
            </w:pPr>
          </w:p>
        </w:tc>
      </w:tr>
      <w:tr w:rsidR="00703E1A" w14:paraId="3BEFFA49"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7A44EC4"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03E2A78" w14:textId="77777777" w:rsidR="00703E1A" w:rsidRDefault="00703E1A">
            <w:pPr>
              <w:spacing w:afterLines="50" w:after="156"/>
              <w:jc w:val="center"/>
              <w:rPr>
                <w:rFonts w:cs="Arial"/>
                <w:lang w:eastAsia="zh-CN"/>
              </w:rPr>
            </w:pPr>
          </w:p>
        </w:tc>
      </w:tr>
      <w:tr w:rsidR="00703E1A" w14:paraId="23BDE52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061A14F"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703E1A" w:rsidRDefault="00703E1A">
            <w:pPr>
              <w:spacing w:afterLines="50" w:after="156"/>
              <w:jc w:val="center"/>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4"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3D38DE" w14:paraId="77BF964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DD5298"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77777777" w:rsidR="003D38DE" w:rsidRDefault="003D38DE">
            <w:pPr>
              <w:spacing w:afterLines="50" w:after="156"/>
              <w:jc w:val="center"/>
              <w:rPr>
                <w:rFonts w:cs="Arial"/>
                <w:lang w:eastAsia="zh-CN"/>
              </w:rPr>
            </w:pPr>
          </w:p>
        </w:tc>
      </w:tr>
      <w:tr w:rsidR="003D38DE" w14:paraId="51B9ACBE"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BF523F2"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77777777" w:rsidR="003D38DE" w:rsidRDefault="003D38DE">
            <w:pPr>
              <w:spacing w:afterLines="50" w:after="156"/>
              <w:jc w:val="center"/>
              <w:rPr>
                <w:rFonts w:cs="Arial"/>
                <w:lang w:eastAsia="zh-CN"/>
              </w:rPr>
            </w:pPr>
          </w:p>
        </w:tc>
      </w:tr>
      <w:tr w:rsidR="003D38DE" w14:paraId="6BB5F87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B24D8AD"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77777777" w:rsidR="003D38DE" w:rsidRDefault="003D38DE">
            <w:pPr>
              <w:spacing w:afterLines="50" w:after="156"/>
              <w:jc w:val="center"/>
              <w:rPr>
                <w:rFonts w:cs="Arial"/>
                <w:lang w:eastAsia="zh-CN"/>
              </w:rPr>
            </w:pPr>
          </w:p>
        </w:tc>
      </w:tr>
      <w:bookmarkEnd w:id="4"/>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C42DF1" w:rsidP="00923020">
      <w:pPr>
        <w:rPr>
          <w:rFonts w:ascii="Times New Roman" w:hAnsi="Times New Roman"/>
          <w:b/>
          <w:bCs/>
          <w:u w:val="single"/>
          <w:lang w:eastAsia="zh-CN"/>
        </w:rPr>
      </w:pPr>
      <w:r>
        <w:object w:dxaOrig="15316" w:dyaOrig="7396" w14:anchorId="11BD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5pt;height:225.5pt" o:ole="">
            <v:imagedata r:id="rId8" o:title=""/>
          </v:shape>
          <o:OLEObject Type="Embed" ProgID="Visio.Drawing.15" ShapeID="_x0000_i1025" DrawAspect="Content" ObjectID="_1704032334" r:id="rId9"/>
        </w:object>
      </w:r>
    </w:p>
    <w:p w14:paraId="706760FE" w14:textId="625355D3" w:rsidR="00DB456C" w:rsidRPr="00C42DF1" w:rsidRDefault="00DB456C" w:rsidP="00C42DF1">
      <w:pPr>
        <w:adjustRightInd w:val="0"/>
        <w:snapToGrid w:val="0"/>
        <w:spacing w:after="120"/>
        <w:jc w:val="center"/>
        <w:rPr>
          <w:rFonts w:eastAsia="宋体"/>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ED0CB8" w14:paraId="47F4D142"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6B1583C"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77777777" w:rsidR="00ED0CB8" w:rsidRDefault="00ED0CB8">
            <w:pPr>
              <w:spacing w:afterLines="50" w:after="156"/>
              <w:jc w:val="center"/>
              <w:rPr>
                <w:rFonts w:cs="Arial"/>
                <w:lang w:eastAsia="zh-CN"/>
              </w:rPr>
            </w:pPr>
          </w:p>
        </w:tc>
      </w:tr>
      <w:tr w:rsidR="00ED0CB8" w14:paraId="6EC43BC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60CBD53"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CC222F6" w14:textId="77777777" w:rsidR="00ED0CB8" w:rsidRDefault="00ED0CB8">
            <w:pPr>
              <w:spacing w:afterLines="50" w:after="156"/>
              <w:jc w:val="center"/>
              <w:rPr>
                <w:rFonts w:cs="Arial"/>
                <w:lang w:eastAsia="zh-CN"/>
              </w:rPr>
            </w:pPr>
          </w:p>
        </w:tc>
      </w:tr>
      <w:tr w:rsidR="00ED0CB8" w14:paraId="421DFF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935BD78"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77777777" w:rsidR="00ED0CB8" w:rsidRDefault="00ED0CB8">
            <w:pPr>
              <w:spacing w:afterLines="50" w:after="156"/>
              <w:jc w:val="center"/>
              <w:rPr>
                <w:rFonts w:cs="Arial"/>
                <w:lang w:eastAsia="zh-CN"/>
              </w:rPr>
            </w:pP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r w:rsidRPr="0017143D">
        <w:rPr>
          <w:rFonts w:ascii="Times New Roman" w:hAnsi="Times New Roman"/>
          <w:lang w:eastAsia="zh-CN"/>
        </w:rPr>
        <w:t>msgA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msg3/msgA</w:t>
      </w:r>
    </w:p>
    <w:p w14:paraId="41B08E60"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tbl>
      <w:tblPr>
        <w:tblW w:w="0" w:type="auto"/>
        <w:tblLook w:val="04A0" w:firstRow="1" w:lastRow="0" w:firstColumn="1" w:lastColumn="0" w:noHBand="0" w:noVBand="1"/>
      </w:tblPr>
      <w:tblGrid>
        <w:gridCol w:w="1555"/>
        <w:gridCol w:w="2693"/>
        <w:gridCol w:w="5383"/>
      </w:tblGrid>
      <w:tr w:rsidR="0017143D" w14:paraId="6971BC29"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 xml:space="preserve">For RRC_INACTIVE mode UE, the MSG4(RRCResume) can configure the dedicated BWP. MSG3/MSGA can be </w:t>
            </w:r>
            <w:r>
              <w:rPr>
                <w:rFonts w:cs="Arial"/>
                <w:lang w:eastAsia="zh-CN"/>
              </w:rPr>
              <w:lastRenderedPageBreak/>
              <w:t>used to indicate one bit and the detailed MII can be reported in dedicated RRC signalling, e.g. UAI.</w:t>
            </w:r>
          </w:p>
        </w:tc>
      </w:tr>
      <w:tr w:rsidR="004520AF" w14:paraId="47EC2D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r>
              <w:rPr>
                <w:rFonts w:cs="Arial" w:hint="eastAsia"/>
                <w:lang w:eastAsia="zh-CN"/>
              </w:rPr>
              <w:t>M</w:t>
            </w:r>
            <w:r>
              <w:rPr>
                <w:rFonts w:cs="Arial"/>
                <w:lang w:eastAsia="zh-CN"/>
              </w:rPr>
              <w:t>sg 3 is better if needed.</w:t>
            </w:r>
          </w:p>
        </w:tc>
      </w:tr>
      <w:tr w:rsidR="0017143D" w14:paraId="0FA4D8C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AABB325"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77777777" w:rsidR="0017143D" w:rsidRDefault="0017143D">
            <w:pPr>
              <w:spacing w:afterLines="50" w:after="156"/>
              <w:jc w:val="center"/>
              <w:rPr>
                <w:rFonts w:cs="Arial"/>
                <w:lang w:eastAsia="zh-CN"/>
              </w:rPr>
            </w:pPr>
          </w:p>
        </w:tc>
      </w:tr>
      <w:tr w:rsidR="0017143D" w14:paraId="0080EA4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1DFCAD"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77777777" w:rsidR="0017143D" w:rsidRDefault="0017143D">
            <w:pPr>
              <w:spacing w:afterLines="50" w:after="156"/>
              <w:jc w:val="center"/>
              <w:rPr>
                <w:rFonts w:cs="Arial"/>
                <w:lang w:eastAsia="zh-CN"/>
              </w:rPr>
            </w:pPr>
          </w:p>
        </w:tc>
      </w:tr>
      <w:tr w:rsidR="0017143D" w14:paraId="282B722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CA7CCDA"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77777777" w:rsidR="0017143D" w:rsidRDefault="0017143D">
            <w:pPr>
              <w:spacing w:afterLines="50" w:after="156"/>
              <w:jc w:val="center"/>
              <w:rPr>
                <w:rFonts w:cs="Arial"/>
                <w:lang w:eastAsia="zh-CN"/>
              </w:rPr>
            </w:pP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r w:rsidRPr="001662C6">
              <w:t>mbmsInterestIndication</w:t>
            </w:r>
            <w:r>
              <w:t xml:space="preserve"> is forwarded from source eNB to target eNB during handover. It is reasonable to let target gNB know the ongoing MBS of UE, then the target gNB will take it into account when configure the dedicated BWP and choose next target gNB in next handover.</w:t>
            </w:r>
          </w:p>
        </w:tc>
      </w:tr>
      <w:tr w:rsidR="004520AF" w14:paraId="685429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410C9F" w14:paraId="31AC5E2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FB66A6C"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77777777" w:rsidR="00410C9F" w:rsidRDefault="00410C9F">
            <w:pPr>
              <w:spacing w:afterLines="50" w:after="156"/>
              <w:jc w:val="center"/>
              <w:rPr>
                <w:rFonts w:cs="Arial"/>
                <w:lang w:eastAsia="zh-CN"/>
              </w:rPr>
            </w:pPr>
          </w:p>
        </w:tc>
      </w:tr>
      <w:tr w:rsidR="00410C9F" w14:paraId="367607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CA4283A"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77777777" w:rsidR="00410C9F" w:rsidRDefault="00410C9F">
            <w:pPr>
              <w:spacing w:afterLines="50" w:after="156"/>
              <w:jc w:val="center"/>
              <w:rPr>
                <w:rFonts w:cs="Arial"/>
                <w:lang w:eastAsia="zh-CN"/>
              </w:rPr>
            </w:pPr>
          </w:p>
        </w:tc>
      </w:tr>
      <w:tr w:rsidR="00410C9F" w14:paraId="2013C4F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1BDA21"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410C9F" w:rsidRDefault="00410C9F">
            <w:pPr>
              <w:spacing w:afterLines="50" w:after="156"/>
              <w:jc w:val="center"/>
              <w:rPr>
                <w:rFonts w:cs="Arial"/>
                <w:lang w:eastAsia="zh-CN"/>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MBS interest indication for RRC_Idle/Inactive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Based on the agreements, it’s rational for a UE in RRC_Idle/Inactive to change its state to RRC_Conne</w:t>
      </w:r>
      <w:r w:rsidR="00FB6A0D">
        <w:rPr>
          <w:rFonts w:ascii="Times New Roman" w:hAnsi="Times New Roman"/>
          <w:lang w:eastAsia="zh-CN"/>
        </w:rPr>
        <w:t>c</w:t>
      </w:r>
      <w:r w:rsidR="002118D9">
        <w:rPr>
          <w:rFonts w:ascii="Times New Roman" w:hAnsi="Times New Roman"/>
          <w:lang w:eastAsia="zh-CN"/>
        </w:rPr>
        <w:t>ted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5: Dose UE enter RRC_Connected states from RRC_Id</w:t>
      </w:r>
      <w:r w:rsidRPr="00430BB3">
        <w:rPr>
          <w:rFonts w:ascii="Times New Roman" w:hAnsi="Times New Roman" w:hint="eastAsia"/>
          <w:b/>
          <w:bCs/>
          <w:lang w:eastAsia="zh-CN"/>
        </w:rPr>
        <w:t>le</w:t>
      </w:r>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5"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 xml:space="preserve">If the MBS interesting </w:t>
            </w:r>
            <w:r>
              <w:lastRenderedPageBreak/>
              <w:t>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Why does UE in RRC_IDLE/RRC_INACTIVE need to report the MII to gNB?</w:t>
            </w:r>
          </w:p>
        </w:tc>
      </w:tr>
      <w:tr w:rsidR="002118D9" w14:paraId="242911B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172CB0"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77777777" w:rsidR="002118D9" w:rsidRDefault="002118D9">
            <w:pPr>
              <w:spacing w:afterLines="50" w:after="156"/>
              <w:jc w:val="center"/>
              <w:rPr>
                <w:rFonts w:cs="Arial"/>
                <w:lang w:eastAsia="zh-CN"/>
              </w:rPr>
            </w:pPr>
          </w:p>
        </w:tc>
      </w:tr>
      <w:tr w:rsidR="002118D9" w14:paraId="4284BAB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698D31F"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77777777" w:rsidR="002118D9" w:rsidRDefault="002118D9">
            <w:pPr>
              <w:spacing w:afterLines="50" w:after="156"/>
              <w:jc w:val="center"/>
              <w:rPr>
                <w:rFonts w:cs="Arial"/>
                <w:lang w:eastAsia="zh-CN"/>
              </w:rPr>
            </w:pPr>
          </w:p>
        </w:tc>
      </w:tr>
      <w:tr w:rsidR="002118D9" w14:paraId="3932C38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8FAC7BA"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77777777" w:rsidR="002118D9" w:rsidRDefault="002118D9">
            <w:pPr>
              <w:spacing w:afterLines="50" w:after="156"/>
              <w:jc w:val="center"/>
              <w:rPr>
                <w:rFonts w:cs="Arial"/>
                <w:lang w:eastAsia="zh-CN"/>
              </w:rPr>
            </w:pPr>
          </w:p>
        </w:tc>
      </w:tr>
    </w:tbl>
    <w:bookmarkEnd w:id="5"/>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bookmarkStart w:id="6" w:name="_GoBack"/>
            <w:bookmarkEnd w:id="6"/>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430BB3" w14:paraId="08E871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97DF2CA"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77777777" w:rsidR="00430BB3" w:rsidRDefault="00430BB3">
            <w:pPr>
              <w:spacing w:afterLines="50" w:after="156"/>
              <w:jc w:val="center"/>
              <w:rPr>
                <w:rFonts w:cs="Arial"/>
                <w:lang w:eastAsia="zh-CN"/>
              </w:rPr>
            </w:pPr>
          </w:p>
        </w:tc>
      </w:tr>
      <w:tr w:rsidR="00430BB3" w14:paraId="7A846E9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8480C6C"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77777777" w:rsidR="00430BB3" w:rsidRDefault="00430BB3">
            <w:pPr>
              <w:spacing w:afterLines="50" w:after="156"/>
              <w:jc w:val="center"/>
              <w:rPr>
                <w:rFonts w:cs="Arial"/>
                <w:lang w:eastAsia="zh-CN"/>
              </w:rPr>
            </w:pPr>
          </w:p>
        </w:tc>
      </w:tr>
      <w:tr w:rsidR="00430BB3" w14:paraId="000F167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5939928"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430BB3" w:rsidRDefault="00430BB3">
            <w:pPr>
              <w:spacing w:afterLines="50" w:after="156"/>
              <w:jc w:val="center"/>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1"/>
      </w:pPr>
      <w:r w:rsidRPr="001625D3">
        <w:lastRenderedPageBreak/>
        <w:t>References</w:t>
      </w:r>
    </w:p>
    <w:p w14:paraId="075EE31A" w14:textId="77777777" w:rsidR="000E0A65" w:rsidRDefault="00007E21" w:rsidP="000E0A65">
      <w:pPr>
        <w:pStyle w:val="Doc-title"/>
        <w:numPr>
          <w:ilvl w:val="0"/>
          <w:numId w:val="1"/>
        </w:numPr>
      </w:pPr>
      <w:hyperlink r:id="rId10" w:tooltip="D:Documents3GPPtsg_ranWG2TSGR2_116bis-eDocsR2-2200858.zip" w:history="1">
        <w:r w:rsidR="000E0A65" w:rsidRPr="000E0F0B">
          <w:rPr>
            <w:rStyle w:val="a5"/>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007E21" w:rsidP="000E0A65">
      <w:pPr>
        <w:pStyle w:val="Doc-title"/>
        <w:numPr>
          <w:ilvl w:val="0"/>
          <w:numId w:val="1"/>
        </w:numPr>
      </w:pPr>
      <w:hyperlink r:id="rId11" w:tooltip="D:Documents3GPPtsg_ranWG2TSGR2_116bis-eDocsR2-2200759.zip" w:history="1">
        <w:r w:rsidR="000E0A65" w:rsidRPr="000E0F0B">
          <w:rPr>
            <w:rStyle w:val="a5"/>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007E21" w:rsidP="000E0A65">
      <w:pPr>
        <w:pStyle w:val="Doc-title"/>
        <w:numPr>
          <w:ilvl w:val="0"/>
          <w:numId w:val="1"/>
        </w:numPr>
      </w:pPr>
      <w:hyperlink r:id="rId12" w:tooltip="D:Documents3GPPtsg_ranWG2TSGR2_116bis-eDocsR2-2200880.zip" w:history="1">
        <w:r w:rsidR="000E0A65" w:rsidRPr="000E0F0B">
          <w:rPr>
            <w:rStyle w:val="a5"/>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007E21" w:rsidP="000E0A65">
      <w:pPr>
        <w:pStyle w:val="Doc-title"/>
        <w:numPr>
          <w:ilvl w:val="0"/>
          <w:numId w:val="1"/>
        </w:numPr>
      </w:pPr>
      <w:hyperlink r:id="rId13" w:tooltip="D:Documents3GPPtsg_ranWG2TSGR2_116bis-eDocsR2-2201176.zip" w:history="1">
        <w:r w:rsidR="000E0A65" w:rsidRPr="000E0F0B">
          <w:rPr>
            <w:rStyle w:val="a5"/>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007E21" w:rsidP="000E0A65">
      <w:pPr>
        <w:pStyle w:val="Doc-title"/>
        <w:numPr>
          <w:ilvl w:val="0"/>
          <w:numId w:val="1"/>
        </w:numPr>
      </w:pPr>
      <w:hyperlink r:id="rId14" w:tooltip="D:Documents3GPPtsg_ranWG2TSGR2_116bis-eDocsR2-2200398.zip" w:history="1">
        <w:r w:rsidR="000E0A65" w:rsidRPr="000E0F0B">
          <w:rPr>
            <w:rStyle w:val="a5"/>
          </w:rPr>
          <w:t>R2-2200398</w:t>
        </w:r>
      </w:hyperlink>
      <w:r w:rsidR="000E0A65">
        <w:tab/>
        <w:t>Broadcast Service Continuity</w:t>
      </w:r>
      <w:r w:rsidR="000E0A65">
        <w:tab/>
        <w:t>Samsung</w:t>
      </w:r>
      <w:r w:rsidR="000E0A65">
        <w:tab/>
        <w:t>discussion</w:t>
      </w:r>
    </w:p>
    <w:p w14:paraId="48E0E0E8" w14:textId="77777777" w:rsidR="000E0A65" w:rsidRDefault="00007E21" w:rsidP="000E0A65">
      <w:pPr>
        <w:pStyle w:val="Doc-title"/>
        <w:numPr>
          <w:ilvl w:val="0"/>
          <w:numId w:val="1"/>
        </w:numPr>
      </w:pPr>
      <w:hyperlink r:id="rId15" w:tooltip="D:Documents3GPPtsg_ranWG2TSGR2_116bis-eDocsR2-2200382.zip" w:history="1">
        <w:r w:rsidR="000E0A65" w:rsidRPr="000E0F0B">
          <w:rPr>
            <w:rStyle w:val="a5"/>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007E21" w:rsidP="000E0A65">
      <w:pPr>
        <w:pStyle w:val="Doc-title"/>
        <w:numPr>
          <w:ilvl w:val="0"/>
          <w:numId w:val="1"/>
        </w:numPr>
      </w:pPr>
      <w:hyperlink r:id="rId16" w:tooltip="D:Documents3GPPtsg_ranWG2TSGR2_116bis-eDocsR2-2201244.zip" w:history="1">
        <w:r w:rsidR="000E0A65" w:rsidRPr="000E0F0B">
          <w:rPr>
            <w:rStyle w:val="a5"/>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007E21" w:rsidP="000E0A65">
      <w:pPr>
        <w:pStyle w:val="Doc-title"/>
        <w:numPr>
          <w:ilvl w:val="0"/>
          <w:numId w:val="1"/>
        </w:numPr>
        <w:rPr>
          <w:rFonts w:eastAsiaTheme="minorEastAsia"/>
          <w:lang w:eastAsia="zh-CN"/>
        </w:rPr>
      </w:pPr>
      <w:hyperlink r:id="rId17" w:tooltip="D:Documents3GPPtsg_ranWG2TSGR2_116bis-eDocsR2-2201370.zip" w:history="1">
        <w:r w:rsidR="000E0A65" w:rsidRPr="000E0F0B">
          <w:rPr>
            <w:rStyle w:val="a5"/>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7" w:name="_Ref93395885"/>
      <w:r w:rsidRPr="00C42DF1">
        <w:rPr>
          <w:rStyle w:val="a5"/>
        </w:rPr>
        <w:t>R2-2200234</w:t>
      </w:r>
      <w:r>
        <w:tab/>
        <w:t>Open Issues on Broadcast Service Continuity</w:t>
      </w:r>
      <w:r>
        <w:tab/>
        <w:t>CATT, CBN</w:t>
      </w:r>
      <w:r>
        <w:tab/>
        <w:t>discussion</w:t>
      </w:r>
      <w:r>
        <w:tab/>
        <w:t>Rel-17</w:t>
      </w:r>
      <w:r>
        <w:tab/>
        <w:t>NR_MBS-Core</w:t>
      </w:r>
      <w:bookmarkEnd w:id="7"/>
    </w:p>
    <w:p w14:paraId="111C5ED1" w14:textId="77777777" w:rsidR="00DB456C" w:rsidRPr="00C42DF1" w:rsidRDefault="008265B9" w:rsidP="00DB456C">
      <w:pPr>
        <w:pStyle w:val="Doc-title"/>
        <w:numPr>
          <w:ilvl w:val="0"/>
          <w:numId w:val="1"/>
        </w:numPr>
        <w:rPr>
          <w:lang w:eastAsia="zh-CN"/>
        </w:rPr>
      </w:pPr>
      <w:bookmarkStart w:id="8" w:name="_Ref93397087"/>
      <w:r w:rsidRPr="00C42DF1">
        <w:rPr>
          <w:rStyle w:val="a5"/>
        </w:rPr>
        <w:t>R2-2200728</w:t>
      </w:r>
      <w:r w:rsidRPr="008265B9">
        <w:rPr>
          <w:lang w:eastAsia="zh-CN"/>
        </w:rPr>
        <w:tab/>
        <w:t>Miscellaneous Aspects of MBS Provisioning</w:t>
      </w:r>
      <w:r w:rsidRPr="008265B9">
        <w:rPr>
          <w:lang w:eastAsia="zh-CN"/>
        </w:rPr>
        <w:tab/>
        <w:t>Nokia, Nokia Shanghai Bell</w:t>
      </w:r>
      <w:bookmarkEnd w:id="8"/>
    </w:p>
    <w:p w14:paraId="086E3632" w14:textId="77777777" w:rsidR="00DB456C" w:rsidRPr="00C42DF1" w:rsidRDefault="00DB456C" w:rsidP="00DB456C">
      <w:pPr>
        <w:pStyle w:val="Doc-title"/>
        <w:numPr>
          <w:ilvl w:val="0"/>
          <w:numId w:val="1"/>
        </w:numPr>
        <w:rPr>
          <w:lang w:eastAsia="zh-CN"/>
        </w:rPr>
      </w:pPr>
      <w:bookmarkStart w:id="9" w:name="_Ref93397889"/>
      <w:r w:rsidRPr="00C42DF1">
        <w:rPr>
          <w:rStyle w:val="a5"/>
        </w:rPr>
        <w:t>R2-2201260</w:t>
      </w:r>
      <w:r>
        <w:tab/>
        <w:t>Supporting CFR Case E for RRC IDLE and INACTIVE UE</w:t>
      </w:r>
      <w:r>
        <w:tab/>
        <w:t>vivo</w:t>
      </w:r>
      <w:bookmarkEnd w:id="9"/>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ad"/>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5267C" w14:textId="77777777" w:rsidR="00007E21" w:rsidRDefault="00007E21">
      <w:r>
        <w:separator/>
      </w:r>
    </w:p>
  </w:endnote>
  <w:endnote w:type="continuationSeparator" w:id="0">
    <w:p w14:paraId="29AA29E6" w14:textId="77777777" w:rsidR="00007E21" w:rsidRDefault="0000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A35CC" w14:textId="77777777" w:rsidR="00007E21" w:rsidRDefault="00007E21">
      <w:r>
        <w:separator/>
      </w:r>
    </w:p>
  </w:footnote>
  <w:footnote w:type="continuationSeparator" w:id="0">
    <w:p w14:paraId="37ADE99C" w14:textId="77777777" w:rsidR="00007E21" w:rsidRDefault="00007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23EC52FA"/>
    <w:multiLevelType w:val="multilevel"/>
    <w:tmpl w:val="1C625192"/>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4FC1"/>
    <w:rsid w:val="000662BF"/>
    <w:rsid w:val="000676BC"/>
    <w:rsid w:val="00067CF5"/>
    <w:rsid w:val="0007199C"/>
    <w:rsid w:val="000733A5"/>
    <w:rsid w:val="00073649"/>
    <w:rsid w:val="00074224"/>
    <w:rsid w:val="00075FA2"/>
    <w:rsid w:val="000763B6"/>
    <w:rsid w:val="00077E84"/>
    <w:rsid w:val="00080179"/>
    <w:rsid w:val="00080512"/>
    <w:rsid w:val="0008064B"/>
    <w:rsid w:val="00080BE0"/>
    <w:rsid w:val="00081D9D"/>
    <w:rsid w:val="0008408A"/>
    <w:rsid w:val="0008489D"/>
    <w:rsid w:val="0008552A"/>
    <w:rsid w:val="00086C2C"/>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FD9"/>
    <w:rsid w:val="00105382"/>
    <w:rsid w:val="00105EE4"/>
    <w:rsid w:val="0010746E"/>
    <w:rsid w:val="0011158C"/>
    <w:rsid w:val="0011229B"/>
    <w:rsid w:val="0011245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2046A"/>
    <w:rsid w:val="00220CE6"/>
    <w:rsid w:val="00221269"/>
    <w:rsid w:val="00225E9B"/>
    <w:rsid w:val="0022606D"/>
    <w:rsid w:val="00227673"/>
    <w:rsid w:val="00230146"/>
    <w:rsid w:val="00231E57"/>
    <w:rsid w:val="00236135"/>
    <w:rsid w:val="002364A3"/>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BA9"/>
    <w:rsid w:val="00284E8D"/>
    <w:rsid w:val="002855BF"/>
    <w:rsid w:val="0028627F"/>
    <w:rsid w:val="002866EF"/>
    <w:rsid w:val="00291AB3"/>
    <w:rsid w:val="00291D64"/>
    <w:rsid w:val="00292FB6"/>
    <w:rsid w:val="0029342A"/>
    <w:rsid w:val="0029471A"/>
    <w:rsid w:val="00294800"/>
    <w:rsid w:val="00295394"/>
    <w:rsid w:val="00295528"/>
    <w:rsid w:val="00295C42"/>
    <w:rsid w:val="002962F6"/>
    <w:rsid w:val="00297FCD"/>
    <w:rsid w:val="002A09A8"/>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7B6B"/>
    <w:rsid w:val="00351630"/>
    <w:rsid w:val="00351825"/>
    <w:rsid w:val="003520EB"/>
    <w:rsid w:val="003523D2"/>
    <w:rsid w:val="0035253F"/>
    <w:rsid w:val="0035284E"/>
    <w:rsid w:val="00352C96"/>
    <w:rsid w:val="003539FE"/>
    <w:rsid w:val="0035462D"/>
    <w:rsid w:val="00354802"/>
    <w:rsid w:val="00355E81"/>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40BF"/>
    <w:rsid w:val="004A6548"/>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58C"/>
    <w:rsid w:val="005A1616"/>
    <w:rsid w:val="005A5028"/>
    <w:rsid w:val="005A549B"/>
    <w:rsid w:val="005A5C68"/>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11F2"/>
    <w:rsid w:val="007145EA"/>
    <w:rsid w:val="00716765"/>
    <w:rsid w:val="00721B21"/>
    <w:rsid w:val="00721C1E"/>
    <w:rsid w:val="0072277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FAE"/>
    <w:rsid w:val="007A0073"/>
    <w:rsid w:val="007A2E90"/>
    <w:rsid w:val="007A349A"/>
    <w:rsid w:val="007A66CE"/>
    <w:rsid w:val="007A69BF"/>
    <w:rsid w:val="007A7ADC"/>
    <w:rsid w:val="007B21FE"/>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2784"/>
    <w:rsid w:val="008352DD"/>
    <w:rsid w:val="00835EAD"/>
    <w:rsid w:val="0083635E"/>
    <w:rsid w:val="00836E63"/>
    <w:rsid w:val="008377D0"/>
    <w:rsid w:val="008378E0"/>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7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6720"/>
    <w:rsid w:val="008B7049"/>
    <w:rsid w:val="008B7D86"/>
    <w:rsid w:val="008B7F68"/>
    <w:rsid w:val="008C1807"/>
    <w:rsid w:val="008C244E"/>
    <w:rsid w:val="008C3469"/>
    <w:rsid w:val="008C4A9F"/>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876"/>
    <w:rsid w:val="00B07A2A"/>
    <w:rsid w:val="00B07C05"/>
    <w:rsid w:val="00B07C06"/>
    <w:rsid w:val="00B10F74"/>
    <w:rsid w:val="00B1283D"/>
    <w:rsid w:val="00B12CBA"/>
    <w:rsid w:val="00B15449"/>
    <w:rsid w:val="00B16A36"/>
    <w:rsid w:val="00B20E7B"/>
    <w:rsid w:val="00B21B86"/>
    <w:rsid w:val="00B231BE"/>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6457"/>
    <w:rsid w:val="00C27BD1"/>
    <w:rsid w:val="00C31B6B"/>
    <w:rsid w:val="00C33079"/>
    <w:rsid w:val="00C338A8"/>
    <w:rsid w:val="00C346E8"/>
    <w:rsid w:val="00C349AE"/>
    <w:rsid w:val="00C34C05"/>
    <w:rsid w:val="00C34E4D"/>
    <w:rsid w:val="00C35A36"/>
    <w:rsid w:val="00C36A14"/>
    <w:rsid w:val="00C3763A"/>
    <w:rsid w:val="00C40284"/>
    <w:rsid w:val="00C405BA"/>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50C1"/>
    <w:rsid w:val="00CE5D9C"/>
    <w:rsid w:val="00CE670A"/>
    <w:rsid w:val="00CE6DFE"/>
    <w:rsid w:val="00CE7F57"/>
    <w:rsid w:val="00CF0E5B"/>
    <w:rsid w:val="00CF181D"/>
    <w:rsid w:val="00CF1E30"/>
    <w:rsid w:val="00CF5045"/>
    <w:rsid w:val="00CF5E8A"/>
    <w:rsid w:val="00CF7081"/>
    <w:rsid w:val="00CF74A2"/>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30A6B"/>
    <w:rsid w:val="00D33D90"/>
    <w:rsid w:val="00D33E7F"/>
    <w:rsid w:val="00D34B03"/>
    <w:rsid w:val="00D351C2"/>
    <w:rsid w:val="00D36E4F"/>
    <w:rsid w:val="00D41E58"/>
    <w:rsid w:val="00D42E0A"/>
    <w:rsid w:val="00D43866"/>
    <w:rsid w:val="00D43E63"/>
    <w:rsid w:val="00D442A1"/>
    <w:rsid w:val="00D44601"/>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99E"/>
    <w:rsid w:val="00E57DB7"/>
    <w:rsid w:val="00E6091F"/>
    <w:rsid w:val="00E624D0"/>
    <w:rsid w:val="00E62835"/>
    <w:rsid w:val="00E65B1E"/>
    <w:rsid w:val="00E65E1D"/>
    <w:rsid w:val="00E66652"/>
    <w:rsid w:val="00E666BE"/>
    <w:rsid w:val="00E66A09"/>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2F7A"/>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53710"/>
  <w15:docId w15:val="{FBFB55B0-5A35-43D6-9FA7-56C010E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32"/>
    <w:pPr>
      <w:spacing w:after="180"/>
      <w:jc w:val="both"/>
    </w:pPr>
    <w:rPr>
      <w:rFonts w:ascii="Arial" w:eastAsia="Arial Unicode MS" w:hAnsi="Arial"/>
      <w:lang w:val="en-GB" w:eastAsia="en-US"/>
    </w:rPr>
  </w:style>
  <w:style w:type="paragraph" w:styleId="1">
    <w:name w:val="heading 1"/>
    <w:next w:val="a"/>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uiPriority w:val="1"/>
    <w:qFormat/>
    <w:rsid w:val="00545137"/>
    <w:pPr>
      <w:numPr>
        <w:ilvl w:val="1"/>
      </w:numPr>
      <w:pBdr>
        <w:top w:val="none" w:sz="0" w:space="0" w:color="auto"/>
      </w:pBdr>
      <w:spacing w:before="180"/>
      <w:outlineLvl w:val="1"/>
    </w:pPr>
    <w:rPr>
      <w:sz w:val="32"/>
    </w:rPr>
  </w:style>
  <w:style w:type="paragraph" w:styleId="3">
    <w:name w:val="heading 3"/>
    <w:basedOn w:val="2"/>
    <w:next w:val="a"/>
    <w:uiPriority w:val="1"/>
    <w:qFormat/>
    <w:rsid w:val="00545137"/>
    <w:pPr>
      <w:numPr>
        <w:ilvl w:val="2"/>
      </w:numPr>
      <w:spacing w:before="120"/>
      <w:outlineLvl w:val="2"/>
    </w:pPr>
    <w:rPr>
      <w:sz w:val="28"/>
    </w:rPr>
  </w:style>
  <w:style w:type="paragraph" w:styleId="4">
    <w:name w:val="heading 4"/>
    <w:basedOn w:val="3"/>
    <w:next w:val="a"/>
    <w:uiPriority w:val="1"/>
    <w:qFormat/>
    <w:rsid w:val="00545137"/>
    <w:pPr>
      <w:numPr>
        <w:ilvl w:val="3"/>
      </w:numPr>
      <w:outlineLvl w:val="3"/>
    </w:pPr>
    <w:rPr>
      <w:sz w:val="24"/>
    </w:rPr>
  </w:style>
  <w:style w:type="paragraph" w:styleId="5">
    <w:name w:val="heading 5"/>
    <w:basedOn w:val="4"/>
    <w:next w:val="a"/>
    <w:uiPriority w:val="1"/>
    <w:qFormat/>
    <w:rsid w:val="00545137"/>
    <w:pPr>
      <w:numPr>
        <w:ilvl w:val="4"/>
      </w:numPr>
      <w:outlineLvl w:val="4"/>
    </w:pPr>
    <w:rPr>
      <w:sz w:val="22"/>
    </w:rPr>
  </w:style>
  <w:style w:type="paragraph" w:styleId="6">
    <w:name w:val="heading 6"/>
    <w:basedOn w:val="H6"/>
    <w:next w:val="a"/>
    <w:uiPriority w:val="1"/>
    <w:qFormat/>
    <w:rsid w:val="00545137"/>
    <w:pPr>
      <w:numPr>
        <w:ilvl w:val="5"/>
      </w:numPr>
      <w:outlineLvl w:val="5"/>
    </w:pPr>
  </w:style>
  <w:style w:type="paragraph" w:styleId="7">
    <w:name w:val="heading 7"/>
    <w:basedOn w:val="H6"/>
    <w:next w:val="a"/>
    <w:uiPriority w:val="1"/>
    <w:qFormat/>
    <w:rsid w:val="00545137"/>
    <w:pPr>
      <w:numPr>
        <w:ilvl w:val="6"/>
      </w:numPr>
      <w:outlineLvl w:val="6"/>
    </w:pPr>
  </w:style>
  <w:style w:type="paragraph" w:styleId="8">
    <w:name w:val="heading 8"/>
    <w:basedOn w:val="1"/>
    <w:next w:val="a"/>
    <w:uiPriority w:val="1"/>
    <w:qFormat/>
    <w:rsid w:val="00545137"/>
    <w:pPr>
      <w:numPr>
        <w:ilvl w:val="7"/>
      </w:numPr>
      <w:outlineLvl w:val="7"/>
    </w:pPr>
  </w:style>
  <w:style w:type="paragraph" w:styleId="9">
    <w:name w:val="heading 9"/>
    <w:basedOn w:val="8"/>
    <w:next w:val="a"/>
    <w:uiPriority w:val="1"/>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a"/>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uiPriority w:val="99"/>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link w:val="2"/>
    <w:uiPriority w:val="1"/>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Char4">
    <w:name w:val="列出段落 Char"/>
    <w:link w:val="ad"/>
    <w:uiPriority w:val="34"/>
    <w:qFormat/>
    <w:locked/>
    <w:rsid w:val="00797FAE"/>
    <w:rPr>
      <w:rFonts w:ascii="Arial" w:eastAsia="Arial Unicode MS" w:hAnsi="Arial"/>
      <w:lang w:val="en-GB" w:eastAsia="en-US"/>
    </w:rPr>
  </w:style>
  <w:style w:type="character" w:customStyle="1" w:styleId="apple-converted-space">
    <w:name w:val="apple-converted-space"/>
    <w:basedOn w:val="a0"/>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a"/>
    <w:next w:val="a"/>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af1">
    <w:name w:val="Normal Indent"/>
    <w:basedOn w:val="a"/>
    <w:uiPriority w:val="99"/>
    <w:unhideWhenUsed/>
    <w:rsid w:val="00190C38"/>
    <w:pPr>
      <w:widowControl w:val="0"/>
      <w:spacing w:after="0"/>
      <w:ind w:left="720"/>
    </w:pPr>
    <w:rPr>
      <w:rFonts w:ascii="Times New Roman" w:eastAsia="宋体"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Documents\3GPP\tsg_ran\WG2\TSGR2_116bis-e\Docs\R2-2201176.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6bis-e\Docs\R2-2200880.zip" TargetMode="External"/><Relationship Id="rId17" Type="http://schemas.openxmlformats.org/officeDocument/2006/relationships/hyperlink" Target="file:///D:\Documents\3GPP\tsg_ran\WG2\TSGR2_116bis-e\Docs\R2-2201370.zip" TargetMode="External"/><Relationship Id="rId2" Type="http://schemas.openxmlformats.org/officeDocument/2006/relationships/numbering" Target="numbering.xml"/><Relationship Id="rId16" Type="http://schemas.openxmlformats.org/officeDocument/2006/relationships/hyperlink" Target="file:///D:\Documents\3GPP\tsg_ran\WG2\TSGR2_116bis-e\Docs\R2-220124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bis-e\Docs\R2-2200759.zip" TargetMode="External"/><Relationship Id="rId5" Type="http://schemas.openxmlformats.org/officeDocument/2006/relationships/webSettings" Target="webSettings.xml"/><Relationship Id="rId15" Type="http://schemas.openxmlformats.org/officeDocument/2006/relationships/hyperlink" Target="file:///D:\Documents\3GPP\tsg_ran\WG2\TSGR2_116bis-e\Docs\R2-2200382.zip" TargetMode="External"/><Relationship Id="rId10" Type="http://schemas.openxmlformats.org/officeDocument/2006/relationships/hyperlink" Target="file:///D:\Documents\3GPP\tsg_ran\WG2\TSGR2_116bis-e\Docs\R2-220085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yperlink" Target="file:///D:\Documents\3GPP\tsg_ran\WG2\TSGR2_116bis-e\Docs\R2-22003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070A-BAB5-47CC-9F92-68A0A874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8</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14475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Wei Li Mei</cp:lastModifiedBy>
  <cp:revision>8</cp:revision>
  <cp:lastPrinted>2016-01-11T02:35:00Z</cp:lastPrinted>
  <dcterms:created xsi:type="dcterms:W3CDTF">2022-01-18T09:23:00Z</dcterms:created>
  <dcterms:modified xsi:type="dcterms:W3CDTF">2022-01-18T09:32:00Z</dcterms:modified>
</cp:coreProperties>
</file>