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57052BB"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07A3C">
        <w:rPr>
          <w:sz w:val="24"/>
          <w:lang w:eastAsia="zh-CN"/>
        </w:rPr>
        <w:t xml:space="preserve">4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607A3C" w:rsidRPr="00607A3C">
        <w:rPr>
          <w:bCs/>
          <w:noProof w:val="0"/>
          <w:sz w:val="24"/>
        </w:rPr>
        <w:t>R2-2104929</w:t>
      </w:r>
    </w:p>
    <w:p w14:paraId="2B60AF3C" w14:textId="2D56C504"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885A07">
        <w:rPr>
          <w:b/>
          <w:sz w:val="24"/>
        </w:rPr>
        <w:t>9</w:t>
      </w:r>
      <w:r w:rsidR="00F73A55" w:rsidRPr="00F73A55">
        <w:rPr>
          <w:b/>
          <w:sz w:val="24"/>
        </w:rPr>
        <w:t>th-</w:t>
      </w:r>
      <w:r w:rsidR="00772B59">
        <w:rPr>
          <w:b/>
          <w:sz w:val="24"/>
        </w:rPr>
        <w:t>2</w:t>
      </w:r>
      <w:r w:rsidR="000C375A">
        <w:rPr>
          <w:b/>
          <w:sz w:val="24"/>
        </w:rPr>
        <w:t>7</w:t>
      </w:r>
      <w:r w:rsidR="00885A07">
        <w:rPr>
          <w:b/>
          <w:sz w:val="24"/>
        </w:rPr>
        <w:t>th</w:t>
      </w:r>
      <w:r w:rsidR="00607A3C">
        <w:rPr>
          <w:b/>
          <w:sz w:val="24"/>
        </w:rPr>
        <w:t xml:space="preserve"> May</w:t>
      </w:r>
      <w:r w:rsidR="00F73A55" w:rsidRPr="00F73A55">
        <w:rPr>
          <w:b/>
          <w:sz w:val="24"/>
        </w:rPr>
        <w:t xml:space="preserve"> 20</w:t>
      </w:r>
      <w:r>
        <w:rPr>
          <w:b/>
          <w:sz w:val="24"/>
        </w:rPr>
        <w:t>2</w:t>
      </w:r>
      <w:r w:rsidR="00772B59">
        <w:rPr>
          <w:b/>
          <w:sz w:val="24"/>
        </w:rPr>
        <w:t>1</w:t>
      </w:r>
    </w:p>
    <w:p w14:paraId="372F5655" w14:textId="22F522E3"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8.12.3.1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50B469ED"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97EF1">
        <w:rPr>
          <w:rFonts w:ascii="Arial" w:hAnsi="Arial" w:cs="Arial"/>
          <w:bCs/>
          <w:sz w:val="24"/>
        </w:rPr>
        <w:t>Leftover issues for</w:t>
      </w:r>
      <w:r w:rsidR="00153FA1">
        <w:rPr>
          <w:rFonts w:ascii="Arial" w:hAnsi="Arial" w:cs="Arial"/>
          <w:bCs/>
          <w:sz w:val="24"/>
        </w:rPr>
        <w:t xml:space="preserve"> </w:t>
      </w:r>
      <w:r w:rsidR="00297EF1">
        <w:rPr>
          <w:rFonts w:ascii="Arial" w:hAnsi="Arial" w:cs="Arial"/>
          <w:bCs/>
          <w:sz w:val="24"/>
        </w:rPr>
        <w:t>e</w:t>
      </w:r>
      <w:r w:rsidR="00341072" w:rsidRPr="00341072">
        <w:rPr>
          <w:rFonts w:ascii="Arial" w:hAnsi="Arial" w:cs="Arial"/>
          <w:bCs/>
          <w:sz w:val="24"/>
        </w:rPr>
        <w:t>DRX</w:t>
      </w:r>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65D99C03" w14:textId="424BB63F" w:rsidR="00887C0D" w:rsidRDefault="005E1E74" w:rsidP="00460CF3">
      <w:pPr>
        <w:jc w:val="both"/>
        <w:rPr>
          <w:lang w:val="en-GB"/>
        </w:rPr>
      </w:pPr>
      <w:bookmarkStart w:id="1" w:name="Proposal_Pattern_Length"/>
      <w:r>
        <w:rPr>
          <w:lang w:val="en-GB"/>
        </w:rPr>
        <w:t>The following was</w:t>
      </w:r>
      <w:r w:rsidR="002B468F">
        <w:rPr>
          <w:lang w:val="en-GB"/>
        </w:rPr>
        <w:t xml:space="preserve"> agreed during RAN2#113bis-e on the</w:t>
      </w:r>
      <w:r w:rsidR="00C45CE5" w:rsidRPr="00C45CE5">
        <w:rPr>
          <w:lang w:val="en-GB"/>
        </w:rPr>
        <w:t xml:space="preserve"> </w:t>
      </w:r>
      <w:r w:rsidR="00431F3E">
        <w:rPr>
          <w:lang w:val="en-GB"/>
        </w:rPr>
        <w:t>e</w:t>
      </w:r>
      <w:r w:rsidR="00C45CE5" w:rsidRPr="00C45CE5">
        <w:rPr>
          <w:lang w:val="en-GB"/>
        </w:rPr>
        <w:t xml:space="preserve">xtended </w:t>
      </w:r>
      <w:r w:rsidR="00431F3E">
        <w:rPr>
          <w:lang w:val="en-GB"/>
        </w:rPr>
        <w:t xml:space="preserve">DRX </w:t>
      </w:r>
      <w:r w:rsidR="00C45CE5" w:rsidRPr="00C45CE5">
        <w:rPr>
          <w:lang w:val="en-GB"/>
        </w:rPr>
        <w:t>enhancements for RedCap UEs</w:t>
      </w:r>
      <w:r w:rsidR="00C45CE5">
        <w:rPr>
          <w:lang w:val="en-GB"/>
        </w:rPr>
        <w:t>:</w:t>
      </w:r>
    </w:p>
    <w:p w14:paraId="1A6DF276" w14:textId="77777777" w:rsidR="007E3277" w:rsidRPr="007E3277" w:rsidRDefault="007E3277" w:rsidP="00F115E0">
      <w:pPr>
        <w:spacing w:after="60"/>
        <w:ind w:left="720"/>
        <w:jc w:val="both"/>
        <w:rPr>
          <w:bCs/>
          <w:i/>
          <w:iCs/>
          <w:lang w:eastAsia="ja-JP"/>
        </w:rPr>
      </w:pPr>
      <w:r w:rsidRPr="007E3277">
        <w:rPr>
          <w:bCs/>
          <w:i/>
          <w:iCs/>
          <w:lang w:eastAsia="ja-JP"/>
        </w:rPr>
        <w:t>1.</w:t>
      </w:r>
      <w:r w:rsidRPr="007E3277">
        <w:rPr>
          <w:bCs/>
          <w:i/>
          <w:iCs/>
          <w:lang w:eastAsia="ja-JP"/>
        </w:rPr>
        <w:tab/>
        <w:t>RAN decides and configures eDRX via RRC for RRC_INACTIVE (FFS on the need and details of coordination with the CN)</w:t>
      </w:r>
    </w:p>
    <w:p w14:paraId="705B7A82" w14:textId="0745F98F" w:rsidR="007F1AA0" w:rsidRPr="00474629" w:rsidRDefault="007E3277" w:rsidP="00F115E0">
      <w:pPr>
        <w:spacing w:after="60"/>
        <w:ind w:left="720"/>
        <w:jc w:val="both"/>
        <w:rPr>
          <w:bCs/>
          <w:i/>
          <w:iCs/>
          <w:lang w:eastAsia="ja-JP"/>
        </w:rPr>
      </w:pPr>
      <w:r w:rsidRPr="007E3277">
        <w:rPr>
          <w:bCs/>
          <w:i/>
          <w:iCs/>
          <w:lang w:eastAsia="ja-JP"/>
        </w:rPr>
        <w:t>2.</w:t>
      </w:r>
      <w:r w:rsidRPr="007E3277">
        <w:rPr>
          <w:bCs/>
          <w:i/>
          <w:iCs/>
          <w:lang w:eastAsia="ja-JP"/>
        </w:rPr>
        <w:tab/>
        <w:t>At least for eDRX cycle, the configurations of the eDRX for RRC_IDLE and RRC_INACTIVE can be different (FFS for PTW, e.g. length and starting point, when eDRX cycles are longer than 10.24s)</w:t>
      </w:r>
    </w:p>
    <w:p w14:paraId="54BE8DDA" w14:textId="5CD36255" w:rsidR="007F1AA0" w:rsidRPr="007F1AA0" w:rsidRDefault="00D54B33" w:rsidP="00F115E0">
      <w:pPr>
        <w:spacing w:after="60"/>
        <w:ind w:left="720"/>
        <w:jc w:val="both"/>
        <w:rPr>
          <w:bCs/>
          <w:i/>
          <w:iCs/>
          <w:lang w:eastAsia="ja-JP"/>
        </w:rPr>
      </w:pPr>
      <w:r>
        <w:rPr>
          <w:bCs/>
          <w:i/>
          <w:iCs/>
          <w:lang w:eastAsia="ja-JP"/>
        </w:rPr>
        <w:t>3</w:t>
      </w:r>
      <w:r w:rsidR="007F1AA0" w:rsidRPr="007F1AA0">
        <w:rPr>
          <w:bCs/>
          <w:i/>
          <w:iCs/>
          <w:lang w:eastAsia="ja-JP"/>
        </w:rPr>
        <w:t>.</w:t>
      </w:r>
      <w:r w:rsidR="007F1AA0" w:rsidRPr="007F1AA0">
        <w:rPr>
          <w:bCs/>
          <w:i/>
          <w:iCs/>
          <w:lang w:eastAsia="ja-JP"/>
        </w:rPr>
        <w:tab/>
        <w:t>RAN2 assumes that CN provides necessary assistance information on eDRX config. for RRC_IDLE to RAN (e.g. reusing eDRX config. defined in “CN Assistance Information for RRC INACTIVE IE” for E-UTRA/5GC).</w:t>
      </w:r>
    </w:p>
    <w:p w14:paraId="2D54BF4F" w14:textId="502387D7" w:rsidR="007F1AA0" w:rsidRPr="007F1AA0" w:rsidRDefault="00D54B33" w:rsidP="00F115E0">
      <w:pPr>
        <w:spacing w:after="60"/>
        <w:ind w:left="720"/>
        <w:jc w:val="both"/>
        <w:rPr>
          <w:bCs/>
          <w:i/>
          <w:iCs/>
          <w:lang w:eastAsia="ja-JP"/>
        </w:rPr>
      </w:pPr>
      <w:r>
        <w:rPr>
          <w:bCs/>
          <w:i/>
          <w:iCs/>
          <w:lang w:eastAsia="ja-JP"/>
        </w:rPr>
        <w:t>4</w:t>
      </w:r>
      <w:r w:rsidR="007F1AA0" w:rsidRPr="007F1AA0">
        <w:rPr>
          <w:bCs/>
          <w:i/>
          <w:iCs/>
          <w:lang w:eastAsia="ja-JP"/>
        </w:rPr>
        <w:t>.</w:t>
      </w:r>
      <w:r w:rsidR="007F1AA0" w:rsidRPr="007F1AA0">
        <w:rPr>
          <w:bCs/>
          <w:i/>
          <w:iCs/>
          <w:lang w:eastAsia="ja-JP"/>
        </w:rPr>
        <w:tab/>
        <w:t>eDRX feature, including the related parameters (i.e. PH, PTW. H-SFN) and corresponding paging operation defined for E-UTRA/5GC is used as baseline to enable eDRX &gt;10.24sec for both RRC_IDLE and RRC_INACTIVE in NR/5GC</w:t>
      </w:r>
    </w:p>
    <w:p w14:paraId="273C0EBF" w14:textId="340D0FEF" w:rsidR="007F1AA0" w:rsidRPr="007F1AA0" w:rsidRDefault="00487E47" w:rsidP="00F115E0">
      <w:pPr>
        <w:spacing w:after="60"/>
        <w:ind w:left="720"/>
        <w:jc w:val="both"/>
        <w:rPr>
          <w:bCs/>
          <w:i/>
          <w:iCs/>
          <w:lang w:eastAsia="ja-JP"/>
        </w:rPr>
      </w:pPr>
      <w:r>
        <w:rPr>
          <w:bCs/>
          <w:i/>
          <w:iCs/>
          <w:lang w:eastAsia="ja-JP"/>
        </w:rPr>
        <w:t>5</w:t>
      </w:r>
      <w:r w:rsidR="007F1AA0" w:rsidRPr="007F1AA0">
        <w:rPr>
          <w:bCs/>
          <w:i/>
          <w:iCs/>
          <w:lang w:eastAsia="ja-JP"/>
        </w:rPr>
        <w:t>.</w:t>
      </w:r>
      <w:r w:rsidR="007F1AA0" w:rsidRPr="007F1AA0">
        <w:rPr>
          <w:bCs/>
          <w:i/>
          <w:iCs/>
          <w:lang w:eastAsia="ja-JP"/>
        </w:rPr>
        <w:tab/>
        <w:t>RAN2 confirms that CN paging and RAN paging use the same paging frame offset and first PDCCH monitoring occasion in PO, which are configured by RAN without involvement of CN.</w:t>
      </w:r>
    </w:p>
    <w:p w14:paraId="70B9A2B9" w14:textId="33177A5E" w:rsidR="002B468F" w:rsidRDefault="00487E47" w:rsidP="00F115E0">
      <w:pPr>
        <w:ind w:left="720"/>
        <w:jc w:val="both"/>
        <w:rPr>
          <w:lang w:val="en-GB"/>
        </w:rPr>
      </w:pPr>
      <w:r>
        <w:rPr>
          <w:bCs/>
          <w:i/>
          <w:iCs/>
          <w:lang w:eastAsia="ja-JP"/>
        </w:rPr>
        <w:t>6</w:t>
      </w:r>
      <w:r w:rsidR="007F1AA0" w:rsidRPr="007F1AA0">
        <w:rPr>
          <w:bCs/>
          <w:i/>
          <w:iCs/>
          <w:lang w:eastAsia="ja-JP"/>
        </w:rPr>
        <w:t>.</w:t>
      </w:r>
      <w:r w:rsidR="007F1AA0" w:rsidRPr="007F1AA0">
        <w:rPr>
          <w:bCs/>
          <w:i/>
          <w:iCs/>
          <w:lang w:eastAsia="ja-JP"/>
        </w:rPr>
        <w:tab/>
        <w:t>RAN2 confirms that SI modification mechanism from LTE is used as a baseline for SI change (other than ETWS and CMAS), i.e. by using an eDRX acquisition period and a flag to indicate SI modification for eDRX in Short Message (e.g. systemInfoModification-eDRX)</w:t>
      </w:r>
    </w:p>
    <w:p w14:paraId="38027314" w14:textId="1B20FD2A" w:rsidR="00C45CE5" w:rsidRPr="00C45CE5" w:rsidRDefault="00C45CE5">
      <w:pPr>
        <w:jc w:val="both"/>
        <w:rPr>
          <w:lang w:val="en-GB"/>
        </w:rPr>
      </w:pPr>
      <w:r w:rsidRPr="00C45CE5">
        <w:rPr>
          <w:lang w:val="en-GB"/>
        </w:rPr>
        <w:t xml:space="preserve">This document discusses </w:t>
      </w:r>
      <w:r w:rsidR="00487E47">
        <w:rPr>
          <w:lang w:val="en-GB"/>
        </w:rPr>
        <w:t xml:space="preserve">remaining </w:t>
      </w:r>
      <w:r w:rsidRPr="00C45CE5">
        <w:rPr>
          <w:lang w:val="en-GB"/>
        </w:rPr>
        <w:t>stage-2 open issues</w:t>
      </w:r>
      <w:r w:rsidR="00487E47">
        <w:rPr>
          <w:lang w:val="en-GB"/>
        </w:rPr>
        <w:t xml:space="preserve"> considering</w:t>
      </w:r>
      <w:r w:rsidR="00815E8A">
        <w:rPr>
          <w:lang w:val="en-GB"/>
        </w:rPr>
        <w:t xml:space="preserve"> also</w:t>
      </w:r>
      <w:r w:rsidR="00487E47">
        <w:rPr>
          <w:lang w:val="en-GB"/>
        </w:rPr>
        <w:t xml:space="preserve"> the</w:t>
      </w:r>
      <w:r w:rsidR="00815E8A">
        <w:rPr>
          <w:lang w:val="en-GB"/>
        </w:rPr>
        <w:t xml:space="preserve"> RAN2#113bis-e</w:t>
      </w:r>
      <w:r w:rsidR="00487E47">
        <w:rPr>
          <w:lang w:val="en-GB"/>
        </w:rPr>
        <w:t xml:space="preserve"> </w:t>
      </w:r>
      <w:r w:rsidR="00FD734E">
        <w:rPr>
          <w:lang w:val="en-GB"/>
        </w:rPr>
        <w:t xml:space="preserve">offline </w:t>
      </w:r>
      <w:r w:rsidR="00815E8A">
        <w:rPr>
          <w:lang w:val="en-GB"/>
        </w:rPr>
        <w:t xml:space="preserve">email discussion </w:t>
      </w:r>
      <w:r w:rsidR="00FD734E">
        <w:rPr>
          <w:lang w:val="en-GB"/>
        </w:rPr>
        <w:t xml:space="preserve">#101 </w:t>
      </w:r>
      <w:r w:rsidR="006B7EB2">
        <w:rPr>
          <w:lang w:val="en-GB"/>
        </w:rPr>
        <w:fldChar w:fldCharType="begin"/>
      </w:r>
      <w:r w:rsidR="006B7EB2">
        <w:rPr>
          <w:lang w:val="en-GB"/>
        </w:rPr>
        <w:instrText xml:space="preserve"> REF _Ref71405833 \r \h </w:instrText>
      </w:r>
      <w:r w:rsidR="006B7EB2">
        <w:rPr>
          <w:lang w:val="en-GB"/>
        </w:rPr>
      </w:r>
      <w:r w:rsidR="006B7EB2">
        <w:rPr>
          <w:lang w:val="en-GB"/>
        </w:rPr>
        <w:fldChar w:fldCharType="separate"/>
      </w:r>
      <w:r w:rsidR="00581D40">
        <w:rPr>
          <w:lang w:val="en-GB"/>
        </w:rPr>
        <w:t>[1]</w:t>
      </w:r>
      <w:r w:rsidR="006B7EB2">
        <w:rPr>
          <w:lang w:val="en-GB"/>
        </w:rPr>
        <w:fldChar w:fldCharType="end"/>
      </w:r>
      <w:r w:rsidR="006B7EB2">
        <w:rPr>
          <w:lang w:val="en-GB"/>
        </w:rPr>
        <w:fldChar w:fldCharType="begin"/>
      </w:r>
      <w:r w:rsidR="006B7EB2">
        <w:rPr>
          <w:lang w:val="en-GB"/>
        </w:rPr>
        <w:instrText xml:space="preserve"> REF _Ref71405837 \r \h </w:instrText>
      </w:r>
      <w:r w:rsidR="006B7EB2">
        <w:rPr>
          <w:lang w:val="en-GB"/>
        </w:rPr>
      </w:r>
      <w:r w:rsidR="006B7EB2">
        <w:rPr>
          <w:lang w:val="en-GB"/>
        </w:rPr>
        <w:fldChar w:fldCharType="separate"/>
      </w:r>
      <w:r w:rsidR="00581D40">
        <w:rPr>
          <w:lang w:val="en-GB"/>
        </w:rPr>
        <w:t>[2]</w:t>
      </w:r>
      <w:r w:rsidR="006B7EB2">
        <w:rPr>
          <w:lang w:val="en-GB"/>
        </w:rPr>
        <w:fldChar w:fldCharType="end"/>
      </w:r>
      <w:r w:rsidRPr="00C45CE5">
        <w:rPr>
          <w:lang w:val="en-GB"/>
        </w:rPr>
        <w:t>.</w:t>
      </w:r>
      <w:r w:rsidR="007730A1">
        <w:rPr>
          <w:lang w:val="en-GB"/>
        </w:rPr>
        <w:t xml:space="preserve"> </w:t>
      </w:r>
    </w:p>
    <w:p w14:paraId="79A42B9D" w14:textId="77777777" w:rsidR="00EB410E" w:rsidRDefault="00EB410E" w:rsidP="00AF111F">
      <w:pPr>
        <w:pStyle w:val="Heading1"/>
        <w:numPr>
          <w:ilvl w:val="0"/>
          <w:numId w:val="2"/>
        </w:numPr>
        <w:jc w:val="both"/>
      </w:pPr>
      <w:r>
        <w:t>Discussion</w:t>
      </w:r>
    </w:p>
    <w:p w14:paraId="22D607E6" w14:textId="1EC1E970" w:rsidR="00023FDC" w:rsidRDefault="00043A03" w:rsidP="00AF111F">
      <w:pPr>
        <w:pStyle w:val="Heading2"/>
        <w:jc w:val="both"/>
      </w:pPr>
      <w:r>
        <w:t>Configuration of</w:t>
      </w:r>
      <w:r w:rsidR="00456E6B">
        <w:t xml:space="preserve"> eDRX </w:t>
      </w:r>
      <w:r w:rsidR="0014117F">
        <w:t>(</w:t>
      </w:r>
      <w:r w:rsidR="00456E6B">
        <w:t>IDLE / INACTIVE</w:t>
      </w:r>
      <w:r w:rsidR="0014117F">
        <w:t>)</w:t>
      </w:r>
    </w:p>
    <w:p w14:paraId="32EB330F" w14:textId="2520A5A8" w:rsidR="00043A03" w:rsidRDefault="00023FDC" w:rsidP="00F115E0">
      <w:pPr>
        <w:pStyle w:val="Heading3"/>
      </w:pPr>
      <w:r>
        <w:t>PTW configuration</w:t>
      </w:r>
      <w:r w:rsidR="00AC5F5D">
        <w:t xml:space="preserve"> (eDRX &gt;10.24sec)</w:t>
      </w:r>
    </w:p>
    <w:p w14:paraId="37528AFD" w14:textId="176FA259" w:rsidR="00023FDC" w:rsidRPr="00023FDC" w:rsidRDefault="00AC5F5D" w:rsidP="00023FDC">
      <w:pPr>
        <w:rPr>
          <w:lang w:val="en-GB" w:eastAsia="x-none"/>
        </w:rPr>
      </w:pPr>
      <w:r>
        <w:rPr>
          <w:lang w:val="en-GB" w:eastAsia="x-none"/>
        </w:rPr>
        <w:t>RAN2 needs to still conclude on whether the</w:t>
      </w:r>
      <w:r w:rsidR="00023FDC" w:rsidRPr="00023FDC">
        <w:rPr>
          <w:lang w:val="en-GB" w:eastAsia="x-none"/>
        </w:rPr>
        <w:t xml:space="preserve"> PTW configuration </w:t>
      </w:r>
      <w:r>
        <w:rPr>
          <w:lang w:val="en-GB" w:eastAsia="x-none"/>
        </w:rPr>
        <w:t xml:space="preserve">(or part of it) is set same or different </w:t>
      </w:r>
      <w:r w:rsidR="00023FDC" w:rsidRPr="00023FDC">
        <w:rPr>
          <w:lang w:val="en-GB" w:eastAsia="x-none"/>
        </w:rPr>
        <w:t>for IDLE / INACTIVE</w:t>
      </w:r>
      <w:r>
        <w:rPr>
          <w:lang w:val="en-GB" w:eastAsia="x-none"/>
        </w:rPr>
        <w:t xml:space="preserve">. </w:t>
      </w:r>
      <w:r w:rsidR="008B18D5">
        <w:rPr>
          <w:lang w:val="en-GB" w:eastAsia="x-none"/>
        </w:rPr>
        <w:t>The following options had the larger support d</w:t>
      </w:r>
      <w:r>
        <w:rPr>
          <w:lang w:val="en-GB" w:eastAsia="x-none"/>
        </w:rPr>
        <w:t xml:space="preserve">uring offline #101 </w:t>
      </w:r>
      <w:r>
        <w:rPr>
          <w:lang w:val="en-GB"/>
        </w:rPr>
        <w:fldChar w:fldCharType="begin"/>
      </w:r>
      <w:r>
        <w:rPr>
          <w:lang w:val="en-GB"/>
        </w:rPr>
        <w:instrText xml:space="preserve"> REF _Ref71405833 \r \h </w:instrText>
      </w:r>
      <w:r>
        <w:rPr>
          <w:lang w:val="en-GB"/>
        </w:rPr>
      </w:r>
      <w:r>
        <w:rPr>
          <w:lang w:val="en-GB"/>
        </w:rPr>
        <w:fldChar w:fldCharType="separate"/>
      </w:r>
      <w:r w:rsidR="00581D40">
        <w:rPr>
          <w:lang w:val="en-GB"/>
        </w:rPr>
        <w:t>[1]</w:t>
      </w:r>
      <w:r>
        <w:rPr>
          <w:lang w:val="en-GB"/>
        </w:rPr>
        <w:fldChar w:fldCharType="end"/>
      </w:r>
      <w:r>
        <w:rPr>
          <w:lang w:val="en-GB"/>
        </w:rPr>
        <w:fldChar w:fldCharType="begin"/>
      </w:r>
      <w:r>
        <w:rPr>
          <w:lang w:val="en-GB"/>
        </w:rPr>
        <w:instrText xml:space="preserve"> REF _Ref71405837 \r \h </w:instrText>
      </w:r>
      <w:r>
        <w:rPr>
          <w:lang w:val="en-GB"/>
        </w:rPr>
      </w:r>
      <w:r>
        <w:rPr>
          <w:lang w:val="en-GB"/>
        </w:rPr>
        <w:fldChar w:fldCharType="separate"/>
      </w:r>
      <w:r w:rsidR="00581D40">
        <w:rPr>
          <w:lang w:val="en-GB"/>
        </w:rPr>
        <w:t>[2]</w:t>
      </w:r>
      <w:r>
        <w:rPr>
          <w:lang w:val="en-GB"/>
        </w:rPr>
        <w:fldChar w:fldCharType="end"/>
      </w:r>
      <w:r w:rsidR="008B18D5">
        <w:rPr>
          <w:lang w:val="en-GB"/>
        </w:rPr>
        <w:t>:</w:t>
      </w:r>
      <w:r w:rsidR="00023FDC" w:rsidRPr="00023FDC">
        <w:rPr>
          <w:lang w:val="en-GB" w:eastAsia="x-none"/>
        </w:rPr>
        <w:t xml:space="preserve"> </w:t>
      </w:r>
    </w:p>
    <w:p w14:paraId="74AACBD2" w14:textId="4F881E66" w:rsidR="00023FDC" w:rsidRPr="008B18D5" w:rsidRDefault="00023FDC" w:rsidP="008B18D5">
      <w:pPr>
        <w:pStyle w:val="ListParagraph"/>
        <w:numPr>
          <w:ilvl w:val="0"/>
          <w:numId w:val="31"/>
        </w:numPr>
        <w:rPr>
          <w:lang w:val="en-GB" w:eastAsia="x-none"/>
        </w:rPr>
      </w:pPr>
      <w:r w:rsidRPr="008B18D5">
        <w:rPr>
          <w:b/>
          <w:bCs/>
          <w:lang w:val="en-GB" w:eastAsia="x-none"/>
        </w:rPr>
        <w:t>option 1) [6/19]</w:t>
      </w:r>
      <w:r w:rsidRPr="008B18D5">
        <w:rPr>
          <w:lang w:val="en-GB" w:eastAsia="x-none"/>
        </w:rPr>
        <w:t xml:space="preserve"> It is left up to network implementation any coordination on how to decide the PTW configurations for RRC_IDLE and for RRC_INACTIVE (i.e. PTW may be configured same or different); </w:t>
      </w:r>
    </w:p>
    <w:p w14:paraId="632A2D69" w14:textId="77777777" w:rsidR="002943B5" w:rsidRDefault="00023FDC" w:rsidP="008B18D5">
      <w:pPr>
        <w:pStyle w:val="ListParagraph"/>
        <w:numPr>
          <w:ilvl w:val="0"/>
          <w:numId w:val="31"/>
        </w:numPr>
        <w:rPr>
          <w:lang w:val="en-GB" w:eastAsia="x-none"/>
        </w:rPr>
      </w:pPr>
      <w:r w:rsidRPr="008B18D5">
        <w:rPr>
          <w:b/>
          <w:bCs/>
          <w:lang w:val="en-GB" w:eastAsia="x-none"/>
        </w:rPr>
        <w:t>option 2) [9/19]</w:t>
      </w:r>
      <w:r w:rsidRPr="008B18D5">
        <w:rPr>
          <w:lang w:val="en-GB" w:eastAsia="x-none"/>
        </w:rPr>
        <w:t xml:space="preserve"> A common PTW configuration is provided for RRC_IDLE and for RRC_INACTIVE; </w:t>
      </w:r>
    </w:p>
    <w:p w14:paraId="575A352B" w14:textId="281C5D0B" w:rsidR="00023FDC" w:rsidRPr="008B18D5" w:rsidRDefault="00023FDC" w:rsidP="008B18D5">
      <w:pPr>
        <w:pStyle w:val="ListParagraph"/>
        <w:numPr>
          <w:ilvl w:val="0"/>
          <w:numId w:val="31"/>
        </w:numPr>
        <w:rPr>
          <w:lang w:val="en-GB" w:eastAsia="x-none"/>
        </w:rPr>
      </w:pPr>
      <w:r w:rsidRPr="002943B5">
        <w:rPr>
          <w:b/>
          <w:bCs/>
          <w:lang w:val="en-GB" w:eastAsia="x-none"/>
        </w:rPr>
        <w:t xml:space="preserve">option 4) [7/19] </w:t>
      </w:r>
      <w:r w:rsidRPr="008B18D5">
        <w:rPr>
          <w:lang w:val="en-GB" w:eastAsia="x-none"/>
        </w:rPr>
        <w:t>PTW for RRC_IDLE overlaps with PTW for RRC_INACTIVE, and PTW length for RRC_IDLE can be same or larger than PTW length for RRC_INACTIVE (but not smaller)</w:t>
      </w:r>
    </w:p>
    <w:p w14:paraId="04255FBC" w14:textId="3292E62A" w:rsidR="00D8613F" w:rsidRPr="00D7085E" w:rsidRDefault="006F0243" w:rsidP="00023FDC">
      <w:pPr>
        <w:rPr>
          <w:lang w:val="en-GB" w:eastAsia="x-none"/>
        </w:rPr>
      </w:pPr>
      <w:r w:rsidRPr="006F0243">
        <w:rPr>
          <w:lang w:val="en-GB" w:eastAsia="x-none"/>
        </w:rPr>
        <w:fldChar w:fldCharType="begin"/>
      </w:r>
      <w:r w:rsidRPr="006F0243">
        <w:rPr>
          <w:lang w:val="en-GB" w:eastAsia="x-none"/>
        </w:rPr>
        <w:instrText xml:space="preserve"> REF _Ref71407147 \h  \* MERGEFORMAT </w:instrText>
      </w:r>
      <w:r w:rsidRPr="006F0243">
        <w:rPr>
          <w:lang w:val="en-GB" w:eastAsia="x-none"/>
        </w:rPr>
      </w:r>
      <w:r w:rsidRPr="006F0243">
        <w:rPr>
          <w:lang w:val="en-GB" w:eastAsia="x-none"/>
        </w:rPr>
        <w:fldChar w:fldCharType="separate"/>
      </w:r>
      <w:r w:rsidR="00581D40" w:rsidRPr="006F0243">
        <w:t xml:space="preserve">Figure </w:t>
      </w:r>
      <w:r w:rsidR="00581D40" w:rsidRPr="002E0C57">
        <w:rPr>
          <w:noProof/>
        </w:rPr>
        <w:t>1</w:t>
      </w:r>
      <w:r w:rsidRPr="006F0243">
        <w:rPr>
          <w:lang w:val="en-GB" w:eastAsia="x-none"/>
        </w:rPr>
        <w:fldChar w:fldCharType="end"/>
      </w:r>
      <w:r>
        <w:rPr>
          <w:lang w:val="en-GB" w:eastAsia="x-none"/>
        </w:rPr>
        <w:t xml:space="preserve"> provides an overview on how </w:t>
      </w:r>
      <w:r w:rsidR="00D7085E">
        <w:rPr>
          <w:lang w:val="en-GB" w:eastAsia="x-none"/>
        </w:rPr>
        <w:t xml:space="preserve">LTE </w:t>
      </w:r>
      <w:r>
        <w:rPr>
          <w:lang w:val="en-GB" w:eastAsia="x-none"/>
        </w:rPr>
        <w:t xml:space="preserve">eDRX works </w:t>
      </w:r>
      <w:r w:rsidR="00EF7053">
        <w:rPr>
          <w:lang w:val="en-GB" w:eastAsia="x-none"/>
        </w:rPr>
        <w:t>explaining in high level</w:t>
      </w:r>
      <w:r>
        <w:rPr>
          <w:lang w:val="en-GB" w:eastAsia="x-none"/>
        </w:rPr>
        <w:t xml:space="preserve"> the </w:t>
      </w:r>
      <w:r w:rsidR="00EF7053">
        <w:rPr>
          <w:lang w:val="en-GB" w:eastAsia="x-none"/>
        </w:rPr>
        <w:t xml:space="preserve">relations between </w:t>
      </w:r>
      <w:r w:rsidR="001A1632">
        <w:rPr>
          <w:lang w:val="en-GB" w:eastAsia="x-none"/>
        </w:rPr>
        <w:t xml:space="preserve">UE-specific </w:t>
      </w:r>
      <w:r w:rsidR="00EF7053">
        <w:rPr>
          <w:lang w:val="en-GB" w:eastAsia="x-none"/>
        </w:rPr>
        <w:t xml:space="preserve">PH, </w:t>
      </w:r>
      <w:r w:rsidR="000E5702">
        <w:rPr>
          <w:lang w:val="en-GB" w:eastAsia="x-none"/>
        </w:rPr>
        <w:t xml:space="preserve">PTW (considering </w:t>
      </w:r>
      <w:r w:rsidR="00D73C4A">
        <w:rPr>
          <w:lang w:val="en-GB" w:eastAsia="x-none"/>
        </w:rPr>
        <w:t>its</w:t>
      </w:r>
      <w:r w:rsidR="000E5702">
        <w:rPr>
          <w:lang w:val="en-GB" w:eastAsia="x-none"/>
        </w:rPr>
        <w:t xml:space="preserve"> start</w:t>
      </w:r>
      <w:r w:rsidR="00D73C4A">
        <w:rPr>
          <w:lang w:val="en-GB" w:eastAsia="x-none"/>
        </w:rPr>
        <w:t>, end and ,</w:t>
      </w:r>
      <w:r w:rsidR="0048483D">
        <w:rPr>
          <w:lang w:val="en-GB" w:eastAsia="x-none"/>
        </w:rPr>
        <w:t>l</w:t>
      </w:r>
      <w:r w:rsidR="00D73C4A">
        <w:rPr>
          <w:lang w:val="en-GB" w:eastAsia="x-none"/>
        </w:rPr>
        <w:t xml:space="preserve">ength </w:t>
      </w:r>
      <w:r w:rsidR="000E5702">
        <w:rPr>
          <w:lang w:val="en-GB" w:eastAsia="x-none"/>
        </w:rPr>
        <w:t>)</w:t>
      </w:r>
      <w:r w:rsidR="00D73C4A">
        <w:rPr>
          <w:lang w:val="en-GB" w:eastAsia="x-none"/>
        </w:rPr>
        <w:t>,</w:t>
      </w:r>
      <w:r w:rsidR="000E5702">
        <w:rPr>
          <w:lang w:val="en-GB" w:eastAsia="x-none"/>
        </w:rPr>
        <w:t xml:space="preserve"> </w:t>
      </w:r>
      <w:r w:rsidR="00D7085E">
        <w:rPr>
          <w:lang w:val="en-GB" w:eastAsia="x-none"/>
        </w:rPr>
        <w:t>eDRX cycle (T</w:t>
      </w:r>
      <w:r w:rsidR="00D7085E" w:rsidRPr="00D7085E">
        <w:rPr>
          <w:vertAlign w:val="subscript"/>
          <w:lang w:val="en-GB" w:eastAsia="x-none"/>
        </w:rPr>
        <w:t>eDRX</w:t>
      </w:r>
      <w:r w:rsidR="00D7085E">
        <w:rPr>
          <w:lang w:val="en-GB" w:eastAsia="x-none"/>
        </w:rPr>
        <w:t>),</w:t>
      </w:r>
      <w:r w:rsidR="001A1632">
        <w:rPr>
          <w:lang w:val="en-GB" w:eastAsia="x-none"/>
        </w:rPr>
        <w:t xml:space="preserve"> and</w:t>
      </w:r>
      <w:r w:rsidR="00D7085E">
        <w:rPr>
          <w:lang w:val="en-GB" w:eastAsia="x-none"/>
        </w:rPr>
        <w:t xml:space="preserve"> DRX cycle (T</w:t>
      </w:r>
      <w:r w:rsidR="00D7085E" w:rsidRPr="00D7085E">
        <w:rPr>
          <w:vertAlign w:val="subscript"/>
          <w:lang w:val="en-GB" w:eastAsia="x-none"/>
        </w:rPr>
        <w:t>DRX</w:t>
      </w:r>
      <w:r w:rsidR="00D7085E">
        <w:rPr>
          <w:lang w:val="en-GB" w:eastAsia="x-none"/>
        </w:rPr>
        <w:t>)</w:t>
      </w:r>
      <w:r w:rsidR="001A1632">
        <w:rPr>
          <w:lang w:val="en-GB" w:eastAsia="x-none"/>
        </w:rPr>
        <w:t xml:space="preserve"> which is the same as used during normal RRC_IDLE (i.e. not using the extended DRX operation).</w:t>
      </w:r>
      <w:r w:rsidR="00D7085E">
        <w:rPr>
          <w:lang w:val="en-GB" w:eastAsia="x-none"/>
        </w:rPr>
        <w:t xml:space="preserve"> </w:t>
      </w:r>
    </w:p>
    <w:p w14:paraId="59D450C7" w14:textId="77777777" w:rsidR="006F0243" w:rsidRDefault="00D8613F" w:rsidP="006F0243">
      <w:pPr>
        <w:keepNext/>
      </w:pPr>
      <w:r>
        <w:object w:dxaOrig="10777" w:dyaOrig="3805" w14:anchorId="3C712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164.75pt" o:ole="">
            <v:imagedata r:id="rId11" o:title=""/>
          </v:shape>
          <o:OLEObject Type="Embed" ProgID="Visio.Drawing.15" ShapeID="_x0000_i1025" DrawAspect="Content" ObjectID="_1682181213" r:id="rId12"/>
        </w:object>
      </w:r>
    </w:p>
    <w:p w14:paraId="437E38C4" w14:textId="6AABA787" w:rsidR="00D8613F" w:rsidRPr="006F0243" w:rsidRDefault="006F0243" w:rsidP="006F0243">
      <w:pPr>
        <w:pStyle w:val="Caption"/>
        <w:jc w:val="center"/>
        <w:rPr>
          <w:i w:val="0"/>
          <w:iCs w:val="0"/>
          <w:color w:val="auto"/>
          <w:sz w:val="20"/>
          <w:szCs w:val="20"/>
          <w:lang w:val="en-GB" w:eastAsia="x-none"/>
        </w:rPr>
      </w:pPr>
      <w:bookmarkStart w:id="2" w:name="_Ref71407147"/>
      <w:r w:rsidRPr="006F0243">
        <w:rPr>
          <w:i w:val="0"/>
          <w:iCs w:val="0"/>
          <w:color w:val="auto"/>
          <w:sz w:val="20"/>
          <w:szCs w:val="20"/>
        </w:rPr>
        <w:t xml:space="preserve">Figure </w:t>
      </w:r>
      <w:r w:rsidRPr="006F0243">
        <w:rPr>
          <w:i w:val="0"/>
          <w:iCs w:val="0"/>
          <w:color w:val="auto"/>
          <w:sz w:val="20"/>
          <w:szCs w:val="20"/>
        </w:rPr>
        <w:fldChar w:fldCharType="begin"/>
      </w:r>
      <w:r w:rsidRPr="006F0243">
        <w:rPr>
          <w:i w:val="0"/>
          <w:iCs w:val="0"/>
          <w:color w:val="auto"/>
          <w:sz w:val="20"/>
          <w:szCs w:val="20"/>
        </w:rPr>
        <w:instrText xml:space="preserve"> SEQ Figure \* ARABIC </w:instrText>
      </w:r>
      <w:r w:rsidRPr="006F0243">
        <w:rPr>
          <w:i w:val="0"/>
          <w:iCs w:val="0"/>
          <w:color w:val="auto"/>
          <w:sz w:val="20"/>
          <w:szCs w:val="20"/>
        </w:rPr>
        <w:fldChar w:fldCharType="separate"/>
      </w:r>
      <w:r w:rsidR="00581D40">
        <w:rPr>
          <w:i w:val="0"/>
          <w:iCs w:val="0"/>
          <w:noProof/>
          <w:color w:val="auto"/>
          <w:sz w:val="20"/>
          <w:szCs w:val="20"/>
        </w:rPr>
        <w:t>1</w:t>
      </w:r>
      <w:r w:rsidRPr="006F0243">
        <w:rPr>
          <w:i w:val="0"/>
          <w:iCs w:val="0"/>
          <w:color w:val="auto"/>
          <w:sz w:val="20"/>
          <w:szCs w:val="20"/>
        </w:rPr>
        <w:fldChar w:fldCharType="end"/>
      </w:r>
      <w:bookmarkEnd w:id="2"/>
      <w:r w:rsidRPr="006F0243">
        <w:rPr>
          <w:i w:val="0"/>
          <w:iCs w:val="0"/>
          <w:color w:val="auto"/>
          <w:sz w:val="20"/>
          <w:szCs w:val="20"/>
        </w:rPr>
        <w:t>. Overview of extended DRX operation</w:t>
      </w:r>
    </w:p>
    <w:p w14:paraId="559D92AC" w14:textId="626AA310" w:rsidR="00023FDC" w:rsidRDefault="00E90140" w:rsidP="00023FDC">
      <w:pPr>
        <w:rPr>
          <w:lang w:val="en-GB" w:eastAsia="x-none"/>
        </w:rPr>
      </w:pPr>
      <w:r>
        <w:rPr>
          <w:lang w:val="en-GB" w:eastAsia="x-none"/>
        </w:rPr>
        <w:t xml:space="preserve">Moreover </w:t>
      </w:r>
      <w:r w:rsidR="00940CEC">
        <w:rPr>
          <w:lang w:val="en-GB" w:eastAsia="x-none"/>
        </w:rPr>
        <w:t xml:space="preserve">PTW </w:t>
      </w:r>
      <w:r w:rsidR="009C3416">
        <w:rPr>
          <w:lang w:val="en-GB" w:eastAsia="x-none"/>
        </w:rPr>
        <w:t>depends o</w:t>
      </w:r>
      <w:r w:rsidR="009C3416" w:rsidRPr="009C3416">
        <w:rPr>
          <w:lang w:val="en-GB" w:eastAsia="x-none"/>
        </w:rPr>
        <w:t xml:space="preserve">n </w:t>
      </w:r>
      <w:r w:rsidR="009C3416" w:rsidRPr="009C3416">
        <w:t>P</w:t>
      </w:r>
      <w:r w:rsidR="009C3416" w:rsidRPr="00AD078C">
        <w:t xml:space="preserve">H, PTW_start and PTW_end where </w:t>
      </w:r>
      <w:r w:rsidR="00AD078C" w:rsidRPr="00AD078C">
        <w:t>PH and PTW_start are both calculated based on the eDRX cycle value, T</w:t>
      </w:r>
      <w:r w:rsidR="00AD078C" w:rsidRPr="00AD078C">
        <w:rPr>
          <w:vertAlign w:val="subscript"/>
        </w:rPr>
        <w:t>eDRX,H</w:t>
      </w:r>
      <w:r w:rsidR="00AD078C">
        <w:t>, as shown in reference from TS 36.304 copied below.</w:t>
      </w:r>
    </w:p>
    <w:p w14:paraId="3B5D0784" w14:textId="4CFEA39B" w:rsidR="007415D6" w:rsidRPr="007415D6" w:rsidRDefault="00AD078C" w:rsidP="00940CEC">
      <w:pPr>
        <w:spacing w:after="0"/>
        <w:ind w:left="284"/>
        <w:rPr>
          <w:i/>
          <w:iCs/>
        </w:rPr>
      </w:pPr>
      <w:r>
        <w:rPr>
          <w:i/>
          <w:iCs/>
        </w:rPr>
        <w:t>“</w:t>
      </w:r>
      <w:r w:rsidR="007415D6" w:rsidRPr="007415D6">
        <w:rPr>
          <w:i/>
          <w:iCs/>
        </w:rPr>
        <w:t xml:space="preserve">The </w:t>
      </w:r>
      <w:r w:rsidR="007415D6" w:rsidRPr="007415D6">
        <w:rPr>
          <w:b/>
          <w:bCs/>
          <w:i/>
          <w:iCs/>
        </w:rPr>
        <w:t>PTW is UE-specific</w:t>
      </w:r>
      <w:r w:rsidR="007415D6" w:rsidRPr="007415D6">
        <w:rPr>
          <w:i/>
          <w:iCs/>
        </w:rPr>
        <w:t xml:space="preserve"> and is determined by a </w:t>
      </w:r>
      <w:r w:rsidR="007415D6" w:rsidRPr="007415D6">
        <w:rPr>
          <w:b/>
          <w:bCs/>
          <w:i/>
          <w:iCs/>
        </w:rPr>
        <w:t>Paging Hyperframe (PH)</w:t>
      </w:r>
      <w:r w:rsidR="007415D6" w:rsidRPr="007415D6">
        <w:rPr>
          <w:i/>
          <w:iCs/>
        </w:rPr>
        <w:t xml:space="preserve">, a </w:t>
      </w:r>
      <w:r w:rsidR="007415D6" w:rsidRPr="007415D6">
        <w:rPr>
          <w:b/>
          <w:bCs/>
          <w:i/>
          <w:iCs/>
        </w:rPr>
        <w:t>starting position</w:t>
      </w:r>
      <w:r w:rsidR="007415D6" w:rsidRPr="007415D6">
        <w:rPr>
          <w:i/>
          <w:iCs/>
        </w:rPr>
        <w:t xml:space="preserve"> within the PH (PTW_start) and an </w:t>
      </w:r>
      <w:r w:rsidR="007415D6" w:rsidRPr="001A50CF">
        <w:rPr>
          <w:b/>
          <w:bCs/>
          <w:i/>
          <w:iCs/>
        </w:rPr>
        <w:t>ending position</w:t>
      </w:r>
      <w:r w:rsidR="007415D6" w:rsidRPr="007415D6">
        <w:rPr>
          <w:i/>
          <w:iCs/>
        </w:rPr>
        <w:t xml:space="preserve"> (PTW_end). PH, PTW_start and PTW_end are given by the following formulae:</w:t>
      </w:r>
    </w:p>
    <w:p w14:paraId="7AF62958" w14:textId="77777777" w:rsidR="007415D6" w:rsidRPr="007415D6" w:rsidRDefault="007415D6" w:rsidP="00940CEC">
      <w:pPr>
        <w:pStyle w:val="EX"/>
        <w:spacing w:after="0"/>
        <w:ind w:left="569" w:hanging="1"/>
        <w:rPr>
          <w:i/>
          <w:iCs/>
        </w:rPr>
      </w:pPr>
      <w:r w:rsidRPr="007415D6">
        <w:rPr>
          <w:i/>
          <w:iCs/>
        </w:rPr>
        <w:t xml:space="preserve">The </w:t>
      </w:r>
      <w:r w:rsidRPr="00431EC4">
        <w:rPr>
          <w:b/>
          <w:bCs/>
          <w:i/>
          <w:iCs/>
        </w:rPr>
        <w:t xml:space="preserve">PH </w:t>
      </w:r>
      <w:r w:rsidRPr="007415D6">
        <w:rPr>
          <w:i/>
          <w:iCs/>
        </w:rPr>
        <w:t>is the H-SFN satisfying the following equation:</w:t>
      </w:r>
    </w:p>
    <w:p w14:paraId="509CFF5E" w14:textId="77777777" w:rsidR="007415D6" w:rsidRPr="007415D6" w:rsidRDefault="007415D6" w:rsidP="00940CEC">
      <w:pPr>
        <w:pStyle w:val="B2"/>
        <w:tabs>
          <w:tab w:val="left" w:pos="900"/>
        </w:tabs>
        <w:spacing w:after="0"/>
        <w:ind w:left="1135"/>
        <w:rPr>
          <w:i/>
          <w:iCs/>
        </w:rPr>
      </w:pPr>
      <w:r w:rsidRPr="007415D6">
        <w:rPr>
          <w:i/>
          <w:iCs/>
        </w:rPr>
        <w:t xml:space="preserve">H-SFN mod </w:t>
      </w:r>
      <w:r w:rsidRPr="00431EC4">
        <w:rPr>
          <w:i/>
          <w:iCs/>
          <w:highlight w:val="yellow"/>
        </w:rPr>
        <w:t>T</w:t>
      </w:r>
      <w:r w:rsidRPr="00431EC4">
        <w:rPr>
          <w:i/>
          <w:iCs/>
          <w:highlight w:val="yellow"/>
          <w:vertAlign w:val="subscript"/>
        </w:rPr>
        <w:t>eDRX,H</w:t>
      </w:r>
      <w:r w:rsidRPr="007415D6">
        <w:rPr>
          <w:i/>
          <w:iCs/>
        </w:rPr>
        <w:t>= (UE_ID</w:t>
      </w:r>
      <w:r w:rsidRPr="007415D6">
        <w:rPr>
          <w:i/>
          <w:iCs/>
          <w:lang w:eastAsia="ja-JP"/>
        </w:rPr>
        <w:t>_H</w:t>
      </w:r>
      <w:r w:rsidRPr="007415D6">
        <w:rPr>
          <w:i/>
          <w:iCs/>
        </w:rPr>
        <w:t xml:space="preserve"> mod </w:t>
      </w:r>
      <w:r w:rsidRPr="0010365B">
        <w:rPr>
          <w:i/>
          <w:iCs/>
          <w:highlight w:val="yellow"/>
        </w:rPr>
        <w:t>T</w:t>
      </w:r>
      <w:r w:rsidRPr="0010365B">
        <w:rPr>
          <w:i/>
          <w:iCs/>
          <w:highlight w:val="yellow"/>
          <w:vertAlign w:val="subscript"/>
        </w:rPr>
        <w:t>eDRX,H</w:t>
      </w:r>
      <w:r w:rsidRPr="007415D6">
        <w:rPr>
          <w:i/>
          <w:iCs/>
        </w:rPr>
        <w:t>), where</w:t>
      </w:r>
    </w:p>
    <w:p w14:paraId="31FD904B" w14:textId="77777777" w:rsidR="007415D6" w:rsidRPr="007415D6" w:rsidRDefault="007415D6" w:rsidP="00940CEC">
      <w:pPr>
        <w:pStyle w:val="B2"/>
        <w:tabs>
          <w:tab w:val="left" w:pos="900"/>
        </w:tabs>
        <w:spacing w:after="0"/>
        <w:ind w:left="1135"/>
        <w:rPr>
          <w:i/>
          <w:iCs/>
          <w:lang w:eastAsia="ja-JP"/>
        </w:rPr>
      </w:pPr>
      <w:r w:rsidRPr="007415D6">
        <w:rPr>
          <w:i/>
          <w:iCs/>
        </w:rPr>
        <w:t>-</w:t>
      </w:r>
      <w:r w:rsidRPr="007415D6">
        <w:rPr>
          <w:i/>
          <w:iCs/>
        </w:rPr>
        <w:tab/>
        <w:t>UE_ID</w:t>
      </w:r>
      <w:r w:rsidRPr="007415D6">
        <w:rPr>
          <w:i/>
          <w:iCs/>
          <w:lang w:eastAsia="ja-JP"/>
        </w:rPr>
        <w:t>_H</w:t>
      </w:r>
      <w:r w:rsidRPr="007415D6">
        <w:rPr>
          <w:i/>
          <w:iCs/>
        </w:rPr>
        <w:t>:</w:t>
      </w:r>
    </w:p>
    <w:p w14:paraId="67954A3C" w14:textId="77777777" w:rsidR="007415D6" w:rsidRPr="007415D6" w:rsidRDefault="007415D6" w:rsidP="00940CEC">
      <w:pPr>
        <w:pStyle w:val="B3"/>
        <w:spacing w:after="0"/>
        <w:ind w:left="1419"/>
        <w:rPr>
          <w:i/>
          <w:iCs/>
          <w:lang w:eastAsia="ja-JP"/>
        </w:rPr>
      </w:pPr>
      <w:r w:rsidRPr="007415D6">
        <w:rPr>
          <w:i/>
          <w:iCs/>
          <w:lang w:eastAsia="ja-JP"/>
        </w:rPr>
        <w:t>- 10 most significant bits of the Hashed ID, if P-RNTI is monitored on PDCCH or MPDCCH</w:t>
      </w:r>
    </w:p>
    <w:p w14:paraId="654DDA74" w14:textId="77777777" w:rsidR="007415D6" w:rsidRPr="007415D6" w:rsidRDefault="007415D6" w:rsidP="00940CEC">
      <w:pPr>
        <w:pStyle w:val="B3"/>
        <w:spacing w:after="0"/>
        <w:ind w:left="1419"/>
        <w:rPr>
          <w:i/>
          <w:iCs/>
        </w:rPr>
      </w:pPr>
      <w:r w:rsidRPr="007415D6">
        <w:rPr>
          <w:i/>
          <w:iCs/>
          <w:lang w:eastAsia="ja-JP"/>
        </w:rPr>
        <w:t>- 12 most significant bits of the Hashed ID, if P-RNTI is monitored on NPDCCH</w:t>
      </w:r>
    </w:p>
    <w:p w14:paraId="76C27B3D" w14:textId="77777777" w:rsidR="007415D6" w:rsidRPr="007415D6" w:rsidRDefault="007415D6" w:rsidP="00940CEC">
      <w:pPr>
        <w:pStyle w:val="B2"/>
        <w:tabs>
          <w:tab w:val="left" w:pos="900"/>
        </w:tabs>
        <w:spacing w:after="0"/>
        <w:ind w:left="1135"/>
        <w:rPr>
          <w:i/>
          <w:iCs/>
        </w:rPr>
      </w:pPr>
      <w:r w:rsidRPr="007415D6">
        <w:rPr>
          <w:i/>
          <w:iCs/>
        </w:rPr>
        <w:t>-</w:t>
      </w:r>
      <w:r w:rsidRPr="007415D6">
        <w:rPr>
          <w:i/>
          <w:iCs/>
        </w:rPr>
        <w:tab/>
      </w:r>
      <w:bookmarkStart w:id="3" w:name="_Hlk71408097"/>
      <w:r w:rsidRPr="007415D6">
        <w:rPr>
          <w:i/>
          <w:iCs/>
        </w:rPr>
        <w:t>T</w:t>
      </w:r>
      <w:r w:rsidRPr="007415D6">
        <w:rPr>
          <w:i/>
          <w:iCs/>
          <w:vertAlign w:val="subscript"/>
        </w:rPr>
        <w:t xml:space="preserve"> eDRX,H</w:t>
      </w:r>
      <w:r w:rsidRPr="007415D6">
        <w:rPr>
          <w:i/>
          <w:iCs/>
        </w:rPr>
        <w:t xml:space="preserve"> : eDRX cycle of the UE in Hyper-frames</w:t>
      </w:r>
      <w:bookmarkEnd w:id="3"/>
      <w:r w:rsidRPr="007415D6">
        <w:rPr>
          <w:i/>
          <w:iCs/>
        </w:rPr>
        <w:t>, (T</w:t>
      </w:r>
      <w:r w:rsidRPr="007415D6">
        <w:rPr>
          <w:i/>
          <w:iCs/>
          <w:vertAlign w:val="subscript"/>
        </w:rPr>
        <w:t>eDRX,H</w:t>
      </w:r>
      <w:r w:rsidRPr="007415D6">
        <w:rPr>
          <w:i/>
          <w:iCs/>
        </w:rPr>
        <w:t xml:space="preserve"> =1, 2, …, 256 Hyper-frames) (for NB-IoT, T</w:t>
      </w:r>
      <w:r w:rsidRPr="007415D6">
        <w:rPr>
          <w:i/>
          <w:iCs/>
          <w:vertAlign w:val="subscript"/>
        </w:rPr>
        <w:t>eDRX,H</w:t>
      </w:r>
      <w:r w:rsidRPr="007415D6">
        <w:rPr>
          <w:i/>
          <w:iCs/>
        </w:rPr>
        <w:t xml:space="preserve"> =2, …, 1024 Hyper-frames) and configured by upper layers.</w:t>
      </w:r>
    </w:p>
    <w:p w14:paraId="1DFED0F8" w14:textId="77777777" w:rsidR="007415D6" w:rsidRPr="007415D6" w:rsidRDefault="007415D6" w:rsidP="00940CEC">
      <w:pPr>
        <w:spacing w:after="0"/>
        <w:ind w:left="568"/>
        <w:rPr>
          <w:i/>
          <w:iCs/>
        </w:rPr>
      </w:pPr>
      <w:r w:rsidRPr="00431EC4">
        <w:rPr>
          <w:b/>
          <w:bCs/>
          <w:i/>
          <w:iCs/>
        </w:rPr>
        <w:t>PTW_start</w:t>
      </w:r>
      <w:r w:rsidRPr="007415D6">
        <w:rPr>
          <w:i/>
          <w:iCs/>
        </w:rPr>
        <w:t xml:space="preserve"> denotes the first radio frame of the PH that is part of the PTW and has SFN satisfying the following equation:</w:t>
      </w:r>
    </w:p>
    <w:p w14:paraId="53A36CAB" w14:textId="77777777" w:rsidR="007415D6" w:rsidRPr="007415D6" w:rsidRDefault="007415D6" w:rsidP="00940CEC">
      <w:pPr>
        <w:pStyle w:val="B2"/>
        <w:tabs>
          <w:tab w:val="left" w:pos="900"/>
        </w:tabs>
        <w:spacing w:after="0"/>
        <w:ind w:left="1135"/>
        <w:rPr>
          <w:i/>
          <w:iCs/>
        </w:rPr>
      </w:pPr>
      <w:r w:rsidRPr="007415D6">
        <w:rPr>
          <w:i/>
          <w:iCs/>
        </w:rPr>
        <w:t>SFN = 256* i</w:t>
      </w:r>
      <w:r w:rsidRPr="007415D6">
        <w:rPr>
          <w:i/>
          <w:iCs/>
          <w:vertAlign w:val="subscript"/>
        </w:rPr>
        <w:t>eDRX</w:t>
      </w:r>
      <w:r w:rsidRPr="007415D6">
        <w:rPr>
          <w:i/>
          <w:iCs/>
        </w:rPr>
        <w:t>, where</w:t>
      </w:r>
    </w:p>
    <w:p w14:paraId="3F8CCD43" w14:textId="77777777" w:rsidR="007415D6" w:rsidRPr="007415D6" w:rsidRDefault="007415D6" w:rsidP="00940CEC">
      <w:pPr>
        <w:pStyle w:val="B2"/>
        <w:tabs>
          <w:tab w:val="left" w:pos="900"/>
        </w:tabs>
        <w:spacing w:after="0"/>
        <w:ind w:left="1135"/>
        <w:rPr>
          <w:i/>
          <w:iCs/>
        </w:rPr>
      </w:pPr>
      <w:r w:rsidRPr="007415D6">
        <w:rPr>
          <w:i/>
          <w:iCs/>
        </w:rPr>
        <w:t>-</w:t>
      </w:r>
      <w:r w:rsidRPr="007415D6">
        <w:rPr>
          <w:i/>
          <w:iCs/>
        </w:rPr>
        <w:tab/>
        <w:t>i</w:t>
      </w:r>
      <w:r w:rsidRPr="007415D6">
        <w:rPr>
          <w:i/>
          <w:iCs/>
          <w:vertAlign w:val="subscript"/>
        </w:rPr>
        <w:t>eDRX</w:t>
      </w:r>
      <w:r w:rsidRPr="007415D6">
        <w:rPr>
          <w:i/>
          <w:iCs/>
        </w:rPr>
        <w:t xml:space="preserve"> = floor(UE_ID</w:t>
      </w:r>
      <w:r w:rsidRPr="007415D6">
        <w:rPr>
          <w:i/>
          <w:iCs/>
          <w:lang w:eastAsia="ja-JP"/>
        </w:rPr>
        <w:t>_H</w:t>
      </w:r>
      <w:r w:rsidRPr="007415D6">
        <w:rPr>
          <w:i/>
          <w:iCs/>
        </w:rPr>
        <w:t xml:space="preserve"> /</w:t>
      </w:r>
      <w:r w:rsidRPr="00431EC4">
        <w:rPr>
          <w:i/>
          <w:iCs/>
          <w:highlight w:val="yellow"/>
        </w:rPr>
        <w:t>T</w:t>
      </w:r>
      <w:r w:rsidRPr="00431EC4">
        <w:rPr>
          <w:i/>
          <w:iCs/>
          <w:highlight w:val="yellow"/>
          <w:vertAlign w:val="subscript"/>
        </w:rPr>
        <w:t>eDRX,H</w:t>
      </w:r>
      <w:r w:rsidRPr="007415D6">
        <w:rPr>
          <w:i/>
          <w:iCs/>
        </w:rPr>
        <w:t>) mod 4</w:t>
      </w:r>
    </w:p>
    <w:p w14:paraId="17AB67D2" w14:textId="77777777" w:rsidR="007415D6" w:rsidRPr="007415D6" w:rsidRDefault="007415D6" w:rsidP="00940CEC">
      <w:pPr>
        <w:spacing w:after="0"/>
        <w:ind w:left="284" w:firstLine="284"/>
        <w:rPr>
          <w:i/>
          <w:iCs/>
        </w:rPr>
      </w:pPr>
      <w:r w:rsidRPr="00431EC4">
        <w:rPr>
          <w:b/>
          <w:bCs/>
          <w:i/>
          <w:iCs/>
        </w:rPr>
        <w:t>PTW_end</w:t>
      </w:r>
      <w:r w:rsidRPr="007415D6">
        <w:rPr>
          <w:i/>
          <w:iCs/>
        </w:rPr>
        <w:t xml:space="preserve"> is the last radio frame of the PTW and has SFN satisfying the following equation:</w:t>
      </w:r>
    </w:p>
    <w:p w14:paraId="25BAAD05" w14:textId="77777777" w:rsidR="007415D6" w:rsidRPr="007415D6" w:rsidRDefault="007415D6" w:rsidP="00940CEC">
      <w:pPr>
        <w:pStyle w:val="B2"/>
        <w:tabs>
          <w:tab w:val="left" w:pos="900"/>
        </w:tabs>
        <w:spacing w:after="0"/>
        <w:ind w:left="1135"/>
        <w:rPr>
          <w:i/>
          <w:iCs/>
        </w:rPr>
      </w:pPr>
      <w:r w:rsidRPr="007415D6">
        <w:rPr>
          <w:i/>
          <w:iCs/>
        </w:rPr>
        <w:t>SFN = (PTW_start + L*100 - 1) mod 1024, where</w:t>
      </w:r>
    </w:p>
    <w:p w14:paraId="058C6878" w14:textId="45858018" w:rsidR="007415D6" w:rsidRPr="007415D6" w:rsidRDefault="007415D6" w:rsidP="00AD078C">
      <w:pPr>
        <w:pStyle w:val="B2"/>
        <w:tabs>
          <w:tab w:val="left" w:pos="900"/>
        </w:tabs>
        <w:ind w:left="1135"/>
        <w:rPr>
          <w:i/>
          <w:iCs/>
        </w:rPr>
      </w:pPr>
      <w:r w:rsidRPr="007415D6">
        <w:rPr>
          <w:i/>
          <w:iCs/>
        </w:rPr>
        <w:t>-</w:t>
      </w:r>
      <w:r w:rsidRPr="007415D6">
        <w:rPr>
          <w:i/>
          <w:iCs/>
        </w:rPr>
        <w:tab/>
        <w:t>L = Paging Time Window length (in seconds) configured by upper layers</w:t>
      </w:r>
      <w:r w:rsidR="00AD078C">
        <w:rPr>
          <w:i/>
          <w:iCs/>
        </w:rPr>
        <w:t>”</w:t>
      </w:r>
    </w:p>
    <w:p w14:paraId="53210934" w14:textId="0B174C03" w:rsidR="00AD078C" w:rsidRDefault="00AD078C" w:rsidP="003F319B">
      <w:pPr>
        <w:jc w:val="both"/>
        <w:rPr>
          <w:lang w:val="en-GB" w:eastAsia="x-none"/>
        </w:rPr>
      </w:pPr>
      <w:r>
        <w:rPr>
          <w:lang w:val="en-GB" w:eastAsia="x-none"/>
        </w:rPr>
        <w:t>RAN2 already agreed</w:t>
      </w:r>
      <w:r w:rsidR="00E90140">
        <w:rPr>
          <w:lang w:val="en-GB" w:eastAsia="x-none"/>
        </w:rPr>
        <w:t xml:space="preserve"> for NR eDRX,</w:t>
      </w:r>
      <w:r>
        <w:rPr>
          <w:lang w:val="en-GB" w:eastAsia="x-none"/>
        </w:rPr>
        <w:t xml:space="preserve"> that </w:t>
      </w:r>
      <w:r w:rsidR="0020061D" w:rsidRPr="0020061D">
        <w:rPr>
          <w:lang w:val="en-GB" w:eastAsia="x-none"/>
        </w:rPr>
        <w:t>the configurations of the eDRX</w:t>
      </w:r>
      <w:r w:rsidR="0020061D">
        <w:rPr>
          <w:lang w:val="en-GB" w:eastAsia="x-none"/>
        </w:rPr>
        <w:t xml:space="preserve"> cycle </w:t>
      </w:r>
      <w:r w:rsidR="0020061D" w:rsidRPr="0020061D">
        <w:rPr>
          <w:lang w:val="en-GB" w:eastAsia="x-none"/>
        </w:rPr>
        <w:t>can be different</w:t>
      </w:r>
      <w:r w:rsidR="0020061D">
        <w:rPr>
          <w:lang w:val="en-GB" w:eastAsia="x-none"/>
        </w:rPr>
        <w:t>ly for IDLE / INACTIVE</w:t>
      </w:r>
      <w:r w:rsidR="000301BC">
        <w:rPr>
          <w:lang w:val="en-GB" w:eastAsia="x-none"/>
        </w:rPr>
        <w:t xml:space="preserve"> and that LTE eDRX mechanism was taken as baseline</w:t>
      </w:r>
      <w:r w:rsidR="00351098">
        <w:rPr>
          <w:lang w:val="en-GB" w:eastAsia="x-none"/>
        </w:rPr>
        <w:t>.</w:t>
      </w:r>
      <w:r w:rsidR="006E1A43">
        <w:rPr>
          <w:lang w:val="en-GB" w:eastAsia="x-none"/>
        </w:rPr>
        <w:t xml:space="preserve"> </w:t>
      </w:r>
      <w:r w:rsidR="00C96E8D">
        <w:rPr>
          <w:lang w:val="en-GB" w:eastAsia="x-none"/>
        </w:rPr>
        <w:t>Moreover</w:t>
      </w:r>
      <w:r w:rsidR="000301BC">
        <w:rPr>
          <w:lang w:val="en-GB" w:eastAsia="x-none"/>
        </w:rPr>
        <w:t xml:space="preserve"> </w:t>
      </w:r>
      <w:r w:rsidR="00C96E8D">
        <w:rPr>
          <w:lang w:val="en-GB" w:eastAsia="x-none"/>
        </w:rPr>
        <w:t xml:space="preserve">it should be desirable to keep </w:t>
      </w:r>
      <w:r w:rsidR="000301BC">
        <w:rPr>
          <w:lang w:val="en-GB" w:eastAsia="x-none"/>
        </w:rPr>
        <w:t xml:space="preserve">the </w:t>
      </w:r>
      <w:r w:rsidR="00427BEC">
        <w:rPr>
          <w:lang w:val="en-GB" w:eastAsia="x-none"/>
        </w:rPr>
        <w:t>way that UE’s configured with eDRX are spread</w:t>
      </w:r>
      <w:r w:rsidR="000301BC">
        <w:rPr>
          <w:lang w:val="en-GB" w:eastAsia="x-none"/>
        </w:rPr>
        <w:t xml:space="preserve"> by using </w:t>
      </w:r>
      <w:r w:rsidR="000301BC" w:rsidRPr="007415D6">
        <w:rPr>
          <w:i/>
          <w:iCs/>
        </w:rPr>
        <w:t>T</w:t>
      </w:r>
      <w:r w:rsidR="000301BC" w:rsidRPr="007415D6">
        <w:rPr>
          <w:i/>
          <w:iCs/>
          <w:vertAlign w:val="subscript"/>
        </w:rPr>
        <w:t xml:space="preserve"> eDRX,H</w:t>
      </w:r>
      <w:r w:rsidR="000301BC" w:rsidRPr="007415D6">
        <w:rPr>
          <w:i/>
          <w:iCs/>
        </w:rPr>
        <w:t xml:space="preserve"> </w:t>
      </w:r>
      <w:r w:rsidR="000301BC">
        <w:rPr>
          <w:lang w:val="en-GB" w:eastAsia="x-none"/>
        </w:rPr>
        <w:t xml:space="preserve">in the </w:t>
      </w:r>
      <w:r w:rsidR="00C96E8D">
        <w:rPr>
          <w:lang w:val="en-GB" w:eastAsia="x-none"/>
        </w:rPr>
        <w:t>calculation of UE-specific PH and PTW start. However</w:t>
      </w:r>
      <w:r w:rsidR="00722AAD">
        <w:rPr>
          <w:lang w:val="en-GB" w:eastAsia="x-none"/>
        </w:rPr>
        <w:t>,</w:t>
      </w:r>
      <w:r w:rsidR="00C96E8D">
        <w:rPr>
          <w:lang w:val="en-GB" w:eastAsia="x-none"/>
        </w:rPr>
        <w:t xml:space="preserve"> if </w:t>
      </w:r>
      <w:r w:rsidR="00415D84">
        <w:rPr>
          <w:lang w:val="en-GB" w:eastAsia="x-none"/>
        </w:rPr>
        <w:t>eDRX cycle length</w:t>
      </w:r>
      <w:r w:rsidR="00C96E8D">
        <w:rPr>
          <w:lang w:val="en-GB" w:eastAsia="x-none"/>
        </w:rPr>
        <w:t>s</w:t>
      </w:r>
      <w:r w:rsidR="00415D84">
        <w:rPr>
          <w:lang w:val="en-GB" w:eastAsia="x-none"/>
        </w:rPr>
        <w:t xml:space="preserve"> for IDLE and INACTIVE </w:t>
      </w:r>
      <w:r w:rsidR="00C96E8D">
        <w:rPr>
          <w:lang w:val="en-GB" w:eastAsia="x-none"/>
        </w:rPr>
        <w:t>are</w:t>
      </w:r>
      <w:r w:rsidR="00415D84">
        <w:rPr>
          <w:lang w:val="en-GB" w:eastAsia="x-none"/>
        </w:rPr>
        <w:t xml:space="preserve"> different</w:t>
      </w:r>
      <w:r w:rsidR="00C96E8D">
        <w:rPr>
          <w:lang w:val="en-GB" w:eastAsia="x-none"/>
        </w:rPr>
        <w:t xml:space="preserve"> but the PTW uses </w:t>
      </w:r>
      <w:r w:rsidR="004208F1">
        <w:rPr>
          <w:lang w:val="en-GB" w:eastAsia="x-none"/>
        </w:rPr>
        <w:t xml:space="preserve">common configuration (or part of it) </w:t>
      </w:r>
      <w:r w:rsidR="00427BEC">
        <w:rPr>
          <w:lang w:val="en-GB" w:eastAsia="x-none"/>
        </w:rPr>
        <w:t>as proposed by some companies</w:t>
      </w:r>
      <w:r w:rsidR="004208F1">
        <w:rPr>
          <w:lang w:val="en-GB" w:eastAsia="x-none"/>
        </w:rPr>
        <w:t xml:space="preserve"> for IDLE and INACTIVE</w:t>
      </w:r>
      <w:r w:rsidR="003F319B">
        <w:rPr>
          <w:lang w:val="en-GB" w:eastAsia="x-none"/>
        </w:rPr>
        <w:t>, this may break that principle</w:t>
      </w:r>
      <w:r w:rsidR="007526F5">
        <w:rPr>
          <w:lang w:val="en-GB" w:eastAsia="x-none"/>
        </w:rPr>
        <w:t xml:space="preserve"> decided for LTE</w:t>
      </w:r>
      <w:r w:rsidR="003F319B">
        <w:rPr>
          <w:lang w:val="en-GB" w:eastAsia="x-none"/>
        </w:rPr>
        <w:t>. Therefore, we suggest that RAN2 only considers option 1) and 4).</w:t>
      </w:r>
    </w:p>
    <w:p w14:paraId="5BF0F887" w14:textId="694C4B8A" w:rsidR="000D3E63" w:rsidRDefault="00F139DA" w:rsidP="000D3E63">
      <w:pPr>
        <w:pStyle w:val="observ"/>
        <w:ind w:left="360"/>
      </w:pPr>
      <w:bookmarkStart w:id="4" w:name="_Toc71411728"/>
      <w:bookmarkStart w:id="5" w:name="_Toc71567419"/>
      <w:bookmarkStart w:id="6" w:name="_Toc71567690"/>
      <w:bookmarkStart w:id="7" w:name="_Toc71568467"/>
      <w:r>
        <w:t xml:space="preserve">If common </w:t>
      </w:r>
      <w:r w:rsidR="00BB4771">
        <w:t xml:space="preserve">LTE-based </w:t>
      </w:r>
      <w:r>
        <w:t>PTW config</w:t>
      </w:r>
      <w:r w:rsidR="00EB3E4D">
        <w:t>.</w:t>
      </w:r>
      <w:r>
        <w:t xml:space="preserve"> </w:t>
      </w:r>
      <w:r w:rsidR="00755DB1">
        <w:t xml:space="preserve">(as proposed by some companies) </w:t>
      </w:r>
      <w:r w:rsidR="00EB3E4D">
        <w:t xml:space="preserve">but </w:t>
      </w:r>
      <w:r>
        <w:t>different T</w:t>
      </w:r>
      <w:r w:rsidRPr="00EB3E4D">
        <w:rPr>
          <w:vertAlign w:val="subscript"/>
        </w:rPr>
        <w:t>eDRX</w:t>
      </w:r>
      <w:r>
        <w:t xml:space="preserve"> </w:t>
      </w:r>
      <w:r w:rsidR="00EB3E4D">
        <w:t xml:space="preserve">values are used for IDLE and INACTIVE, this may break the </w:t>
      </w:r>
      <w:r w:rsidR="00755DB1">
        <w:t xml:space="preserve">way that </w:t>
      </w:r>
      <w:r w:rsidR="00EB3E4D">
        <w:t xml:space="preserve">LTE eDRX mechanism </w:t>
      </w:r>
      <w:r w:rsidR="00755DB1">
        <w:t xml:space="preserve">spread the UE’s PTW </w:t>
      </w:r>
      <w:r w:rsidR="00490657">
        <w:t xml:space="preserve">which is calculated based on </w:t>
      </w:r>
      <w:r w:rsidR="00D018B4" w:rsidRPr="00D018B4">
        <w:t xml:space="preserve">T </w:t>
      </w:r>
      <w:r w:rsidR="00D018B4" w:rsidRPr="00D018B4">
        <w:rPr>
          <w:vertAlign w:val="subscript"/>
        </w:rPr>
        <w:t>eDRX,H</w:t>
      </w:r>
      <w:r w:rsidR="00D018B4" w:rsidRPr="00D018B4">
        <w:t xml:space="preserve"> </w:t>
      </w:r>
      <w:r w:rsidR="00D018B4">
        <w:t>(i</w:t>
      </w:r>
      <w:r w:rsidR="00C9053D">
        <w:t>.e.</w:t>
      </w:r>
      <w:r w:rsidR="00D018B4" w:rsidRPr="00D018B4">
        <w:t xml:space="preserve"> eDRX cycle of the UE in Hyper-frames</w:t>
      </w:r>
      <w:r w:rsidR="00C9053D">
        <w:t xml:space="preserve">) </w:t>
      </w:r>
      <w:r w:rsidR="00726CD7">
        <w:t>for</w:t>
      </w:r>
      <w:r w:rsidR="00C9053D">
        <w:t xml:space="preserve"> the PH and PTW_start</w:t>
      </w:r>
      <w:r w:rsidR="00507473">
        <w:t xml:space="preserve">. Note that UE-specific PTW </w:t>
      </w:r>
      <w:r w:rsidR="00507473">
        <w:rPr>
          <w:lang w:eastAsia="x-none"/>
        </w:rPr>
        <w:t>depends o</w:t>
      </w:r>
      <w:r w:rsidR="00507473" w:rsidRPr="009C3416">
        <w:rPr>
          <w:lang w:eastAsia="x-none"/>
        </w:rPr>
        <w:t xml:space="preserve">n </w:t>
      </w:r>
      <w:r w:rsidR="00507473" w:rsidRPr="009C3416">
        <w:t>P</w:t>
      </w:r>
      <w:r w:rsidR="00507473" w:rsidRPr="00AD078C">
        <w:t>H, PTW_start and PTW_end</w:t>
      </w:r>
      <w:r w:rsidR="00507473">
        <w:t>.</w:t>
      </w:r>
      <w:bookmarkEnd w:id="4"/>
      <w:bookmarkEnd w:id="5"/>
      <w:bookmarkEnd w:id="6"/>
      <w:bookmarkEnd w:id="7"/>
    </w:p>
    <w:p w14:paraId="1C54E7FE" w14:textId="46879EB8" w:rsidR="00BB4771" w:rsidRDefault="00BB4771" w:rsidP="003F319B">
      <w:pPr>
        <w:jc w:val="both"/>
        <w:rPr>
          <w:lang w:val="en-GB" w:eastAsia="x-none"/>
        </w:rPr>
      </w:pPr>
      <w:r>
        <w:rPr>
          <w:lang w:val="en-GB" w:eastAsia="x-none"/>
        </w:rPr>
        <w:t>On other hand, it was proposed</w:t>
      </w:r>
      <w:r w:rsidR="0048483D">
        <w:rPr>
          <w:lang w:val="en-GB" w:eastAsia="x-none"/>
        </w:rPr>
        <w:t xml:space="preserve"> during offline #101 </w:t>
      </w:r>
      <w:r w:rsidR="0048483D">
        <w:rPr>
          <w:lang w:val="en-GB"/>
        </w:rPr>
        <w:fldChar w:fldCharType="begin"/>
      </w:r>
      <w:r w:rsidR="0048483D">
        <w:rPr>
          <w:lang w:val="en-GB"/>
        </w:rPr>
        <w:instrText xml:space="preserve"> REF _Ref71405833 \r \h </w:instrText>
      </w:r>
      <w:r w:rsidR="0048483D">
        <w:rPr>
          <w:lang w:val="en-GB"/>
        </w:rPr>
      </w:r>
      <w:r w:rsidR="0048483D">
        <w:rPr>
          <w:lang w:val="en-GB"/>
        </w:rPr>
        <w:fldChar w:fldCharType="separate"/>
      </w:r>
      <w:r w:rsidR="00581D40">
        <w:rPr>
          <w:lang w:val="en-GB"/>
        </w:rPr>
        <w:t>[1]</w:t>
      </w:r>
      <w:r w:rsidR="0048483D">
        <w:rPr>
          <w:lang w:val="en-GB"/>
        </w:rPr>
        <w:fldChar w:fldCharType="end"/>
      </w:r>
      <w:r w:rsidR="0048483D">
        <w:rPr>
          <w:lang w:val="en-GB"/>
        </w:rPr>
        <w:fldChar w:fldCharType="begin"/>
      </w:r>
      <w:r w:rsidR="0048483D">
        <w:rPr>
          <w:lang w:val="en-GB"/>
        </w:rPr>
        <w:instrText xml:space="preserve"> REF _Ref71405837 \r \h </w:instrText>
      </w:r>
      <w:r w:rsidR="0048483D">
        <w:rPr>
          <w:lang w:val="en-GB"/>
        </w:rPr>
      </w:r>
      <w:r w:rsidR="0048483D">
        <w:rPr>
          <w:lang w:val="en-GB"/>
        </w:rPr>
        <w:fldChar w:fldCharType="separate"/>
      </w:r>
      <w:r w:rsidR="00581D40">
        <w:rPr>
          <w:lang w:val="en-GB"/>
        </w:rPr>
        <w:t>[2]</w:t>
      </w:r>
      <w:r w:rsidR="0048483D">
        <w:rPr>
          <w:lang w:val="en-GB"/>
        </w:rPr>
        <w:fldChar w:fldCharType="end"/>
      </w:r>
      <w:r>
        <w:rPr>
          <w:lang w:val="en-GB" w:eastAsia="x-none"/>
        </w:rPr>
        <w:t xml:space="preserve"> </w:t>
      </w:r>
      <w:r w:rsidR="0048483D">
        <w:rPr>
          <w:lang w:val="en-GB" w:eastAsia="x-none"/>
        </w:rPr>
        <w:t xml:space="preserve">to consider changing </w:t>
      </w:r>
      <w:r w:rsidR="002C0EA6">
        <w:rPr>
          <w:lang w:val="en-GB" w:eastAsia="x-none"/>
        </w:rPr>
        <w:t>the way that</w:t>
      </w:r>
      <w:r w:rsidR="002C0EA6" w:rsidRPr="002C0EA6">
        <w:rPr>
          <w:lang w:val="en-GB" w:eastAsia="x-none"/>
        </w:rPr>
        <w:t xml:space="preserve"> PTW </w:t>
      </w:r>
      <w:r w:rsidR="002C0EA6">
        <w:rPr>
          <w:lang w:val="en-GB" w:eastAsia="x-none"/>
        </w:rPr>
        <w:t xml:space="preserve">is </w:t>
      </w:r>
      <w:r w:rsidR="002C0EA6" w:rsidRPr="002C0EA6">
        <w:rPr>
          <w:lang w:val="en-GB" w:eastAsia="x-none"/>
        </w:rPr>
        <w:t>defin</w:t>
      </w:r>
      <w:r w:rsidR="002C0EA6">
        <w:rPr>
          <w:lang w:val="en-GB" w:eastAsia="x-none"/>
        </w:rPr>
        <w:t>ed in NR vs LTE. As explained above</w:t>
      </w:r>
      <w:r w:rsidR="002C0EA6" w:rsidRPr="002C0EA6">
        <w:rPr>
          <w:lang w:val="en-GB" w:eastAsia="x-none"/>
        </w:rPr>
        <w:t xml:space="preserve"> LTE PTW is defined as fixed to multiples of 256 SFNs</w:t>
      </w:r>
      <w:r w:rsidR="00B25465">
        <w:rPr>
          <w:lang w:val="en-GB" w:eastAsia="x-none"/>
        </w:rPr>
        <w:t xml:space="preserve"> and it was suggested whether this should be fully</w:t>
      </w:r>
      <w:r w:rsidR="002C0EA6" w:rsidRPr="002C0EA6">
        <w:rPr>
          <w:lang w:val="en-GB" w:eastAsia="x-none"/>
        </w:rPr>
        <w:t xml:space="preserve"> configurable by the network</w:t>
      </w:r>
      <w:r w:rsidR="00B25465">
        <w:rPr>
          <w:lang w:val="en-GB" w:eastAsia="x-none"/>
        </w:rPr>
        <w:t xml:space="preserve">. As explained above we do not see strong reason to change this unless there are issues found when using LTE eDRX unless concerns are found for NR operation. </w:t>
      </w:r>
      <w:r w:rsidR="00284002">
        <w:rPr>
          <w:lang w:val="en-GB" w:eastAsia="x-none"/>
        </w:rPr>
        <w:t>Moreover 5G-CN has already enabled LTE eDRX functionality (for E-UTRA connected to 5GC)</w:t>
      </w:r>
      <w:r w:rsidR="00095FCF">
        <w:rPr>
          <w:lang w:val="en-GB" w:eastAsia="x-none"/>
        </w:rPr>
        <w:t>, therefore RAN2 should have technical concerns to request SA2/CT1 to define a different approach for NR</w:t>
      </w:r>
    </w:p>
    <w:p w14:paraId="5E34532F" w14:textId="7AE0434C" w:rsidR="00B25465" w:rsidRDefault="00B25465" w:rsidP="00B25465">
      <w:pPr>
        <w:pStyle w:val="Proposal"/>
        <w:numPr>
          <w:ilvl w:val="0"/>
          <w:numId w:val="4"/>
        </w:numPr>
      </w:pPr>
      <w:bookmarkStart w:id="8" w:name="_Toc71411732"/>
      <w:bookmarkStart w:id="9" w:name="_Toc71567437"/>
      <w:bookmarkStart w:id="10" w:name="_Toc71567694"/>
      <w:bookmarkStart w:id="11" w:name="_Toc71568461"/>
      <w:r>
        <w:lastRenderedPageBreak/>
        <w:t>RAN2 confirms that LTE PTW definition is reused for NR</w:t>
      </w:r>
      <w:r w:rsidR="00095FCF">
        <w:t>. RAN2 can revisit this is</w:t>
      </w:r>
      <w:r w:rsidR="00284002">
        <w:t xml:space="preserve"> issues are found with current </w:t>
      </w:r>
      <w:r w:rsidR="00FA0AD8">
        <w:t>definition for NR eDRX</w:t>
      </w:r>
      <w:r w:rsidRPr="009D2C1B">
        <w:t>.</w:t>
      </w:r>
      <w:bookmarkEnd w:id="8"/>
      <w:bookmarkEnd w:id="9"/>
      <w:bookmarkEnd w:id="10"/>
      <w:bookmarkEnd w:id="11"/>
    </w:p>
    <w:p w14:paraId="06C91C83" w14:textId="4B72EEC8" w:rsidR="00507473" w:rsidRDefault="003C0156" w:rsidP="003F319B">
      <w:pPr>
        <w:jc w:val="both"/>
        <w:rPr>
          <w:lang w:val="en-GB" w:eastAsia="x-none"/>
        </w:rPr>
      </w:pPr>
      <w:r>
        <w:rPr>
          <w:lang w:val="en-GB" w:eastAsia="x-none"/>
        </w:rPr>
        <w:t>On other hand</w:t>
      </w:r>
      <w:r w:rsidR="00E3759D">
        <w:rPr>
          <w:lang w:val="en-GB" w:eastAsia="x-none"/>
        </w:rPr>
        <w:t xml:space="preserve">, Option 4) is a sub-set of option 1) or at most could be captured as a guidance/NOTE within RAN2 specification on the expected behaviour from network configuration point of view. </w:t>
      </w:r>
      <w:r w:rsidR="00327325">
        <w:rPr>
          <w:lang w:val="en-GB" w:eastAsia="x-none"/>
        </w:rPr>
        <w:t>However</w:t>
      </w:r>
      <w:r w:rsidR="00B17E8C">
        <w:rPr>
          <w:lang w:val="en-GB" w:eastAsia="x-none"/>
        </w:rPr>
        <w:t>,</w:t>
      </w:r>
      <w:r w:rsidR="00327325">
        <w:rPr>
          <w:lang w:val="en-GB" w:eastAsia="x-none"/>
        </w:rPr>
        <w:t xml:space="preserve"> we suggest generalizing option 4) to indicate that </w:t>
      </w:r>
      <w:r>
        <w:rPr>
          <w:lang w:val="en-GB" w:eastAsia="x-none"/>
        </w:rPr>
        <w:t>there should be some partial overlap to guarantee that a UE in INACTIVE could be paged by CN when required (understanding that this is a requirements set by INACTIVE feature).</w:t>
      </w:r>
    </w:p>
    <w:p w14:paraId="02990224" w14:textId="6ED0A9DD" w:rsidR="003C0156" w:rsidRDefault="003C0156" w:rsidP="00B17E8C">
      <w:pPr>
        <w:pStyle w:val="observ"/>
        <w:ind w:left="360"/>
      </w:pPr>
      <w:bookmarkStart w:id="12" w:name="_Ref71409328"/>
      <w:bookmarkStart w:id="13" w:name="_Toc71411729"/>
      <w:bookmarkStart w:id="14" w:name="_Toc71567420"/>
      <w:bookmarkStart w:id="15" w:name="_Toc71567691"/>
      <w:bookmarkStart w:id="16" w:name="_Toc71568468"/>
      <w:r>
        <w:t xml:space="preserve">If RAN2 TS provide some guidance, this can only indicate that PTW for eDRX in IDLE should partially overlaps with PTW for eDRX in INACTIVE </w:t>
      </w:r>
      <w:r>
        <w:rPr>
          <w:lang w:eastAsia="x-none"/>
        </w:rPr>
        <w:t>to guarantee that a UE in INACTIVE could be paged by CN when required</w:t>
      </w:r>
      <w:r>
        <w:t>.</w:t>
      </w:r>
      <w:bookmarkEnd w:id="12"/>
      <w:bookmarkEnd w:id="13"/>
      <w:bookmarkEnd w:id="14"/>
      <w:bookmarkEnd w:id="15"/>
      <w:bookmarkEnd w:id="16"/>
    </w:p>
    <w:p w14:paraId="05AB46E3" w14:textId="39134D98" w:rsidR="007B5A90" w:rsidRDefault="00896F3A" w:rsidP="00B17E8C">
      <w:pPr>
        <w:pStyle w:val="Proposal"/>
        <w:numPr>
          <w:ilvl w:val="0"/>
          <w:numId w:val="4"/>
        </w:numPr>
      </w:pPr>
      <w:bookmarkStart w:id="17" w:name="_Ref71409330"/>
      <w:bookmarkStart w:id="18" w:name="_Toc71411733"/>
      <w:bookmarkStart w:id="19" w:name="_Toc71567438"/>
      <w:bookmarkStart w:id="20" w:name="_Toc71567695"/>
      <w:bookmarkStart w:id="21" w:name="_Toc71568462"/>
      <w:r>
        <w:t xml:space="preserve">To leave up to network implementation the decision on how to configure </w:t>
      </w:r>
      <w:r w:rsidR="003C0156">
        <w:t xml:space="preserve">properly </w:t>
      </w:r>
      <w:r>
        <w:t xml:space="preserve">PTW for UEs in IDLE and </w:t>
      </w:r>
      <w:r w:rsidR="003C0156">
        <w:t xml:space="preserve">PTW for UEs in </w:t>
      </w:r>
      <w:r>
        <w:t>INACTIVE</w:t>
      </w:r>
      <w:r w:rsidR="007B5A90" w:rsidRPr="009D2C1B">
        <w:t>.</w:t>
      </w:r>
      <w:bookmarkEnd w:id="17"/>
      <w:bookmarkEnd w:id="18"/>
      <w:r w:rsidR="00ED0D24">
        <w:t xml:space="preserve"> I.e. it is up to network how to configure PTW to</w:t>
      </w:r>
      <w:r w:rsidR="006404DB">
        <w:t xml:space="preserve"> guarantee that</w:t>
      </w:r>
      <w:r w:rsidR="00ED0D24">
        <w:t xml:space="preserve"> legacy requirements for a UE in RRC_INACTIVE are met (i.e. UE in RRC_INACTIVE can be paged via both RAN and CN).</w:t>
      </w:r>
      <w:bookmarkEnd w:id="19"/>
      <w:bookmarkEnd w:id="20"/>
      <w:bookmarkEnd w:id="21"/>
    </w:p>
    <w:p w14:paraId="760E925C" w14:textId="69B63583" w:rsidR="00896F3A" w:rsidRPr="009D2C1B" w:rsidRDefault="00896F3A" w:rsidP="00B17E8C">
      <w:pPr>
        <w:pStyle w:val="Proposal"/>
        <w:numPr>
          <w:ilvl w:val="1"/>
          <w:numId w:val="4"/>
        </w:numPr>
      </w:pPr>
      <w:bookmarkStart w:id="22" w:name="_Toc71411734"/>
      <w:bookmarkStart w:id="23" w:name="_Toc71567439"/>
      <w:bookmarkStart w:id="24" w:name="_Toc71567696"/>
      <w:bookmarkStart w:id="25" w:name="_Toc71568463"/>
      <w:r>
        <w:t>To discuss whether</w:t>
      </w:r>
      <w:r w:rsidR="003C0156">
        <w:t xml:space="preserve"> to capture a </w:t>
      </w:r>
      <w:r w:rsidR="00284480">
        <w:t xml:space="preserve">guidance </w:t>
      </w:r>
      <w:r w:rsidR="0053607F">
        <w:t>for the network configuration</w:t>
      </w:r>
      <w:r>
        <w:t xml:space="preserve"> </w:t>
      </w:r>
      <w:r w:rsidR="00284480">
        <w:t>that</w:t>
      </w:r>
      <w:r w:rsidR="004B179D">
        <w:t xml:space="preserve"> </w:t>
      </w:r>
      <w:r w:rsidRPr="00896F3A">
        <w:t xml:space="preserve">PTW for </w:t>
      </w:r>
      <w:r w:rsidR="004B179D">
        <w:t>UE</w:t>
      </w:r>
      <w:r w:rsidR="00284480">
        <w:t>s</w:t>
      </w:r>
      <w:r w:rsidR="004B179D">
        <w:t xml:space="preserve"> in </w:t>
      </w:r>
      <w:r w:rsidRPr="00896F3A">
        <w:t xml:space="preserve">IDLE </w:t>
      </w:r>
      <w:r w:rsidR="00193C5A">
        <w:t xml:space="preserve">should at </w:t>
      </w:r>
      <w:r w:rsidR="00327325">
        <w:t xml:space="preserve">least be partially </w:t>
      </w:r>
      <w:r w:rsidRPr="00896F3A">
        <w:t xml:space="preserve">overlap with </w:t>
      </w:r>
      <w:r w:rsidR="00284480">
        <w:t xml:space="preserve">the </w:t>
      </w:r>
      <w:r w:rsidRPr="00896F3A">
        <w:t>PTW for INACTIVE</w:t>
      </w:r>
      <w:r w:rsidR="00284480">
        <w:t>.</w:t>
      </w:r>
      <w:bookmarkEnd w:id="22"/>
      <w:bookmarkEnd w:id="23"/>
      <w:bookmarkEnd w:id="24"/>
      <w:bookmarkEnd w:id="25"/>
    </w:p>
    <w:p w14:paraId="38AB6B90" w14:textId="77777777" w:rsidR="00B40D3B" w:rsidRDefault="00B40D3B" w:rsidP="00B17E8C">
      <w:pPr>
        <w:jc w:val="both"/>
        <w:rPr>
          <w:lang w:val="en-GB" w:eastAsia="x-none"/>
        </w:rPr>
      </w:pPr>
    </w:p>
    <w:p w14:paraId="57838D5A" w14:textId="53E8D65F" w:rsidR="00F115E0" w:rsidRPr="00023FDC" w:rsidRDefault="00F115E0" w:rsidP="00B17E8C">
      <w:pPr>
        <w:pStyle w:val="Heading3"/>
        <w:jc w:val="both"/>
      </w:pPr>
      <w:r>
        <w:t>UE behaviour depending on eDRX value set for IDLE and INACTIVE</w:t>
      </w:r>
    </w:p>
    <w:p w14:paraId="3AB69274" w14:textId="16F71FA8" w:rsidR="00023FDC" w:rsidRPr="00023FDC" w:rsidRDefault="00584B0D" w:rsidP="00B17E8C">
      <w:pPr>
        <w:jc w:val="both"/>
        <w:rPr>
          <w:lang w:val="en-GB" w:eastAsia="x-none"/>
        </w:rPr>
      </w:pPr>
      <w:r>
        <w:rPr>
          <w:lang w:val="en-GB" w:eastAsia="x-none"/>
        </w:rPr>
        <w:t xml:space="preserve">Some companies raised the concern during offline #101 </w:t>
      </w:r>
      <w:r>
        <w:rPr>
          <w:lang w:val="en-GB"/>
        </w:rPr>
        <w:fldChar w:fldCharType="begin"/>
      </w:r>
      <w:r>
        <w:rPr>
          <w:lang w:val="en-GB"/>
        </w:rPr>
        <w:instrText xml:space="preserve"> REF _Ref71405833 \r \h </w:instrText>
      </w:r>
      <w:r w:rsidR="00B17E8C">
        <w:rPr>
          <w:lang w:val="en-GB"/>
        </w:rPr>
        <w:instrText xml:space="preserve"> \* MERGEFORMAT </w:instrText>
      </w:r>
      <w:r>
        <w:rPr>
          <w:lang w:val="en-GB"/>
        </w:rPr>
      </w:r>
      <w:r>
        <w:rPr>
          <w:lang w:val="en-GB"/>
        </w:rPr>
        <w:fldChar w:fldCharType="separate"/>
      </w:r>
      <w:r w:rsidR="00581D40">
        <w:rPr>
          <w:lang w:val="en-GB"/>
        </w:rPr>
        <w:t>[1]</w:t>
      </w:r>
      <w:r>
        <w:rPr>
          <w:lang w:val="en-GB"/>
        </w:rPr>
        <w:fldChar w:fldCharType="end"/>
      </w:r>
      <w:r>
        <w:rPr>
          <w:lang w:val="en-GB"/>
        </w:rPr>
        <w:fldChar w:fldCharType="begin"/>
      </w:r>
      <w:r>
        <w:rPr>
          <w:lang w:val="en-GB"/>
        </w:rPr>
        <w:instrText xml:space="preserve"> REF _Ref71405837 \r \h </w:instrText>
      </w:r>
      <w:r w:rsidR="00B17E8C">
        <w:rPr>
          <w:lang w:val="en-GB"/>
        </w:rPr>
        <w:instrText xml:space="preserve"> \* MERGEFORMAT </w:instrText>
      </w:r>
      <w:r>
        <w:rPr>
          <w:lang w:val="en-GB"/>
        </w:rPr>
      </w:r>
      <w:r>
        <w:rPr>
          <w:lang w:val="en-GB"/>
        </w:rPr>
        <w:fldChar w:fldCharType="separate"/>
      </w:r>
      <w:r w:rsidR="00581D40">
        <w:rPr>
          <w:lang w:val="en-GB"/>
        </w:rPr>
        <w:t>[2]</w:t>
      </w:r>
      <w:r>
        <w:rPr>
          <w:lang w:val="en-GB"/>
        </w:rPr>
        <w:fldChar w:fldCharType="end"/>
      </w:r>
      <w:r>
        <w:rPr>
          <w:lang w:val="en-GB"/>
        </w:rPr>
        <w:t xml:space="preserve"> </w:t>
      </w:r>
      <w:r>
        <w:rPr>
          <w:lang w:val="en-GB" w:eastAsia="x-none"/>
        </w:rPr>
        <w:t xml:space="preserve">that the </w:t>
      </w:r>
      <w:r w:rsidR="00023FDC" w:rsidRPr="00023FDC">
        <w:rPr>
          <w:lang w:val="en-GB" w:eastAsia="x-none"/>
        </w:rPr>
        <w:t xml:space="preserve">UE behavior based on the eDRX configuration combinations for </w:t>
      </w:r>
      <w:r>
        <w:rPr>
          <w:lang w:val="en-GB" w:eastAsia="x-none"/>
        </w:rPr>
        <w:t>IDLE</w:t>
      </w:r>
      <w:r w:rsidR="00023FDC" w:rsidRPr="00023FDC">
        <w:rPr>
          <w:lang w:val="en-GB" w:eastAsia="x-none"/>
        </w:rPr>
        <w:t xml:space="preserve"> and </w:t>
      </w:r>
      <w:r>
        <w:rPr>
          <w:lang w:val="en-GB" w:eastAsia="x-none"/>
        </w:rPr>
        <w:t>INACTIVE should be specified considering:</w:t>
      </w:r>
      <w:r w:rsidR="00023FDC" w:rsidRPr="00023FDC">
        <w:rPr>
          <w:lang w:val="en-GB" w:eastAsia="x-none"/>
        </w:rPr>
        <w:t xml:space="preserve"> </w:t>
      </w:r>
    </w:p>
    <w:p w14:paraId="091D5232" w14:textId="3AA9DFBA" w:rsidR="00023FDC" w:rsidRPr="00584B0D" w:rsidRDefault="00023FDC" w:rsidP="00B17E8C">
      <w:pPr>
        <w:pStyle w:val="ListParagraph"/>
        <w:numPr>
          <w:ilvl w:val="0"/>
          <w:numId w:val="35"/>
        </w:numPr>
        <w:jc w:val="both"/>
        <w:rPr>
          <w:lang w:val="en-GB" w:eastAsia="x-none"/>
        </w:rPr>
      </w:pPr>
      <w:r w:rsidRPr="00584B0D">
        <w:rPr>
          <w:rFonts w:hint="eastAsia"/>
          <w:lang w:val="en-GB" w:eastAsia="x-none"/>
        </w:rPr>
        <w:t xml:space="preserve">eDRX only configured for </w:t>
      </w:r>
      <w:r w:rsidR="00BA2C70">
        <w:rPr>
          <w:lang w:val="en-GB" w:eastAsia="x-none"/>
        </w:rPr>
        <w:t>IDLE</w:t>
      </w:r>
      <w:r w:rsidRPr="00584B0D">
        <w:rPr>
          <w:rFonts w:hint="eastAsia"/>
          <w:lang w:val="en-GB" w:eastAsia="x-none"/>
        </w:rPr>
        <w:t xml:space="preserve">, </w:t>
      </w:r>
      <w:r w:rsidR="00BA2C70">
        <w:rPr>
          <w:lang w:val="en-GB" w:eastAsia="x-none"/>
        </w:rPr>
        <w:t xml:space="preserve">including both </w:t>
      </w:r>
      <w:r w:rsidRPr="00584B0D">
        <w:rPr>
          <w:rFonts w:hint="eastAsia"/>
          <w:lang w:val="en-GB" w:eastAsia="x-none"/>
        </w:rPr>
        <w:t xml:space="preserve">cases eDRX </w:t>
      </w:r>
      <w:r w:rsidRPr="00584B0D">
        <w:rPr>
          <w:rFonts w:hint="eastAsia"/>
          <w:lang w:val="en-GB" w:eastAsia="x-none"/>
        </w:rPr>
        <w:t>≤</w:t>
      </w:r>
      <w:r w:rsidRPr="00584B0D">
        <w:rPr>
          <w:rFonts w:hint="eastAsia"/>
          <w:lang w:val="en-GB" w:eastAsia="x-none"/>
        </w:rPr>
        <w:t xml:space="preserve"> 10.24sec and eDRX &gt;10.24sec</w:t>
      </w:r>
    </w:p>
    <w:p w14:paraId="44E70AC6" w14:textId="5D0ECDBE" w:rsidR="00023FDC" w:rsidRPr="00584B0D" w:rsidRDefault="00023FDC" w:rsidP="00B17E8C">
      <w:pPr>
        <w:pStyle w:val="ListParagraph"/>
        <w:numPr>
          <w:ilvl w:val="0"/>
          <w:numId w:val="35"/>
        </w:numPr>
        <w:jc w:val="both"/>
        <w:rPr>
          <w:lang w:val="en-GB" w:eastAsia="x-none"/>
        </w:rPr>
      </w:pPr>
      <w:r w:rsidRPr="00584B0D">
        <w:rPr>
          <w:rFonts w:hint="eastAsia"/>
          <w:lang w:val="en-GB" w:eastAsia="x-none"/>
        </w:rPr>
        <w:t xml:space="preserve">eDRX only configured for </w:t>
      </w:r>
      <w:r w:rsidR="00BA2C70">
        <w:rPr>
          <w:lang w:val="en-GB" w:eastAsia="x-none"/>
        </w:rPr>
        <w:t>INACTIVE</w:t>
      </w:r>
      <w:r w:rsidRPr="00584B0D">
        <w:rPr>
          <w:rFonts w:hint="eastAsia"/>
          <w:lang w:val="en-GB" w:eastAsia="x-none"/>
        </w:rPr>
        <w:t>,</w:t>
      </w:r>
      <w:r w:rsidR="00BA2C70">
        <w:rPr>
          <w:lang w:val="en-GB" w:eastAsia="x-none"/>
        </w:rPr>
        <w:t xml:space="preserve"> including both</w:t>
      </w:r>
      <w:r w:rsidRPr="00584B0D">
        <w:rPr>
          <w:rFonts w:hint="eastAsia"/>
          <w:lang w:val="en-GB" w:eastAsia="x-none"/>
        </w:rPr>
        <w:t xml:space="preserve"> cases eDRX </w:t>
      </w:r>
      <w:r w:rsidRPr="00584B0D">
        <w:rPr>
          <w:rFonts w:hint="eastAsia"/>
          <w:lang w:val="en-GB" w:eastAsia="x-none"/>
        </w:rPr>
        <w:t>≤</w:t>
      </w:r>
      <w:r w:rsidRPr="00584B0D">
        <w:rPr>
          <w:rFonts w:hint="eastAsia"/>
          <w:lang w:val="en-GB" w:eastAsia="x-none"/>
        </w:rPr>
        <w:t xml:space="preserve"> 10.24sec and eDRX &gt;10.24sec</w:t>
      </w:r>
    </w:p>
    <w:p w14:paraId="6E953A20" w14:textId="67C5F251" w:rsidR="00023FDC" w:rsidRPr="00584B0D" w:rsidRDefault="00023FDC" w:rsidP="00B17E8C">
      <w:pPr>
        <w:pStyle w:val="ListParagraph"/>
        <w:numPr>
          <w:ilvl w:val="0"/>
          <w:numId w:val="35"/>
        </w:numPr>
        <w:jc w:val="both"/>
        <w:rPr>
          <w:lang w:val="en-GB" w:eastAsia="x-none"/>
        </w:rPr>
      </w:pPr>
      <w:r w:rsidRPr="00584B0D">
        <w:rPr>
          <w:lang w:val="en-GB" w:eastAsia="x-none"/>
        </w:rPr>
        <w:t>eDRX configured both for inactive and idle,</w:t>
      </w:r>
    </w:p>
    <w:p w14:paraId="6DE3C28D" w14:textId="2C93E620" w:rsidR="00023FDC" w:rsidRPr="00584B0D" w:rsidRDefault="00023FDC" w:rsidP="00B17E8C">
      <w:pPr>
        <w:pStyle w:val="ListParagraph"/>
        <w:numPr>
          <w:ilvl w:val="1"/>
          <w:numId w:val="36"/>
        </w:numPr>
        <w:jc w:val="both"/>
        <w:rPr>
          <w:lang w:val="en-GB" w:eastAsia="x-none"/>
        </w:rPr>
      </w:pPr>
      <w:r w:rsidRPr="00584B0D">
        <w:rPr>
          <w:rFonts w:hint="eastAsia"/>
          <w:lang w:val="en-GB" w:eastAsia="x-none"/>
        </w:rPr>
        <w:t xml:space="preserve">both eDRX </w:t>
      </w:r>
      <w:r w:rsidRPr="00584B0D">
        <w:rPr>
          <w:rFonts w:hint="eastAsia"/>
          <w:lang w:val="en-GB" w:eastAsia="x-none"/>
        </w:rPr>
        <w:t>≤</w:t>
      </w:r>
      <w:r w:rsidRPr="00584B0D">
        <w:rPr>
          <w:rFonts w:hint="eastAsia"/>
          <w:lang w:val="en-GB" w:eastAsia="x-none"/>
        </w:rPr>
        <w:t xml:space="preserve"> 10.24sec, </w:t>
      </w:r>
    </w:p>
    <w:p w14:paraId="55AB8ED6" w14:textId="2EFAD895" w:rsidR="00023FDC" w:rsidRPr="00584B0D" w:rsidRDefault="00023FDC" w:rsidP="00B17E8C">
      <w:pPr>
        <w:pStyle w:val="ListParagraph"/>
        <w:numPr>
          <w:ilvl w:val="1"/>
          <w:numId w:val="36"/>
        </w:numPr>
        <w:jc w:val="both"/>
        <w:rPr>
          <w:lang w:val="en-GB" w:eastAsia="x-none"/>
        </w:rPr>
      </w:pPr>
      <w:r w:rsidRPr="00584B0D">
        <w:rPr>
          <w:rFonts w:hint="eastAsia"/>
          <w:lang w:val="en-GB" w:eastAsia="x-none"/>
        </w:rPr>
        <w:t>one of the eDRX</w:t>
      </w:r>
      <w:r w:rsidRPr="00584B0D">
        <w:rPr>
          <w:rFonts w:hint="eastAsia"/>
          <w:lang w:val="en-GB" w:eastAsia="x-none"/>
        </w:rPr>
        <w:t>≤</w:t>
      </w:r>
      <w:r w:rsidRPr="00584B0D">
        <w:rPr>
          <w:rFonts w:hint="eastAsia"/>
          <w:lang w:val="en-GB" w:eastAsia="x-none"/>
        </w:rPr>
        <w:t xml:space="preserve"> 10.24sec and the other eDRX&gt;10.24s, </w:t>
      </w:r>
    </w:p>
    <w:p w14:paraId="6BC5D478" w14:textId="79D60B29" w:rsidR="00456E6B" w:rsidRPr="00584B0D" w:rsidRDefault="00023FDC" w:rsidP="00B17E8C">
      <w:pPr>
        <w:pStyle w:val="ListParagraph"/>
        <w:numPr>
          <w:ilvl w:val="1"/>
          <w:numId w:val="36"/>
        </w:numPr>
        <w:jc w:val="both"/>
        <w:rPr>
          <w:lang w:val="en-GB" w:eastAsia="x-none"/>
        </w:rPr>
      </w:pPr>
      <w:r w:rsidRPr="00584B0D">
        <w:rPr>
          <w:lang w:val="en-GB" w:eastAsia="x-none"/>
        </w:rPr>
        <w:t>both of the eDRX&gt;10.24s.</w:t>
      </w:r>
    </w:p>
    <w:p w14:paraId="618CA012" w14:textId="3EEB3434" w:rsidR="00456E6B" w:rsidRDefault="0053607F" w:rsidP="00B17E8C">
      <w:pPr>
        <w:jc w:val="both"/>
        <w:rPr>
          <w:lang w:val="en-GB" w:eastAsia="x-none"/>
        </w:rPr>
      </w:pPr>
      <w:r>
        <w:rPr>
          <w:lang w:val="en-GB" w:eastAsia="x-none"/>
        </w:rPr>
        <w:t>For eDRX of a</w:t>
      </w:r>
      <w:r w:rsidR="00515BC3">
        <w:rPr>
          <w:lang w:val="en-GB" w:eastAsia="x-none"/>
        </w:rPr>
        <w:t xml:space="preserve"> UE in </w:t>
      </w:r>
      <w:r>
        <w:rPr>
          <w:lang w:val="en-GB" w:eastAsia="x-none"/>
        </w:rPr>
        <w:t>IDLE, there is no concern (as a UE in IDLE would not have any</w:t>
      </w:r>
      <w:r w:rsidR="00AA189E">
        <w:rPr>
          <w:lang w:val="en-GB" w:eastAsia="x-none"/>
        </w:rPr>
        <w:t xml:space="preserve"> knowledge of a configuration related to INACTIVE as the UE AS Context is released upon entering IDLE).</w:t>
      </w:r>
    </w:p>
    <w:p w14:paraId="796B837E" w14:textId="6B1F54B4" w:rsidR="00AA189E" w:rsidRDefault="00AA189E" w:rsidP="00B17E8C">
      <w:pPr>
        <w:pStyle w:val="observ"/>
        <w:ind w:left="360"/>
      </w:pPr>
      <w:bookmarkStart w:id="26" w:name="_Toc71411730"/>
      <w:bookmarkStart w:id="27" w:name="_Toc71567421"/>
      <w:bookmarkStart w:id="28" w:name="_Toc71567692"/>
      <w:bookmarkStart w:id="29" w:name="_Toc71568469"/>
      <w:r>
        <w:rPr>
          <w:lang w:eastAsia="x-none"/>
        </w:rPr>
        <w:t xml:space="preserve">For eDRX of a UE in IDLE, no new/specific UE behaviour needs to be defined if eDRX in INACTIVE was previously configured as a UE releases </w:t>
      </w:r>
      <w:r w:rsidR="00643F5B">
        <w:rPr>
          <w:lang w:eastAsia="x-none"/>
        </w:rPr>
        <w:t>the information of the UE AS Inactive Context upon entering IDLE.</w:t>
      </w:r>
      <w:bookmarkEnd w:id="26"/>
      <w:bookmarkEnd w:id="27"/>
      <w:bookmarkEnd w:id="28"/>
      <w:bookmarkEnd w:id="29"/>
    </w:p>
    <w:p w14:paraId="1DC93429" w14:textId="550FC879" w:rsidR="00515BC3" w:rsidRDefault="00643F5B" w:rsidP="00B17E8C">
      <w:pPr>
        <w:jc w:val="both"/>
        <w:rPr>
          <w:lang w:val="en-GB" w:eastAsia="x-none"/>
        </w:rPr>
      </w:pPr>
      <w:r>
        <w:rPr>
          <w:lang w:val="en-GB" w:eastAsia="x-none"/>
        </w:rPr>
        <w:t xml:space="preserve">For eDRX of a UE in INACTIVE, our understanding is that we can rely on network implementation as explained by </w:t>
      </w:r>
      <w:r w:rsidR="00DB332A">
        <w:rPr>
          <w:lang w:val="en-GB" w:eastAsia="x-none"/>
        </w:rPr>
        <w:t xml:space="preserve">previous </w:t>
      </w:r>
      <w:r w:rsidR="00DB332A">
        <w:rPr>
          <w:lang w:val="en-GB" w:eastAsia="x-none"/>
        </w:rPr>
        <w:fldChar w:fldCharType="begin"/>
      </w:r>
      <w:r w:rsidR="00DB332A">
        <w:rPr>
          <w:lang w:val="en-GB" w:eastAsia="x-none"/>
        </w:rPr>
        <w:instrText xml:space="preserve"> REF _Ref71409328 \r \h </w:instrText>
      </w:r>
      <w:r w:rsidR="00B17E8C">
        <w:rPr>
          <w:lang w:val="en-GB" w:eastAsia="x-none"/>
        </w:rPr>
        <w:instrText xml:space="preserve"> \* MERGEFORMAT </w:instrText>
      </w:r>
      <w:r w:rsidR="00DB332A">
        <w:rPr>
          <w:lang w:val="en-GB" w:eastAsia="x-none"/>
        </w:rPr>
      </w:r>
      <w:r w:rsidR="00DB332A">
        <w:rPr>
          <w:lang w:val="en-GB" w:eastAsia="x-none"/>
        </w:rPr>
        <w:fldChar w:fldCharType="separate"/>
      </w:r>
      <w:r w:rsidR="00581D40">
        <w:rPr>
          <w:lang w:val="en-GB" w:eastAsia="x-none"/>
        </w:rPr>
        <w:t>Observation 2</w:t>
      </w:r>
      <w:r w:rsidR="00DB332A">
        <w:rPr>
          <w:lang w:val="en-GB" w:eastAsia="x-none"/>
        </w:rPr>
        <w:fldChar w:fldCharType="end"/>
      </w:r>
      <w:r w:rsidR="00DB332A">
        <w:rPr>
          <w:lang w:val="en-GB" w:eastAsia="x-none"/>
        </w:rPr>
        <w:t xml:space="preserve"> and </w:t>
      </w:r>
      <w:r w:rsidR="00DB332A">
        <w:rPr>
          <w:lang w:val="en-GB" w:eastAsia="x-none"/>
        </w:rPr>
        <w:fldChar w:fldCharType="begin"/>
      </w:r>
      <w:r w:rsidR="00DB332A">
        <w:rPr>
          <w:lang w:val="en-GB" w:eastAsia="x-none"/>
        </w:rPr>
        <w:instrText xml:space="preserve"> REF _Ref71409330 \r \h </w:instrText>
      </w:r>
      <w:r w:rsidR="00B17E8C">
        <w:rPr>
          <w:lang w:val="en-GB" w:eastAsia="x-none"/>
        </w:rPr>
        <w:instrText xml:space="preserve"> \* MERGEFORMAT </w:instrText>
      </w:r>
      <w:r w:rsidR="00DB332A">
        <w:rPr>
          <w:lang w:val="en-GB" w:eastAsia="x-none"/>
        </w:rPr>
      </w:r>
      <w:r w:rsidR="00DB332A">
        <w:rPr>
          <w:lang w:val="en-GB" w:eastAsia="x-none"/>
        </w:rPr>
        <w:fldChar w:fldCharType="separate"/>
      </w:r>
      <w:r w:rsidR="00581D40">
        <w:rPr>
          <w:lang w:val="en-GB" w:eastAsia="x-none"/>
        </w:rPr>
        <w:t>Proposal 2</w:t>
      </w:r>
      <w:r w:rsidR="00DB332A">
        <w:rPr>
          <w:lang w:val="en-GB" w:eastAsia="x-none"/>
        </w:rPr>
        <w:fldChar w:fldCharType="end"/>
      </w:r>
      <w:r w:rsidR="00DB332A">
        <w:rPr>
          <w:lang w:val="en-GB" w:eastAsia="x-none"/>
        </w:rPr>
        <w:t>.</w:t>
      </w:r>
    </w:p>
    <w:p w14:paraId="29A61DDD" w14:textId="0BE2F51D" w:rsidR="00DB332A" w:rsidRDefault="00DB332A" w:rsidP="00B17E8C">
      <w:pPr>
        <w:pStyle w:val="observ"/>
        <w:ind w:left="360"/>
      </w:pPr>
      <w:bookmarkStart w:id="30" w:name="_Toc71411731"/>
      <w:bookmarkStart w:id="31" w:name="_Toc71567422"/>
      <w:bookmarkStart w:id="32" w:name="_Toc71567693"/>
      <w:bookmarkStart w:id="33" w:name="_Toc71568470"/>
      <w:r>
        <w:rPr>
          <w:lang w:eastAsia="x-none"/>
        </w:rPr>
        <w:t xml:space="preserve">For eDRX of a UE in INACTIVE, no new/specific UE behaviour needs to be defined if network guarantees providing </w:t>
      </w:r>
      <w:r w:rsidR="00954351">
        <w:rPr>
          <w:lang w:eastAsia="x-none"/>
        </w:rPr>
        <w:t>proper configuration of the eDRX</w:t>
      </w:r>
      <w:r>
        <w:rPr>
          <w:lang w:eastAsia="x-none"/>
        </w:rPr>
        <w:t>.</w:t>
      </w:r>
      <w:r w:rsidR="00954351">
        <w:rPr>
          <w:lang w:eastAsia="x-none"/>
        </w:rPr>
        <w:t xml:space="preserve"> I.e. </w:t>
      </w:r>
      <w:r w:rsidR="00954351" w:rsidRPr="00896F3A">
        <w:t xml:space="preserve">PTW for </w:t>
      </w:r>
      <w:r w:rsidR="00954351">
        <w:t xml:space="preserve">UEs in </w:t>
      </w:r>
      <w:r w:rsidR="00954351" w:rsidRPr="00896F3A">
        <w:t xml:space="preserve">IDLE </w:t>
      </w:r>
      <w:r w:rsidR="00954351">
        <w:t xml:space="preserve">should at least be partially </w:t>
      </w:r>
      <w:r w:rsidR="00954351" w:rsidRPr="00896F3A">
        <w:t xml:space="preserve">overlap with </w:t>
      </w:r>
      <w:r w:rsidR="00954351">
        <w:t xml:space="preserve">the </w:t>
      </w:r>
      <w:r w:rsidR="00954351" w:rsidRPr="00896F3A">
        <w:t>PTW for INACTIVE</w:t>
      </w:r>
      <w:r w:rsidR="00954351">
        <w:t xml:space="preserve"> in order to meet the requirement defined for UEs in INACTIVE that should be able to be reached via both RAN-paging as well as CN-paging.</w:t>
      </w:r>
      <w:bookmarkEnd w:id="30"/>
      <w:bookmarkEnd w:id="31"/>
      <w:bookmarkEnd w:id="32"/>
      <w:bookmarkEnd w:id="33"/>
    </w:p>
    <w:p w14:paraId="7BB12885" w14:textId="77777777" w:rsidR="00515BC3" w:rsidRDefault="00515BC3" w:rsidP="00B17E8C">
      <w:pPr>
        <w:jc w:val="both"/>
        <w:rPr>
          <w:lang w:val="en-GB" w:eastAsia="x-none"/>
        </w:rPr>
      </w:pPr>
    </w:p>
    <w:p w14:paraId="2BE26E17" w14:textId="293E5C14" w:rsidR="00456E6B" w:rsidRDefault="00456E6B" w:rsidP="00B17E8C">
      <w:pPr>
        <w:pStyle w:val="Heading2"/>
        <w:jc w:val="both"/>
      </w:pPr>
      <w:r>
        <w:t>Paging me</w:t>
      </w:r>
      <w:r w:rsidR="0014117F">
        <w:t>chanisrm</w:t>
      </w:r>
      <w:r>
        <w:t xml:space="preserve"> for eDRX </w:t>
      </w:r>
      <w:r w:rsidR="0014117F" w:rsidRPr="001A205D">
        <w:rPr>
          <w:rFonts w:hint="eastAsia"/>
          <w:b/>
          <w:bCs/>
        </w:rPr>
        <w:t xml:space="preserve">≤ </w:t>
      </w:r>
      <w:r w:rsidR="0014117F" w:rsidRPr="00F115E0">
        <w:rPr>
          <w:rFonts w:hint="eastAsia"/>
        </w:rPr>
        <w:t>10.24sec</w:t>
      </w:r>
      <w:r>
        <w:t xml:space="preserve"> </w:t>
      </w:r>
      <w:r w:rsidR="0014117F">
        <w:t>(</w:t>
      </w:r>
      <w:r>
        <w:t>IDLE</w:t>
      </w:r>
      <w:r w:rsidR="0014117F">
        <w:t xml:space="preserve"> </w:t>
      </w:r>
      <w:r>
        <w:t>/</w:t>
      </w:r>
      <w:r w:rsidR="0014117F">
        <w:t xml:space="preserve"> </w:t>
      </w:r>
      <w:r>
        <w:t>INACTIVE</w:t>
      </w:r>
      <w:r w:rsidR="0014117F">
        <w:t>)</w:t>
      </w:r>
    </w:p>
    <w:p w14:paraId="32CE25F1" w14:textId="60FF5491" w:rsidR="00D74689" w:rsidRDefault="00D74689" w:rsidP="00B17E8C">
      <w:pPr>
        <w:spacing w:after="60"/>
        <w:jc w:val="both"/>
      </w:pPr>
      <w:r>
        <w:t xml:space="preserve">For LTE eDRX &lt; 10.24sec, it is defined that a UE configured with eDRX </w:t>
      </w:r>
      <w:r>
        <w:rPr>
          <w:lang w:val="en-GB"/>
        </w:rPr>
        <w:t xml:space="preserve">&lt; 10.24sec </w:t>
      </w:r>
      <w:r>
        <w:t>monitors</w:t>
      </w:r>
      <w:r w:rsidR="009A6A96">
        <w:t>, UE monitors that value instead of</w:t>
      </w:r>
      <w:r>
        <w:t xml:space="preserve"> the shortest of the ones available in the UE</w:t>
      </w:r>
      <w:r w:rsidR="00DD04B9">
        <w:t>,</w:t>
      </w:r>
      <w:r>
        <w:t xml:space="preserve"> as shown in</w:t>
      </w:r>
      <w:r w:rsidR="00DD04B9">
        <w:t xml:space="preserve"> the following reference from</w:t>
      </w:r>
      <w:r>
        <w:t xml:space="preserve"> TS 36.304:</w:t>
      </w:r>
    </w:p>
    <w:p w14:paraId="1F8F2D08" w14:textId="59E5615E" w:rsidR="00EB65D3" w:rsidRPr="00EB65D3" w:rsidRDefault="00F34A7E" w:rsidP="00B17E8C">
      <w:pPr>
        <w:pStyle w:val="B1"/>
        <w:jc w:val="both"/>
        <w:rPr>
          <w:i/>
          <w:iCs/>
          <w:lang w:eastAsia="ko-KR"/>
        </w:rPr>
      </w:pPr>
      <w:r>
        <w:rPr>
          <w:i/>
          <w:iCs/>
        </w:rPr>
        <w:t>“</w:t>
      </w:r>
      <w:r w:rsidR="00EB65D3" w:rsidRPr="00EB65D3">
        <w:rPr>
          <w:i/>
          <w:iCs/>
        </w:rPr>
        <w:t>-</w:t>
      </w:r>
      <w:r w:rsidR="00EB65D3" w:rsidRPr="00EB65D3">
        <w:rPr>
          <w:i/>
          <w:iCs/>
        </w:rPr>
        <w:tab/>
        <w:t xml:space="preserve">T: </w:t>
      </w:r>
      <w:r w:rsidR="00EB65D3" w:rsidRPr="00EB65D3">
        <w:rPr>
          <w:i/>
          <w:iCs/>
          <w:lang w:eastAsia="ko-KR"/>
        </w:rPr>
        <w:t>DRX cycle of the UE.</w:t>
      </w:r>
    </w:p>
    <w:p w14:paraId="128FAEFF" w14:textId="1FB4C869" w:rsidR="00EB65D3" w:rsidRPr="00EB65D3" w:rsidRDefault="00EB65D3" w:rsidP="00B17E8C">
      <w:pPr>
        <w:pStyle w:val="B1"/>
        <w:jc w:val="both"/>
        <w:rPr>
          <w:i/>
          <w:iCs/>
        </w:rPr>
      </w:pPr>
      <w:r w:rsidRPr="00EB65D3">
        <w:rPr>
          <w:i/>
          <w:iCs/>
          <w:lang w:eastAsia="ko-KR"/>
        </w:rPr>
        <w:lastRenderedPageBreak/>
        <w:tab/>
        <w:t xml:space="preserve">Except for NB-IoT: </w:t>
      </w:r>
      <w:r w:rsidRPr="00F34A7E">
        <w:rPr>
          <w:b/>
          <w:bCs/>
          <w:i/>
          <w:iCs/>
          <w:lang w:eastAsia="ko-KR"/>
        </w:rPr>
        <w:t>If a UE specific extended DRX value of 512 radio frames is configured by upper layers according to 7.3, T =512</w:t>
      </w:r>
      <w:r w:rsidRPr="00EB65D3">
        <w:rPr>
          <w:i/>
          <w:iCs/>
          <w:lang w:eastAsia="ko-KR"/>
        </w:rPr>
        <w:t>.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EB65D3">
        <w:rPr>
          <w:i/>
          <w:iCs/>
        </w:rPr>
        <w:t xml:space="preserve"> </w:t>
      </w:r>
      <w:r w:rsidRPr="00EB65D3">
        <w:rPr>
          <w:i/>
          <w:iCs/>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sidR="003C5A7B">
        <w:rPr>
          <w:i/>
          <w:iCs/>
        </w:rPr>
        <w:t>”</w:t>
      </w:r>
    </w:p>
    <w:p w14:paraId="3185A3E3" w14:textId="2B5CD3C9" w:rsidR="00D74689" w:rsidRDefault="00D74689" w:rsidP="00B17E8C">
      <w:pPr>
        <w:jc w:val="both"/>
      </w:pPr>
      <w:r w:rsidRPr="003161CE">
        <w:t xml:space="preserve">The </w:t>
      </w:r>
      <w:r>
        <w:t xml:space="preserve">difference </w:t>
      </w:r>
      <w:r w:rsidR="009A6A96">
        <w:t>for NR is that the upper boundary is set to 10.24sec instead than 5.12sec</w:t>
      </w:r>
      <w:r w:rsidR="00A907C1">
        <w:t xml:space="preserve"> (for LTE)</w:t>
      </w:r>
      <w:r w:rsidR="002B1B69">
        <w:t xml:space="preserve"> for the eDRX cycle values that do not need to use the</w:t>
      </w:r>
      <w:r w:rsidR="00F0683F">
        <w:t xml:space="preserve"> new eDRX mechanism</w:t>
      </w:r>
      <w:r w:rsidR="002B1B69">
        <w:t xml:space="preserve"> </w:t>
      </w:r>
      <w:r w:rsidR="00F0683F">
        <w:t xml:space="preserve">based on </w:t>
      </w:r>
      <w:r w:rsidR="002B1B69">
        <w:t>PH/PTW</w:t>
      </w:r>
      <w:r w:rsidR="00A907C1">
        <w:t xml:space="preserve">. </w:t>
      </w:r>
    </w:p>
    <w:p w14:paraId="17829AB1" w14:textId="5CDFC906" w:rsidR="00A907C1" w:rsidRDefault="00A907C1" w:rsidP="00B17E8C">
      <w:pPr>
        <w:jc w:val="both"/>
        <w:rPr>
          <w:lang w:val="en-GB"/>
        </w:rPr>
      </w:pPr>
      <w:r>
        <w:t xml:space="preserve">The following options were considered during </w:t>
      </w:r>
      <w:r>
        <w:rPr>
          <w:lang w:val="en-GB" w:eastAsia="x-none"/>
        </w:rPr>
        <w:t xml:space="preserve">offline #101 </w:t>
      </w:r>
      <w:r>
        <w:rPr>
          <w:lang w:val="en-GB"/>
        </w:rPr>
        <w:fldChar w:fldCharType="begin"/>
      </w:r>
      <w:r>
        <w:rPr>
          <w:lang w:val="en-GB"/>
        </w:rPr>
        <w:instrText xml:space="preserve"> REF _Ref71405833 \r \h </w:instrText>
      </w:r>
      <w:r w:rsidR="00B17E8C">
        <w:rPr>
          <w:lang w:val="en-GB"/>
        </w:rPr>
        <w:instrText xml:space="preserve"> \* MERGEFORMAT </w:instrText>
      </w:r>
      <w:r>
        <w:rPr>
          <w:lang w:val="en-GB"/>
        </w:rPr>
      </w:r>
      <w:r>
        <w:rPr>
          <w:lang w:val="en-GB"/>
        </w:rPr>
        <w:fldChar w:fldCharType="separate"/>
      </w:r>
      <w:r w:rsidR="00581D40">
        <w:rPr>
          <w:lang w:val="en-GB"/>
        </w:rPr>
        <w:t>[1]</w:t>
      </w:r>
      <w:r>
        <w:rPr>
          <w:lang w:val="en-GB"/>
        </w:rPr>
        <w:fldChar w:fldCharType="end"/>
      </w:r>
      <w:r>
        <w:rPr>
          <w:lang w:val="en-GB"/>
        </w:rPr>
        <w:fldChar w:fldCharType="begin"/>
      </w:r>
      <w:r>
        <w:rPr>
          <w:lang w:val="en-GB"/>
        </w:rPr>
        <w:instrText xml:space="preserve"> REF _Ref71405837 \r \h </w:instrText>
      </w:r>
      <w:r w:rsidR="00B17E8C">
        <w:rPr>
          <w:lang w:val="en-GB"/>
        </w:rPr>
        <w:instrText xml:space="preserve"> \* MERGEFORMAT </w:instrText>
      </w:r>
      <w:r>
        <w:rPr>
          <w:lang w:val="en-GB"/>
        </w:rPr>
      </w:r>
      <w:r>
        <w:rPr>
          <w:lang w:val="en-GB"/>
        </w:rPr>
        <w:fldChar w:fldCharType="separate"/>
      </w:r>
      <w:r w:rsidR="00581D40">
        <w:rPr>
          <w:lang w:val="en-GB"/>
        </w:rPr>
        <w:t>[2]</w:t>
      </w:r>
      <w:r>
        <w:rPr>
          <w:lang w:val="en-GB"/>
        </w:rPr>
        <w:fldChar w:fldCharType="end"/>
      </w:r>
      <w:r w:rsidR="00CD75B2">
        <w:rPr>
          <w:lang w:val="en-GB"/>
        </w:rPr>
        <w:t xml:space="preserve"> on this topic</w:t>
      </w:r>
      <w:r>
        <w:rPr>
          <w:lang w:val="en-GB"/>
        </w:rPr>
        <w:t>:</w:t>
      </w:r>
    </w:p>
    <w:p w14:paraId="1A651057" w14:textId="39249678" w:rsidR="003C615C" w:rsidRPr="003C615C" w:rsidRDefault="003C615C" w:rsidP="00B17E8C">
      <w:pPr>
        <w:pStyle w:val="ListParagraph"/>
        <w:numPr>
          <w:ilvl w:val="0"/>
          <w:numId w:val="37"/>
        </w:numPr>
        <w:jc w:val="both"/>
        <w:rPr>
          <w:lang w:val="en-GB" w:eastAsia="x-none"/>
        </w:rPr>
      </w:pPr>
      <w:r w:rsidRPr="003C615C">
        <w:rPr>
          <w:b/>
          <w:bCs/>
          <w:lang w:val="en-GB" w:eastAsia="x-none"/>
        </w:rPr>
        <w:t xml:space="preserve">option 1) [8/19] </w:t>
      </w:r>
      <w:r w:rsidRPr="003C615C">
        <w:rPr>
          <w:lang w:val="en-GB" w:eastAsia="x-none"/>
        </w:rPr>
        <w:t>UE only monitors UE-specific paging eDRX applicable to the corresponding RRC state (instead of the smallest of the configured ones). i.e. a UE in RRC_INACTIVE monitors eDRX cycle configured for RRC_INACTIVE, and a UE in RRC_IDLE monitors eDRX cycle configured for RRC_ IDLE, and</w:t>
      </w:r>
    </w:p>
    <w:p w14:paraId="638F8E2A" w14:textId="117DC03F" w:rsidR="00A907C1" w:rsidRPr="003C615C" w:rsidRDefault="003C615C" w:rsidP="00B17E8C">
      <w:pPr>
        <w:pStyle w:val="ListParagraph"/>
        <w:numPr>
          <w:ilvl w:val="0"/>
          <w:numId w:val="37"/>
        </w:numPr>
        <w:jc w:val="both"/>
        <w:rPr>
          <w:lang w:val="en-GB" w:eastAsia="x-none"/>
        </w:rPr>
      </w:pPr>
      <w:r w:rsidRPr="003C615C">
        <w:rPr>
          <w:b/>
          <w:bCs/>
          <w:lang w:val="en-GB" w:eastAsia="x-none"/>
        </w:rPr>
        <w:t xml:space="preserve">option 2) [8/19] </w:t>
      </w:r>
      <w:r w:rsidRPr="003C615C">
        <w:rPr>
          <w:lang w:val="en-GB" w:eastAsia="x-none"/>
        </w:rPr>
        <w:t>the UE in RRC ACTIVE monitors PO with eDRX cycle T, where T is determined by the shortest of CN eDRX cycle and RAN eDRX cycle</w:t>
      </w:r>
    </w:p>
    <w:p w14:paraId="749D0F87" w14:textId="108938E3" w:rsidR="00D74689" w:rsidRDefault="000864DA" w:rsidP="00B17E8C">
      <w:pPr>
        <w:jc w:val="both"/>
        <w:rPr>
          <w:lang w:val="en-GB" w:eastAsia="x-none"/>
        </w:rPr>
      </w:pPr>
      <w:r>
        <w:rPr>
          <w:lang w:val="en-GB" w:eastAsia="x-none"/>
        </w:rPr>
        <w:t>In our understanding, there is no reason to change the way this scenario is handle for LTE eDRX &lt;10.24 sec.</w:t>
      </w:r>
      <w:r w:rsidR="003F744E">
        <w:rPr>
          <w:lang w:val="en-GB" w:eastAsia="x-none"/>
        </w:rPr>
        <w:t xml:space="preserve"> </w:t>
      </w:r>
      <w:r w:rsidR="00D36D94">
        <w:rPr>
          <w:lang w:val="en-GB" w:eastAsia="x-none"/>
        </w:rPr>
        <w:t>Moreover option 2) seems a not essential optimization if similar a</w:t>
      </w:r>
      <w:r w:rsidR="003202B7">
        <w:rPr>
          <w:lang w:val="en-GB" w:eastAsia="x-none"/>
        </w:rPr>
        <w:t xml:space="preserve">ssumption as explained in previous proposal 2 applies here, i.e. </w:t>
      </w:r>
      <w:r w:rsidR="00D57BCC">
        <w:rPr>
          <w:lang w:val="en-GB" w:eastAsia="x-none"/>
        </w:rPr>
        <w:t>gNB provides the RAN configuration that guarantees that a UE in RRC_INACTIVE can be also paged by CN</w:t>
      </w:r>
      <w:r w:rsidR="00AF2E5A">
        <w:rPr>
          <w:lang w:val="en-GB" w:eastAsia="x-none"/>
        </w:rPr>
        <w:t xml:space="preserve"> (based on CN related configuration).</w:t>
      </w:r>
    </w:p>
    <w:p w14:paraId="5D7B4F7F" w14:textId="7B58146F" w:rsidR="003F744E" w:rsidRDefault="003F744E" w:rsidP="00B17E8C">
      <w:pPr>
        <w:pStyle w:val="Proposal"/>
        <w:numPr>
          <w:ilvl w:val="0"/>
          <w:numId w:val="4"/>
        </w:numPr>
      </w:pPr>
      <w:bookmarkStart w:id="34" w:name="_Toc71411735"/>
      <w:bookmarkStart w:id="35" w:name="_Toc71567440"/>
      <w:bookmarkStart w:id="36" w:name="_Toc71567697"/>
      <w:bookmarkStart w:id="37" w:name="_Toc71568464"/>
      <w:r w:rsidRPr="009D2C1B">
        <w:t>UE in</w:t>
      </w:r>
      <w:r>
        <w:t xml:space="preserve"> </w:t>
      </w:r>
      <w:r w:rsidRPr="009D2C1B">
        <w:t>IDLE</w:t>
      </w:r>
      <w:r>
        <w:t xml:space="preserve"> or INACTIVE configured with eDRX cycle of 5.12sec or 10.24sec set their T</w:t>
      </w:r>
      <w:r w:rsidR="00E44576">
        <w:t xml:space="preserve"> equal to 512 or 1024 correspondingly.</w:t>
      </w:r>
      <w:r w:rsidR="002E4F53">
        <w:t xml:space="preserve"> I.e., </w:t>
      </w:r>
      <w:r w:rsidR="002E4F53" w:rsidRPr="003C615C">
        <w:t>UE only monitors UE-specific paging eDRX applicable to the corresponding RRC state (instead of the smallest of the configured ones)</w:t>
      </w:r>
      <w:r w:rsidR="002E4F53">
        <w:t>.</w:t>
      </w:r>
      <w:bookmarkEnd w:id="34"/>
      <w:bookmarkEnd w:id="35"/>
      <w:bookmarkEnd w:id="36"/>
      <w:bookmarkEnd w:id="37"/>
    </w:p>
    <w:p w14:paraId="7D14DA76" w14:textId="171A39D3" w:rsidR="00AF2E5A" w:rsidRDefault="006404DB" w:rsidP="000C7B79">
      <w:pPr>
        <w:pStyle w:val="Proposal"/>
        <w:numPr>
          <w:ilvl w:val="1"/>
          <w:numId w:val="4"/>
        </w:numPr>
      </w:pPr>
      <w:bookmarkStart w:id="38" w:name="_Toc71567441"/>
      <w:bookmarkStart w:id="39" w:name="_Toc71567698"/>
      <w:bookmarkStart w:id="40" w:name="_Toc71568465"/>
      <w:r>
        <w:t xml:space="preserve">It is up to network how to configure eDRX cycle value </w:t>
      </w:r>
      <w:r w:rsidR="00490982" w:rsidRPr="001A205D">
        <w:rPr>
          <w:rFonts w:hint="eastAsia"/>
          <w:b/>
          <w:bCs/>
        </w:rPr>
        <w:t>≤</w:t>
      </w:r>
      <w:r>
        <w:t xml:space="preserve"> 10.24sec to guarantee that legacy requirements for a UE in RRC_INACTIVE are met (i.e. UE in RRC_INACTIVE can be paged via both RAN and CN)</w:t>
      </w:r>
      <w:r w:rsidR="000C7B79">
        <w:t>.</w:t>
      </w:r>
      <w:bookmarkEnd w:id="38"/>
      <w:bookmarkEnd w:id="39"/>
      <w:bookmarkEnd w:id="40"/>
    </w:p>
    <w:p w14:paraId="758EC4B2" w14:textId="77777777" w:rsidR="00FA0AD8" w:rsidRDefault="00FA0AD8" w:rsidP="00B17E8C">
      <w:pPr>
        <w:jc w:val="both"/>
        <w:rPr>
          <w:lang w:val="en-GB" w:eastAsia="x-none"/>
        </w:rPr>
      </w:pPr>
    </w:p>
    <w:p w14:paraId="680FF31A" w14:textId="77777777" w:rsidR="009334FD" w:rsidRPr="00D83F8E" w:rsidRDefault="009334FD" w:rsidP="00B17E8C">
      <w:pPr>
        <w:pStyle w:val="Heading2"/>
        <w:jc w:val="both"/>
      </w:pPr>
      <w:r w:rsidRPr="00D83F8E">
        <w:t>Minimum DRX value considered part of eDRX framework</w:t>
      </w:r>
    </w:p>
    <w:p w14:paraId="5EA9AB25" w14:textId="2EE6BCCB" w:rsidR="009334FD" w:rsidRPr="00D83F8E" w:rsidRDefault="005562F3" w:rsidP="00B17E8C">
      <w:pPr>
        <w:jc w:val="both"/>
      </w:pPr>
      <w:r>
        <w:t xml:space="preserve">Companies views seems decided on whether to allow or not 2.56sec as a minimum value </w:t>
      </w:r>
      <w:r>
        <w:rPr>
          <w:lang w:val="en-GB" w:eastAsia="x-none"/>
        </w:rPr>
        <w:t xml:space="preserve">during offline #101 </w:t>
      </w:r>
      <w:r>
        <w:rPr>
          <w:lang w:val="en-GB"/>
        </w:rPr>
        <w:fldChar w:fldCharType="begin"/>
      </w:r>
      <w:r>
        <w:rPr>
          <w:lang w:val="en-GB"/>
        </w:rPr>
        <w:instrText xml:space="preserve"> REF _Ref71405833 \r \h </w:instrText>
      </w:r>
      <w:r w:rsidR="00B17E8C">
        <w:rPr>
          <w:lang w:val="en-GB"/>
        </w:rPr>
        <w:instrText xml:space="preserve"> \* MERGEFORMAT </w:instrText>
      </w:r>
      <w:r>
        <w:rPr>
          <w:lang w:val="en-GB"/>
        </w:rPr>
      </w:r>
      <w:r>
        <w:rPr>
          <w:lang w:val="en-GB"/>
        </w:rPr>
        <w:fldChar w:fldCharType="separate"/>
      </w:r>
      <w:r w:rsidR="00581D40">
        <w:rPr>
          <w:lang w:val="en-GB"/>
        </w:rPr>
        <w:t>[1]</w:t>
      </w:r>
      <w:r>
        <w:rPr>
          <w:lang w:val="en-GB"/>
        </w:rPr>
        <w:fldChar w:fldCharType="end"/>
      </w:r>
      <w:r>
        <w:rPr>
          <w:lang w:val="en-GB"/>
        </w:rPr>
        <w:fldChar w:fldCharType="begin"/>
      </w:r>
      <w:r>
        <w:rPr>
          <w:lang w:val="en-GB"/>
        </w:rPr>
        <w:instrText xml:space="preserve"> REF _Ref71405837 \r \h </w:instrText>
      </w:r>
      <w:r w:rsidR="00B17E8C">
        <w:rPr>
          <w:lang w:val="en-GB"/>
        </w:rPr>
        <w:instrText xml:space="preserve"> \* MERGEFORMAT </w:instrText>
      </w:r>
      <w:r>
        <w:rPr>
          <w:lang w:val="en-GB"/>
        </w:rPr>
      </w:r>
      <w:r>
        <w:rPr>
          <w:lang w:val="en-GB"/>
        </w:rPr>
        <w:fldChar w:fldCharType="separate"/>
      </w:r>
      <w:r w:rsidR="00581D40">
        <w:rPr>
          <w:lang w:val="en-GB"/>
        </w:rPr>
        <w:t>[2]</w:t>
      </w:r>
      <w:r>
        <w:rPr>
          <w:lang w:val="en-GB"/>
        </w:rPr>
        <w:fldChar w:fldCharType="end"/>
      </w:r>
      <w:r>
        <w:rPr>
          <w:lang w:val="en-GB"/>
        </w:rPr>
        <w:t>. In our understanding, there might be normal category</w:t>
      </w:r>
      <w:r w:rsidR="00FA304E">
        <w:rPr>
          <w:lang w:val="en-GB"/>
        </w:rPr>
        <w:t xml:space="preserve"> of</w:t>
      </w:r>
      <w:r>
        <w:rPr>
          <w:lang w:val="en-GB"/>
        </w:rPr>
        <w:t xml:space="preserve"> UEs </w:t>
      </w:r>
      <w:r w:rsidR="00FA304E">
        <w:rPr>
          <w:lang w:val="en-GB"/>
        </w:rPr>
        <w:t xml:space="preserve">used for </w:t>
      </w:r>
      <w:r w:rsidR="00BE59E4">
        <w:rPr>
          <w:lang w:val="en-GB"/>
        </w:rPr>
        <w:t xml:space="preserve">services that do not require prompted response (e.g. on wearables) </w:t>
      </w:r>
      <w:r>
        <w:rPr>
          <w:lang w:val="en-GB"/>
        </w:rPr>
        <w:t>that</w:t>
      </w:r>
      <w:r w:rsidR="00FA304E">
        <w:rPr>
          <w:lang w:val="en-GB"/>
        </w:rPr>
        <w:t xml:space="preserve"> may benefit of using 2.56sec from power saving point of views</w:t>
      </w:r>
      <w:r w:rsidR="00BE59E4">
        <w:rPr>
          <w:lang w:val="en-GB"/>
        </w:rPr>
        <w:t>. However default DRX cycle is usually set by the network to accommodate any kind of UE and therefore it is unlikely that network would set this to 2.56sec</w:t>
      </w:r>
      <w:r w:rsidR="00B17E8C">
        <w:rPr>
          <w:lang w:val="en-GB"/>
        </w:rPr>
        <w:t>. Therefore, w</w:t>
      </w:r>
      <w:r w:rsidR="009334FD">
        <w:t>e are ok on considering 2.56sec</w:t>
      </w:r>
      <w:r w:rsidR="00B17E8C">
        <w:t xml:space="preserve"> as the minimum eDRX value possible if it</w:t>
      </w:r>
      <w:r w:rsidR="009334FD">
        <w:t xml:space="preserve"> can be enabled with the same behaviour as other eDRX cycles </w:t>
      </w:r>
      <w:r w:rsidR="009334FD">
        <w:rPr>
          <w:lang w:val="en-GB"/>
        </w:rPr>
        <w:t xml:space="preserve">≤ 10.24sec with none or minimal additional specification impact. </w:t>
      </w:r>
    </w:p>
    <w:p w14:paraId="2E179C7C" w14:textId="77777777" w:rsidR="009334FD" w:rsidRPr="00D83F8E" w:rsidRDefault="009334FD" w:rsidP="00B17E8C">
      <w:pPr>
        <w:pStyle w:val="Proposal"/>
        <w:numPr>
          <w:ilvl w:val="0"/>
          <w:numId w:val="4"/>
        </w:numPr>
      </w:pPr>
      <w:bookmarkStart w:id="41" w:name="_Toc71411736"/>
      <w:bookmarkStart w:id="42" w:name="_Toc71567442"/>
      <w:bookmarkStart w:id="43" w:name="_Toc71567699"/>
      <w:bookmarkStart w:id="44" w:name="_Toc71568466"/>
      <w:r>
        <w:t>The DRX value of 2.56 sec can be defined as one of the possible E</w:t>
      </w:r>
      <w:r w:rsidRPr="00D83F8E">
        <w:t>xtended DRX cycles for UEs in RRC_IDLE / RRC_INACTIVE</w:t>
      </w:r>
      <w:r>
        <w:t xml:space="preserve"> if TS impact is minimal (i.e. following the same operation defined for any eDRX ≤ 10.24sec).</w:t>
      </w:r>
      <w:bookmarkEnd w:id="41"/>
      <w:bookmarkEnd w:id="42"/>
      <w:bookmarkEnd w:id="43"/>
      <w:bookmarkEnd w:id="44"/>
    </w:p>
    <w:p w14:paraId="23B0DCB8" w14:textId="0B8F680E" w:rsidR="00591504" w:rsidRDefault="00591504" w:rsidP="00591504">
      <w:pPr>
        <w:rPr>
          <w:lang w:val="en-GB" w:eastAsia="x-none"/>
        </w:rPr>
      </w:pPr>
    </w:p>
    <w:p w14:paraId="1797A56C" w14:textId="77777777" w:rsidR="008C41E4" w:rsidRDefault="008C41E4" w:rsidP="00591504">
      <w:pPr>
        <w:rPr>
          <w:lang w:val="en-GB" w:eastAsia="x-none"/>
        </w:rPr>
      </w:pPr>
    </w:p>
    <w:p w14:paraId="2F8D4C4C" w14:textId="77777777" w:rsidR="00EB410E" w:rsidRPr="00083BE4" w:rsidRDefault="00EB410E" w:rsidP="00460CF3">
      <w:pPr>
        <w:jc w:val="both"/>
        <w:rPr>
          <w:lang w:val="en-GB"/>
        </w:rPr>
      </w:pPr>
    </w:p>
    <w:p w14:paraId="5AB4BABA" w14:textId="77777777" w:rsidR="00EB410E" w:rsidRDefault="00EB410E" w:rsidP="00AF111F">
      <w:pPr>
        <w:pStyle w:val="Heading1"/>
        <w:numPr>
          <w:ilvl w:val="0"/>
          <w:numId w:val="2"/>
        </w:numPr>
        <w:jc w:val="both"/>
      </w:pPr>
      <w:r>
        <w:lastRenderedPageBreak/>
        <w:t>Conclusion</w:t>
      </w:r>
    </w:p>
    <w:p w14:paraId="626C5779" w14:textId="77777777" w:rsidR="00EB410E" w:rsidRDefault="00EB410E" w:rsidP="00460CF3">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11EA9F9" w14:textId="77777777" w:rsidR="00334304"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334304" w:rsidRPr="00993E62">
        <w:rPr>
          <w:b/>
          <w:noProof/>
        </w:rPr>
        <w:t>Observation 1.</w:t>
      </w:r>
      <w:r w:rsidR="00334304">
        <w:rPr>
          <w:rFonts w:asciiTheme="minorHAnsi" w:eastAsiaTheme="minorEastAsia" w:hAnsiTheme="minorHAnsi" w:cstheme="minorBidi"/>
          <w:noProof/>
          <w:sz w:val="22"/>
        </w:rPr>
        <w:tab/>
      </w:r>
      <w:r w:rsidR="00334304">
        <w:rPr>
          <w:noProof/>
        </w:rPr>
        <w:t>If common LTE-based PTW config. (as proposed by some companies) but different T</w:t>
      </w:r>
      <w:r w:rsidR="00334304" w:rsidRPr="00993E62">
        <w:rPr>
          <w:noProof/>
          <w:vertAlign w:val="subscript"/>
        </w:rPr>
        <w:t>eDRX</w:t>
      </w:r>
      <w:r w:rsidR="00334304">
        <w:rPr>
          <w:noProof/>
        </w:rPr>
        <w:t xml:space="preserve"> values are used for IDLE and INACTIVE, this may break the way that LTE eDRX mechanism spread the UE’s PTW which is calculated based on T </w:t>
      </w:r>
      <w:r w:rsidR="00334304" w:rsidRPr="00993E62">
        <w:rPr>
          <w:noProof/>
          <w:vertAlign w:val="subscript"/>
        </w:rPr>
        <w:t>eDRX,H</w:t>
      </w:r>
      <w:r w:rsidR="00334304">
        <w:rPr>
          <w:noProof/>
        </w:rPr>
        <w:t xml:space="preserve"> (i.e. eDRX cycle of the UE in Hyper-frames) for the PH and PTW_start. Note that UE-specific PTW </w:t>
      </w:r>
      <w:r w:rsidR="00334304">
        <w:rPr>
          <w:noProof/>
          <w:lang w:eastAsia="x-none"/>
        </w:rPr>
        <w:t xml:space="preserve">depends on </w:t>
      </w:r>
      <w:r w:rsidR="00334304">
        <w:rPr>
          <w:noProof/>
        </w:rPr>
        <w:t>PH, PTW_start and PTW_end.</w:t>
      </w:r>
    </w:p>
    <w:p w14:paraId="206BA387" w14:textId="77777777" w:rsidR="00334304" w:rsidRDefault="00334304">
      <w:pPr>
        <w:pStyle w:val="TOC1"/>
        <w:rPr>
          <w:rFonts w:asciiTheme="minorHAnsi" w:eastAsiaTheme="minorEastAsia" w:hAnsiTheme="minorHAnsi" w:cstheme="minorBidi"/>
          <w:noProof/>
          <w:sz w:val="22"/>
        </w:rPr>
      </w:pPr>
      <w:r w:rsidRPr="00993E62">
        <w:rPr>
          <w:b/>
          <w:noProof/>
        </w:rPr>
        <w:t>Observation 2.</w:t>
      </w:r>
      <w:r>
        <w:rPr>
          <w:rFonts w:asciiTheme="minorHAnsi" w:eastAsiaTheme="minorEastAsia" w:hAnsiTheme="minorHAnsi" w:cstheme="minorBidi"/>
          <w:noProof/>
          <w:sz w:val="22"/>
        </w:rPr>
        <w:tab/>
      </w:r>
      <w:r>
        <w:rPr>
          <w:noProof/>
        </w:rPr>
        <w:t xml:space="preserve">If RAN2 TS provide some guidance, this can only indicate that PTW for eDRX in IDLE should partially overlaps with PTW for eDRX in INACTIVE </w:t>
      </w:r>
      <w:r>
        <w:rPr>
          <w:noProof/>
          <w:lang w:eastAsia="x-none"/>
        </w:rPr>
        <w:t>to guarantee that a UE in INACTIVE could be paged by CN when required</w:t>
      </w:r>
      <w:r>
        <w:rPr>
          <w:noProof/>
        </w:rPr>
        <w:t>.</w:t>
      </w:r>
    </w:p>
    <w:p w14:paraId="5C6D455D" w14:textId="77777777" w:rsidR="00334304" w:rsidRDefault="00334304">
      <w:pPr>
        <w:pStyle w:val="TOC1"/>
        <w:rPr>
          <w:rFonts w:asciiTheme="minorHAnsi" w:eastAsiaTheme="minorEastAsia" w:hAnsiTheme="minorHAnsi" w:cstheme="minorBidi"/>
          <w:noProof/>
          <w:sz w:val="22"/>
        </w:rPr>
      </w:pPr>
      <w:r w:rsidRPr="00993E62">
        <w:rPr>
          <w:b/>
          <w:noProof/>
        </w:rPr>
        <w:t>Observation 3.</w:t>
      </w:r>
      <w:r>
        <w:rPr>
          <w:rFonts w:asciiTheme="minorHAnsi" w:eastAsiaTheme="minorEastAsia" w:hAnsiTheme="minorHAnsi" w:cstheme="minorBidi"/>
          <w:noProof/>
          <w:sz w:val="22"/>
        </w:rPr>
        <w:tab/>
      </w:r>
      <w:r>
        <w:rPr>
          <w:noProof/>
          <w:lang w:eastAsia="x-none"/>
        </w:rPr>
        <w:t>For eDRX of a UE in IDLE, no new/specific UE behaviour needs to be defined if eDRX in INACTIVE was previously configured as a UE releases the information of the UE AS Inactive Context upon entering IDLE.</w:t>
      </w:r>
    </w:p>
    <w:p w14:paraId="670ADA06" w14:textId="77777777" w:rsidR="00334304" w:rsidRDefault="00334304">
      <w:pPr>
        <w:pStyle w:val="TOC1"/>
        <w:rPr>
          <w:rFonts w:asciiTheme="minorHAnsi" w:eastAsiaTheme="minorEastAsia" w:hAnsiTheme="minorHAnsi" w:cstheme="minorBidi"/>
          <w:noProof/>
          <w:sz w:val="22"/>
        </w:rPr>
      </w:pPr>
      <w:r w:rsidRPr="00993E62">
        <w:rPr>
          <w:b/>
          <w:noProof/>
        </w:rPr>
        <w:t>Observation 4.</w:t>
      </w:r>
      <w:r>
        <w:rPr>
          <w:rFonts w:asciiTheme="minorHAnsi" w:eastAsiaTheme="minorEastAsia" w:hAnsiTheme="minorHAnsi" w:cstheme="minorBidi"/>
          <w:noProof/>
          <w:sz w:val="22"/>
        </w:rPr>
        <w:tab/>
      </w:r>
      <w:r>
        <w:rPr>
          <w:noProof/>
          <w:lang w:eastAsia="x-none"/>
        </w:rPr>
        <w:t xml:space="preserve">For eDRX of a UE in INACTIVE, no new/specific UE behaviour needs to be defined if network guarantees providing proper configuration of the eDRX. I.e. </w:t>
      </w:r>
      <w:r>
        <w:rPr>
          <w:noProof/>
        </w:rPr>
        <w:t>PTW for UEs in IDLE should at least be partially overlap with the PTW for INACTIVE in order to meet the requirement defined for UEs in INACTIVE that should be able to be reached via both RAN-paging as well as CN-paging.</w:t>
      </w:r>
    </w:p>
    <w:p w14:paraId="5239C8EE" w14:textId="46200F74" w:rsidR="00EB410E" w:rsidRDefault="00EB410E" w:rsidP="00460CF3">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5D80B43" w14:textId="77777777" w:rsidR="00334304"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334304" w:rsidRPr="002C3669">
        <w:rPr>
          <w:b/>
          <w:noProof/>
        </w:rPr>
        <w:t>Proposal 1.</w:t>
      </w:r>
      <w:r w:rsidR="00334304">
        <w:rPr>
          <w:rFonts w:asciiTheme="minorHAnsi" w:eastAsiaTheme="minorEastAsia" w:hAnsiTheme="minorHAnsi" w:cstheme="minorBidi"/>
          <w:noProof/>
          <w:sz w:val="22"/>
        </w:rPr>
        <w:tab/>
      </w:r>
      <w:r w:rsidR="00334304">
        <w:rPr>
          <w:noProof/>
        </w:rPr>
        <w:t>RAN2 confirms that LTE PTW definition is reused for NR. RAN2 can revisit this is issues are found with current definition for NR eDRX.</w:t>
      </w:r>
    </w:p>
    <w:p w14:paraId="3C34C9B4" w14:textId="77777777" w:rsidR="00334304" w:rsidRDefault="00334304">
      <w:pPr>
        <w:pStyle w:val="TOC1"/>
        <w:rPr>
          <w:rFonts w:asciiTheme="minorHAnsi" w:eastAsiaTheme="minorEastAsia" w:hAnsiTheme="minorHAnsi" w:cstheme="minorBidi"/>
          <w:noProof/>
          <w:sz w:val="22"/>
        </w:rPr>
      </w:pPr>
      <w:r w:rsidRPr="002C3669">
        <w:rPr>
          <w:b/>
          <w:noProof/>
        </w:rPr>
        <w:t>Proposal 2.</w:t>
      </w:r>
      <w:r>
        <w:rPr>
          <w:rFonts w:asciiTheme="minorHAnsi" w:eastAsiaTheme="minorEastAsia" w:hAnsiTheme="minorHAnsi" w:cstheme="minorBidi"/>
          <w:noProof/>
          <w:sz w:val="22"/>
        </w:rPr>
        <w:tab/>
      </w:r>
      <w:r>
        <w:rPr>
          <w:noProof/>
        </w:rPr>
        <w:t>To leave up to network implementation the decision on how to configure properly PTW for UEs in IDLE and PTW for UEs in INACTIVE. I.e. it is up to network how to configure PTW to guarantee that legacy requirements for a UE in RRC_INACTIVE are met (i.e. UE in RRC_INACTIVE can be paged via both RAN and CN).</w:t>
      </w:r>
    </w:p>
    <w:p w14:paraId="502AD95A" w14:textId="77777777" w:rsidR="00334304" w:rsidRDefault="00334304">
      <w:pPr>
        <w:pStyle w:val="TOC1"/>
        <w:rPr>
          <w:rFonts w:asciiTheme="minorHAnsi" w:eastAsiaTheme="minorEastAsia" w:hAnsiTheme="minorHAnsi" w:cstheme="minorBidi"/>
          <w:noProof/>
          <w:sz w:val="22"/>
        </w:rPr>
      </w:pPr>
      <w:r w:rsidRPr="002C3669">
        <w:rPr>
          <w:b/>
          <w:noProof/>
        </w:rPr>
        <w:t>Proposal 2.1.</w:t>
      </w:r>
      <w:r>
        <w:rPr>
          <w:rFonts w:asciiTheme="minorHAnsi" w:eastAsiaTheme="minorEastAsia" w:hAnsiTheme="minorHAnsi" w:cstheme="minorBidi"/>
          <w:noProof/>
          <w:sz w:val="22"/>
        </w:rPr>
        <w:tab/>
      </w:r>
      <w:r>
        <w:rPr>
          <w:noProof/>
        </w:rPr>
        <w:t>To discuss whether to capture a guidance for the network configuration that PTW for UEs in IDLE should at least be partially overlap with the PTW for INACTIVE.</w:t>
      </w:r>
    </w:p>
    <w:p w14:paraId="16E13F2B" w14:textId="77777777" w:rsidR="00334304" w:rsidRDefault="00334304">
      <w:pPr>
        <w:pStyle w:val="TOC1"/>
        <w:rPr>
          <w:rFonts w:asciiTheme="minorHAnsi" w:eastAsiaTheme="minorEastAsia" w:hAnsiTheme="minorHAnsi" w:cstheme="minorBidi"/>
          <w:noProof/>
          <w:sz w:val="22"/>
        </w:rPr>
      </w:pPr>
      <w:r w:rsidRPr="002C3669">
        <w:rPr>
          <w:b/>
          <w:noProof/>
        </w:rPr>
        <w:t>Proposal 3.</w:t>
      </w:r>
      <w:r>
        <w:rPr>
          <w:rFonts w:asciiTheme="minorHAnsi" w:eastAsiaTheme="minorEastAsia" w:hAnsiTheme="minorHAnsi" w:cstheme="minorBidi"/>
          <w:noProof/>
          <w:sz w:val="22"/>
        </w:rPr>
        <w:tab/>
      </w:r>
      <w:r>
        <w:rPr>
          <w:noProof/>
        </w:rPr>
        <w:t>UE in IDLE or INACTIVE configured with eDRX cycle of 5.12sec or 10.24sec set their T equal to 512 or 1024 correspondingly. I.e., UE only monitors UE-specific paging eDRX applicable to the corresponding RRC state (instead of the smallest of the configured ones).</w:t>
      </w:r>
    </w:p>
    <w:p w14:paraId="5A41168F" w14:textId="77777777" w:rsidR="00334304" w:rsidRDefault="00334304">
      <w:pPr>
        <w:pStyle w:val="TOC1"/>
        <w:rPr>
          <w:rFonts w:asciiTheme="minorHAnsi" w:eastAsiaTheme="minorEastAsia" w:hAnsiTheme="minorHAnsi" w:cstheme="minorBidi"/>
          <w:noProof/>
          <w:sz w:val="22"/>
        </w:rPr>
      </w:pPr>
      <w:r w:rsidRPr="002C3669">
        <w:rPr>
          <w:b/>
          <w:noProof/>
        </w:rPr>
        <w:t>Proposal 3.1.</w:t>
      </w:r>
      <w:r>
        <w:rPr>
          <w:rFonts w:asciiTheme="minorHAnsi" w:eastAsiaTheme="minorEastAsia" w:hAnsiTheme="minorHAnsi" w:cstheme="minorBidi"/>
          <w:noProof/>
          <w:sz w:val="22"/>
        </w:rPr>
        <w:tab/>
      </w:r>
      <w:r>
        <w:rPr>
          <w:noProof/>
        </w:rPr>
        <w:t xml:space="preserve">It is up to network how to configure eDRX cycle value </w:t>
      </w:r>
      <w:r w:rsidRPr="002C3669">
        <w:rPr>
          <w:b/>
          <w:bCs/>
          <w:noProof/>
        </w:rPr>
        <w:t>≤</w:t>
      </w:r>
      <w:r>
        <w:rPr>
          <w:noProof/>
        </w:rPr>
        <w:t xml:space="preserve"> 10.24sec to guarantee that legacy requirements for a UE in RRC_INACTIVE are met (i.e. UE in RRC_INACTIVE can be paged via both RAN and CN).</w:t>
      </w:r>
    </w:p>
    <w:p w14:paraId="0E0B3FCC" w14:textId="77777777" w:rsidR="00334304" w:rsidRDefault="00334304">
      <w:pPr>
        <w:pStyle w:val="TOC1"/>
        <w:rPr>
          <w:rFonts w:asciiTheme="minorHAnsi" w:eastAsiaTheme="minorEastAsia" w:hAnsiTheme="minorHAnsi" w:cstheme="minorBidi"/>
          <w:noProof/>
          <w:sz w:val="22"/>
        </w:rPr>
      </w:pPr>
      <w:r w:rsidRPr="002C3669">
        <w:rPr>
          <w:b/>
          <w:noProof/>
        </w:rPr>
        <w:t>Proposal 4.</w:t>
      </w:r>
      <w:r>
        <w:rPr>
          <w:rFonts w:asciiTheme="minorHAnsi" w:eastAsiaTheme="minorEastAsia" w:hAnsiTheme="minorHAnsi" w:cstheme="minorBidi"/>
          <w:noProof/>
          <w:sz w:val="22"/>
        </w:rPr>
        <w:tab/>
      </w:r>
      <w:r>
        <w:rPr>
          <w:noProof/>
        </w:rPr>
        <w:t>The DRX value of 2.56 sec can be defined as one of the possible Extended DRX cycles for UEs in RRC_IDLE / RRC_INACTIVE if TS impact is minimal (i.e. following the same operation defined for any eDRX ≤ 10.24sec).</w:t>
      </w:r>
    </w:p>
    <w:p w14:paraId="0580D4BA" w14:textId="50F62009" w:rsidR="00EB410E" w:rsidRDefault="00EB410E" w:rsidP="00460CF3">
      <w:pPr>
        <w:jc w:val="both"/>
        <w:rPr>
          <w:lang w:eastAsia="zh-CN"/>
        </w:rPr>
      </w:pPr>
      <w:r>
        <w:rPr>
          <w:lang w:eastAsia="zh-CN"/>
        </w:rPr>
        <w:fldChar w:fldCharType="end"/>
      </w:r>
    </w:p>
    <w:p w14:paraId="0D37D24A" w14:textId="77777777" w:rsidR="008C41E4" w:rsidRDefault="008C41E4" w:rsidP="00460CF3">
      <w:pPr>
        <w:jc w:val="both"/>
        <w:rPr>
          <w:lang w:eastAsia="zh-CN"/>
        </w:rPr>
      </w:pPr>
    </w:p>
    <w:p w14:paraId="4831B0DD" w14:textId="77777777" w:rsidR="00EB410E" w:rsidRDefault="00EB410E" w:rsidP="00AF111F">
      <w:pPr>
        <w:pStyle w:val="Heading1"/>
        <w:numPr>
          <w:ilvl w:val="0"/>
          <w:numId w:val="2"/>
        </w:numPr>
        <w:jc w:val="both"/>
      </w:pPr>
      <w:bookmarkStart w:id="45" w:name="_Ref434066290"/>
      <w:r>
        <w:t>Reference</w:t>
      </w:r>
      <w:bookmarkEnd w:id="45"/>
    </w:p>
    <w:bookmarkEnd w:id="1"/>
    <w:p w14:paraId="43B6ADCD" w14:textId="1DA3C062" w:rsidR="007E1C9E" w:rsidRPr="007E1C9E" w:rsidRDefault="007E1C9E" w:rsidP="007E1C9E">
      <w:pPr>
        <w:pStyle w:val="Doc-title"/>
        <w:numPr>
          <w:ilvl w:val="0"/>
          <w:numId w:val="3"/>
        </w:numPr>
        <w:spacing w:after="60"/>
        <w:jc w:val="both"/>
        <w:rPr>
          <w:rFonts w:ascii="Times New Roman" w:hAnsi="Times New Roman" w:cs="Times New Roman"/>
          <w:sz w:val="20"/>
        </w:rPr>
      </w:pPr>
      <w:r w:rsidRPr="007E1C9E">
        <w:t xml:space="preserve"> </w:t>
      </w:r>
      <w:bookmarkStart w:id="46" w:name="_Ref71405833"/>
      <w:r w:rsidRPr="007E1C9E">
        <w:rPr>
          <w:rFonts w:ascii="Times New Roman" w:hAnsi="Times New Roman" w:cs="Times New Roman"/>
          <w:sz w:val="20"/>
        </w:rPr>
        <w:t>R2-2104360</w:t>
      </w:r>
      <w:r>
        <w:rPr>
          <w:rFonts w:ascii="Times New Roman" w:hAnsi="Times New Roman" w:cs="Times New Roman"/>
          <w:sz w:val="20"/>
        </w:rPr>
        <w:t xml:space="preserve">, </w:t>
      </w:r>
      <w:r w:rsidRPr="007E1C9E">
        <w:rPr>
          <w:rFonts w:ascii="Times New Roman" w:hAnsi="Times New Roman" w:cs="Times New Roman"/>
          <w:sz w:val="20"/>
        </w:rPr>
        <w:t xml:space="preserve">Summary of offline 101 - [REDCAP] eDRX cycles </w:t>
      </w:r>
      <w:r>
        <w:rPr>
          <w:rFonts w:ascii="Times New Roman" w:hAnsi="Times New Roman" w:cs="Times New Roman"/>
          <w:sz w:val="20"/>
        </w:rPr>
        <w:t>–</w:t>
      </w:r>
      <w:r w:rsidRPr="007E1C9E">
        <w:rPr>
          <w:rFonts w:ascii="Times New Roman" w:hAnsi="Times New Roman" w:cs="Times New Roman"/>
          <w:sz w:val="20"/>
        </w:rPr>
        <w:t xml:space="preserve"> </w:t>
      </w:r>
      <w:r>
        <w:rPr>
          <w:rFonts w:ascii="Times New Roman" w:hAnsi="Times New Roman" w:cs="Times New Roman"/>
          <w:sz w:val="20"/>
        </w:rPr>
        <w:t>1</w:t>
      </w:r>
      <w:r w:rsidRPr="00F115E0">
        <w:rPr>
          <w:rFonts w:ascii="Times New Roman" w:hAnsi="Times New Roman" w:cs="Times New Roman"/>
          <w:sz w:val="20"/>
          <w:vertAlign w:val="superscript"/>
        </w:rPr>
        <w:t>st</w:t>
      </w:r>
      <w:r>
        <w:rPr>
          <w:rFonts w:ascii="Times New Roman" w:hAnsi="Times New Roman" w:cs="Times New Roman"/>
          <w:sz w:val="20"/>
        </w:rPr>
        <w:t xml:space="preserve"> </w:t>
      </w:r>
      <w:r w:rsidRPr="007E1C9E">
        <w:rPr>
          <w:rFonts w:ascii="Times New Roman" w:hAnsi="Times New Roman" w:cs="Times New Roman"/>
          <w:sz w:val="20"/>
        </w:rPr>
        <w:t>round</w:t>
      </w:r>
      <w:r>
        <w:rPr>
          <w:rFonts w:ascii="Times New Roman" w:hAnsi="Times New Roman" w:cs="Times New Roman"/>
          <w:sz w:val="20"/>
        </w:rPr>
        <w:t xml:space="preserve">, </w:t>
      </w:r>
      <w:r w:rsidRPr="007E1C9E">
        <w:rPr>
          <w:rFonts w:ascii="Times New Roman" w:hAnsi="Times New Roman" w:cs="Times New Roman"/>
          <w:sz w:val="20"/>
        </w:rPr>
        <w:t>Intel</w:t>
      </w:r>
      <w:r>
        <w:rPr>
          <w:rFonts w:ascii="Times New Roman" w:hAnsi="Times New Roman" w:cs="Times New Roman"/>
          <w:sz w:val="20"/>
        </w:rPr>
        <w:t xml:space="preserve"> Corporation, April 2021.</w:t>
      </w:r>
      <w:bookmarkEnd w:id="46"/>
    </w:p>
    <w:p w14:paraId="7B972B72" w14:textId="1BE64516" w:rsidR="00105623" w:rsidRDefault="007E1C9E" w:rsidP="007E1C9E">
      <w:pPr>
        <w:pStyle w:val="Doc-title"/>
        <w:numPr>
          <w:ilvl w:val="0"/>
          <w:numId w:val="3"/>
        </w:numPr>
        <w:spacing w:before="0" w:after="60"/>
        <w:jc w:val="both"/>
        <w:rPr>
          <w:rFonts w:ascii="Times New Roman" w:hAnsi="Times New Roman" w:cs="Times New Roman"/>
          <w:sz w:val="20"/>
        </w:rPr>
      </w:pPr>
      <w:bookmarkStart w:id="47" w:name="_Ref71405837"/>
      <w:r w:rsidRPr="007E1C9E">
        <w:rPr>
          <w:rFonts w:ascii="Times New Roman" w:hAnsi="Times New Roman" w:cs="Times New Roman"/>
          <w:sz w:val="20"/>
        </w:rPr>
        <w:t>R2-2104367</w:t>
      </w:r>
      <w:r>
        <w:rPr>
          <w:rFonts w:ascii="Times New Roman" w:hAnsi="Times New Roman" w:cs="Times New Roman"/>
          <w:sz w:val="20"/>
        </w:rPr>
        <w:t xml:space="preserve">, </w:t>
      </w:r>
      <w:r w:rsidRPr="007E1C9E">
        <w:rPr>
          <w:rFonts w:ascii="Times New Roman" w:hAnsi="Times New Roman" w:cs="Times New Roman"/>
          <w:sz w:val="20"/>
        </w:rPr>
        <w:t xml:space="preserve">Summary of offline 101 - [REDCAP] eDRX cycles </w:t>
      </w:r>
      <w:r>
        <w:rPr>
          <w:rFonts w:ascii="Times New Roman" w:hAnsi="Times New Roman" w:cs="Times New Roman"/>
          <w:sz w:val="20"/>
        </w:rPr>
        <w:t>–</w:t>
      </w:r>
      <w:r w:rsidRPr="007E1C9E">
        <w:rPr>
          <w:rFonts w:ascii="Times New Roman" w:hAnsi="Times New Roman" w:cs="Times New Roman"/>
          <w:sz w:val="20"/>
        </w:rPr>
        <w:t xml:space="preserve"> </w:t>
      </w:r>
      <w:r>
        <w:rPr>
          <w:rFonts w:ascii="Times New Roman" w:hAnsi="Times New Roman" w:cs="Times New Roman"/>
          <w:sz w:val="20"/>
        </w:rPr>
        <w:t>2</w:t>
      </w:r>
      <w:r w:rsidRPr="00F115E0">
        <w:rPr>
          <w:rFonts w:ascii="Times New Roman" w:hAnsi="Times New Roman" w:cs="Times New Roman"/>
          <w:sz w:val="20"/>
          <w:vertAlign w:val="superscript"/>
        </w:rPr>
        <w:t>nd</w:t>
      </w:r>
      <w:r>
        <w:rPr>
          <w:rFonts w:ascii="Times New Roman" w:hAnsi="Times New Roman" w:cs="Times New Roman"/>
          <w:sz w:val="20"/>
        </w:rPr>
        <w:t xml:space="preserve"> </w:t>
      </w:r>
      <w:r w:rsidRPr="007E1C9E">
        <w:rPr>
          <w:rFonts w:ascii="Times New Roman" w:hAnsi="Times New Roman" w:cs="Times New Roman"/>
          <w:sz w:val="20"/>
        </w:rPr>
        <w:t>round</w:t>
      </w:r>
      <w:r>
        <w:rPr>
          <w:rFonts w:ascii="Times New Roman" w:hAnsi="Times New Roman" w:cs="Times New Roman"/>
          <w:sz w:val="20"/>
        </w:rPr>
        <w:t xml:space="preserve">, </w:t>
      </w:r>
      <w:r w:rsidRPr="007E1C9E">
        <w:rPr>
          <w:rFonts w:ascii="Times New Roman" w:hAnsi="Times New Roman" w:cs="Times New Roman"/>
          <w:sz w:val="20"/>
        </w:rPr>
        <w:t>Intel</w:t>
      </w:r>
      <w:r>
        <w:rPr>
          <w:rFonts w:ascii="Times New Roman" w:hAnsi="Times New Roman" w:cs="Times New Roman"/>
          <w:sz w:val="20"/>
        </w:rPr>
        <w:t xml:space="preserve"> Corporation, April 2021.</w:t>
      </w:r>
      <w:bookmarkEnd w:id="47"/>
    </w:p>
    <w:p w14:paraId="79E4382D" w14:textId="77777777" w:rsidR="00EB410E" w:rsidRPr="00084073" w:rsidRDefault="00EB410E" w:rsidP="00AF111F">
      <w:pPr>
        <w:jc w:val="both"/>
        <w:rPr>
          <w:lang w:val="en-GB" w:eastAsia="en-GB"/>
        </w:rPr>
      </w:pPr>
    </w:p>
    <w:p w14:paraId="1B4A3D65" w14:textId="77777777" w:rsidR="00DC0F57" w:rsidRPr="00EB410E" w:rsidRDefault="00DC0F57" w:rsidP="00AF111F">
      <w:pPr>
        <w:jc w:val="both"/>
        <w:rPr>
          <w:lang w:val="en-GB"/>
        </w:rPr>
      </w:pPr>
    </w:p>
    <w:sectPr w:rsidR="00DC0F57"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CD00D" w14:textId="77777777" w:rsidR="00700794" w:rsidRDefault="00700794" w:rsidP="00935D25">
      <w:pPr>
        <w:spacing w:after="0"/>
      </w:pPr>
      <w:r>
        <w:separator/>
      </w:r>
    </w:p>
  </w:endnote>
  <w:endnote w:type="continuationSeparator" w:id="0">
    <w:p w14:paraId="046DD020" w14:textId="77777777" w:rsidR="00700794" w:rsidRDefault="00700794" w:rsidP="00935D25">
      <w:pPr>
        <w:spacing w:after="0"/>
      </w:pPr>
      <w:r>
        <w:continuationSeparator/>
      </w:r>
    </w:p>
  </w:endnote>
  <w:endnote w:type="continuationNotice" w:id="1">
    <w:p w14:paraId="46A0C385" w14:textId="77777777" w:rsidR="00700794" w:rsidRDefault="00700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83F6C" w14:textId="77777777" w:rsidR="00700794" w:rsidRDefault="00700794" w:rsidP="00935D25">
      <w:pPr>
        <w:spacing w:after="0"/>
      </w:pPr>
      <w:r>
        <w:separator/>
      </w:r>
    </w:p>
  </w:footnote>
  <w:footnote w:type="continuationSeparator" w:id="0">
    <w:p w14:paraId="64BF2344" w14:textId="77777777" w:rsidR="00700794" w:rsidRDefault="00700794" w:rsidP="00935D25">
      <w:pPr>
        <w:spacing w:after="0"/>
      </w:pPr>
      <w:r>
        <w:continuationSeparator/>
      </w:r>
    </w:p>
  </w:footnote>
  <w:footnote w:type="continuationNotice" w:id="1">
    <w:p w14:paraId="35B43754" w14:textId="77777777" w:rsidR="00700794" w:rsidRDefault="007007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B29B6"/>
    <w:multiLevelType w:val="hybridMultilevel"/>
    <w:tmpl w:val="F1DACB4C"/>
    <w:lvl w:ilvl="0" w:tplc="71A2D4E8">
      <w:start w:val="1"/>
      <w:numFmt w:val="decimal"/>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76133"/>
    <w:multiLevelType w:val="hybridMultilevel"/>
    <w:tmpl w:val="45265282"/>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590623"/>
    <w:multiLevelType w:val="hybridMultilevel"/>
    <w:tmpl w:val="268654D2"/>
    <w:lvl w:ilvl="0" w:tplc="A644049C">
      <w:start w:val="1"/>
      <w:numFmt w:val="decimal"/>
      <w:lvlText w:val="%1."/>
      <w:lvlJc w:val="left"/>
      <w:pPr>
        <w:ind w:left="720" w:hanging="360"/>
      </w:pPr>
      <w:rPr>
        <w:rFonts w:ascii="Times New Roman" w:hAnsi="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5251E"/>
    <w:multiLevelType w:val="hybridMultilevel"/>
    <w:tmpl w:val="313661BE"/>
    <w:lvl w:ilvl="0" w:tplc="9188804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512049"/>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027538"/>
    <w:multiLevelType w:val="hybridMultilevel"/>
    <w:tmpl w:val="AC84E336"/>
    <w:lvl w:ilvl="0" w:tplc="C110F7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156F69"/>
    <w:multiLevelType w:val="hybridMultilevel"/>
    <w:tmpl w:val="DEB42714"/>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AF40A5"/>
    <w:multiLevelType w:val="hybridMultilevel"/>
    <w:tmpl w:val="52AAC11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72981"/>
    <w:multiLevelType w:val="hybridMultilevel"/>
    <w:tmpl w:val="87CC159C"/>
    <w:lvl w:ilvl="0" w:tplc="55506740">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24130"/>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0A6314"/>
    <w:multiLevelType w:val="hybridMultilevel"/>
    <w:tmpl w:val="BFAA7472"/>
    <w:lvl w:ilvl="0" w:tplc="067E813A">
      <w:start w:val="1"/>
      <w:numFmt w:val="lowerRoman"/>
      <w:lvlText w:val="%1."/>
      <w:lvlJc w:val="left"/>
      <w:pPr>
        <w:ind w:left="1080" w:hanging="720"/>
      </w:pPr>
      <w:rPr>
        <w:rFonts w:hint="default"/>
      </w:rPr>
    </w:lvl>
    <w:lvl w:ilvl="1" w:tplc="92CE64DC">
      <w:start w:val="1"/>
      <w:numFmt w:val="decimal"/>
      <w:lvlText w:val="%2."/>
      <w:lvlJc w:val="left"/>
      <w:pPr>
        <w:ind w:left="1848" w:hanging="76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76A84"/>
    <w:multiLevelType w:val="hybridMultilevel"/>
    <w:tmpl w:val="8B5837B0"/>
    <w:lvl w:ilvl="0" w:tplc="71A2D4E8">
      <w:start w:val="1"/>
      <w:numFmt w:val="decimal"/>
      <w:lvlText w:val="%1)"/>
      <w:lvlJc w:val="left"/>
      <w:pPr>
        <w:ind w:left="720" w:hanging="360"/>
      </w:pPr>
      <w:rPr>
        <w:rFonts w:hint="default"/>
        <w:b/>
        <w:i w:val="0"/>
        <w:sz w:val="20"/>
      </w:rPr>
    </w:lvl>
    <w:lvl w:ilvl="1" w:tplc="39A4AEAC">
      <w:start w:val="1"/>
      <w:numFmt w:val="lowerLetter"/>
      <w:lvlText w:val="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5"/>
  </w:num>
  <w:num w:numId="5">
    <w:abstractNumId w:val="17"/>
  </w:num>
  <w:num w:numId="6">
    <w:abstractNumId w:val="22"/>
  </w:num>
  <w:num w:numId="7">
    <w:abstractNumId w:val="2"/>
  </w:num>
  <w:num w:numId="8">
    <w:abstractNumId w:val="11"/>
  </w:num>
  <w:num w:numId="9">
    <w:abstractNumId w:val="8"/>
  </w:num>
  <w:num w:numId="10">
    <w:abstractNumId w:val="0"/>
  </w:num>
  <w:num w:numId="11">
    <w:abstractNumId w:val="16"/>
  </w:num>
  <w:num w:numId="12">
    <w:abstractNumId w:val="18"/>
  </w:num>
  <w:num w:numId="13">
    <w:abstractNumId w:val="7"/>
  </w:num>
  <w:num w:numId="14">
    <w:abstractNumId w:val="14"/>
  </w:num>
  <w:num w:numId="15">
    <w:abstractNumId w:val="20"/>
  </w:num>
  <w:num w:numId="16">
    <w:abstractNumId w:val="27"/>
  </w:num>
  <w:num w:numId="17">
    <w:abstractNumId w:val="12"/>
  </w:num>
  <w:num w:numId="18">
    <w:abstractNumId w:val="21"/>
  </w:num>
  <w:num w:numId="19">
    <w:abstractNumId w:val="28"/>
  </w:num>
  <w:num w:numId="20">
    <w:abstractNumId w:val="19"/>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1"/>
  </w:num>
  <w:num w:numId="23">
    <w:abstractNumId w:val="11"/>
  </w:num>
  <w:num w:numId="24">
    <w:abstractNumId w:val="11"/>
  </w:num>
  <w:num w:numId="25">
    <w:abstractNumId w:val="11"/>
  </w:num>
  <w:num w:numId="26">
    <w:abstractNumId w:val="11"/>
  </w:num>
  <w:num w:numId="27">
    <w:abstractNumId w:val="15"/>
  </w:num>
  <w:num w:numId="28">
    <w:abstractNumId w:val="9"/>
  </w:num>
  <w:num w:numId="29">
    <w:abstractNumId w:val="23"/>
  </w:num>
  <w:num w:numId="30">
    <w:abstractNumId w:val="11"/>
  </w:num>
  <w:num w:numId="31">
    <w:abstractNumId w:val="4"/>
  </w:num>
  <w:num w:numId="32">
    <w:abstractNumId w:val="10"/>
  </w:num>
  <w:num w:numId="33">
    <w:abstractNumId w:val="6"/>
  </w:num>
  <w:num w:numId="34">
    <w:abstractNumId w:val="24"/>
  </w:num>
  <w:num w:numId="35">
    <w:abstractNumId w:val="3"/>
  </w:num>
  <w:num w:numId="36">
    <w:abstractNumId w:val="25"/>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CF"/>
    <w:rsid w:val="00023FDC"/>
    <w:rsid w:val="000301BC"/>
    <w:rsid w:val="00043A03"/>
    <w:rsid w:val="000453E7"/>
    <w:rsid w:val="0004648C"/>
    <w:rsid w:val="00070FA2"/>
    <w:rsid w:val="0008461E"/>
    <w:rsid w:val="00084C25"/>
    <w:rsid w:val="000864DA"/>
    <w:rsid w:val="00095146"/>
    <w:rsid w:val="00095FCF"/>
    <w:rsid w:val="000B0DAE"/>
    <w:rsid w:val="000C375A"/>
    <w:rsid w:val="000C5822"/>
    <w:rsid w:val="000C6FC7"/>
    <w:rsid w:val="000C7B79"/>
    <w:rsid w:val="000D2687"/>
    <w:rsid w:val="000D3E63"/>
    <w:rsid w:val="000E00B6"/>
    <w:rsid w:val="000E5702"/>
    <w:rsid w:val="0010365B"/>
    <w:rsid w:val="00103A6E"/>
    <w:rsid w:val="00105623"/>
    <w:rsid w:val="001069E2"/>
    <w:rsid w:val="00111296"/>
    <w:rsid w:val="00125CE0"/>
    <w:rsid w:val="00127002"/>
    <w:rsid w:val="00137C9A"/>
    <w:rsid w:val="0014117F"/>
    <w:rsid w:val="00142205"/>
    <w:rsid w:val="00153FA1"/>
    <w:rsid w:val="0015528F"/>
    <w:rsid w:val="00163F11"/>
    <w:rsid w:val="001712B5"/>
    <w:rsid w:val="001849BB"/>
    <w:rsid w:val="00193C5A"/>
    <w:rsid w:val="001A1632"/>
    <w:rsid w:val="001A50CF"/>
    <w:rsid w:val="001A71A1"/>
    <w:rsid w:val="001B47FA"/>
    <w:rsid w:val="001B6175"/>
    <w:rsid w:val="001C2CCD"/>
    <w:rsid w:val="001C6B69"/>
    <w:rsid w:val="001D136B"/>
    <w:rsid w:val="001D63A6"/>
    <w:rsid w:val="001D66F9"/>
    <w:rsid w:val="001D7F36"/>
    <w:rsid w:val="001E33DA"/>
    <w:rsid w:val="0020061D"/>
    <w:rsid w:val="00215870"/>
    <w:rsid w:val="002239FB"/>
    <w:rsid w:val="0022680A"/>
    <w:rsid w:val="00231B51"/>
    <w:rsid w:val="002379D0"/>
    <w:rsid w:val="0024112A"/>
    <w:rsid w:val="00241417"/>
    <w:rsid w:val="002530BA"/>
    <w:rsid w:val="002816B1"/>
    <w:rsid w:val="00284002"/>
    <w:rsid w:val="002842AB"/>
    <w:rsid w:val="00284480"/>
    <w:rsid w:val="00290FD7"/>
    <w:rsid w:val="002943B5"/>
    <w:rsid w:val="0029553F"/>
    <w:rsid w:val="00297EF1"/>
    <w:rsid w:val="002B1B69"/>
    <w:rsid w:val="002B468F"/>
    <w:rsid w:val="002C0EA6"/>
    <w:rsid w:val="002E0C57"/>
    <w:rsid w:val="002E4F53"/>
    <w:rsid w:val="002F1C7B"/>
    <w:rsid w:val="00302D1F"/>
    <w:rsid w:val="0031093B"/>
    <w:rsid w:val="003157D8"/>
    <w:rsid w:val="003161CE"/>
    <w:rsid w:val="003202B7"/>
    <w:rsid w:val="00327325"/>
    <w:rsid w:val="00334304"/>
    <w:rsid w:val="00341072"/>
    <w:rsid w:val="00343313"/>
    <w:rsid w:val="00350FD1"/>
    <w:rsid w:val="00351098"/>
    <w:rsid w:val="003545FE"/>
    <w:rsid w:val="00356B17"/>
    <w:rsid w:val="003617F7"/>
    <w:rsid w:val="00363639"/>
    <w:rsid w:val="00393F1E"/>
    <w:rsid w:val="00395E4E"/>
    <w:rsid w:val="003A6AE5"/>
    <w:rsid w:val="003B0DE4"/>
    <w:rsid w:val="003B2CD5"/>
    <w:rsid w:val="003C0156"/>
    <w:rsid w:val="003C5A7B"/>
    <w:rsid w:val="003C615C"/>
    <w:rsid w:val="003D5B2C"/>
    <w:rsid w:val="003D5DC5"/>
    <w:rsid w:val="003F319B"/>
    <w:rsid w:val="003F744E"/>
    <w:rsid w:val="00401DF5"/>
    <w:rsid w:val="00410127"/>
    <w:rsid w:val="00413243"/>
    <w:rsid w:val="00415D84"/>
    <w:rsid w:val="004208F1"/>
    <w:rsid w:val="0042215A"/>
    <w:rsid w:val="00423BFD"/>
    <w:rsid w:val="00427BEC"/>
    <w:rsid w:val="00431EC4"/>
    <w:rsid w:val="00431F3E"/>
    <w:rsid w:val="00432E6C"/>
    <w:rsid w:val="004366AE"/>
    <w:rsid w:val="00441A82"/>
    <w:rsid w:val="00450691"/>
    <w:rsid w:val="00456E6B"/>
    <w:rsid w:val="0046055F"/>
    <w:rsid w:val="00460CF3"/>
    <w:rsid w:val="00466831"/>
    <w:rsid w:val="00474629"/>
    <w:rsid w:val="00481DCF"/>
    <w:rsid w:val="00483BE7"/>
    <w:rsid w:val="0048483D"/>
    <w:rsid w:val="00487E47"/>
    <w:rsid w:val="00490657"/>
    <w:rsid w:val="00490982"/>
    <w:rsid w:val="00493687"/>
    <w:rsid w:val="00496B45"/>
    <w:rsid w:val="004B179D"/>
    <w:rsid w:val="004B4E2E"/>
    <w:rsid w:val="004B77E2"/>
    <w:rsid w:val="004C3005"/>
    <w:rsid w:val="004C6014"/>
    <w:rsid w:val="004E053C"/>
    <w:rsid w:val="004E550A"/>
    <w:rsid w:val="004F1679"/>
    <w:rsid w:val="00507473"/>
    <w:rsid w:val="00507721"/>
    <w:rsid w:val="00513731"/>
    <w:rsid w:val="0051416A"/>
    <w:rsid w:val="00515BC3"/>
    <w:rsid w:val="0053425B"/>
    <w:rsid w:val="0053607F"/>
    <w:rsid w:val="005429EE"/>
    <w:rsid w:val="005562F3"/>
    <w:rsid w:val="00573C0D"/>
    <w:rsid w:val="00576836"/>
    <w:rsid w:val="00581D40"/>
    <w:rsid w:val="0058377A"/>
    <w:rsid w:val="00584B0D"/>
    <w:rsid w:val="00585B65"/>
    <w:rsid w:val="00591504"/>
    <w:rsid w:val="005B1874"/>
    <w:rsid w:val="005B374D"/>
    <w:rsid w:val="005B409C"/>
    <w:rsid w:val="005B656C"/>
    <w:rsid w:val="005C195E"/>
    <w:rsid w:val="005C2A77"/>
    <w:rsid w:val="005D0059"/>
    <w:rsid w:val="005D11BF"/>
    <w:rsid w:val="005D334E"/>
    <w:rsid w:val="005E1E74"/>
    <w:rsid w:val="005E5E8D"/>
    <w:rsid w:val="005E7250"/>
    <w:rsid w:val="005F0941"/>
    <w:rsid w:val="00603E61"/>
    <w:rsid w:val="00607A3C"/>
    <w:rsid w:val="0061460D"/>
    <w:rsid w:val="00627C07"/>
    <w:rsid w:val="006404DB"/>
    <w:rsid w:val="00643F5B"/>
    <w:rsid w:val="00646913"/>
    <w:rsid w:val="0065472B"/>
    <w:rsid w:val="006664F7"/>
    <w:rsid w:val="006734F9"/>
    <w:rsid w:val="006769DB"/>
    <w:rsid w:val="006839A7"/>
    <w:rsid w:val="0069241F"/>
    <w:rsid w:val="006A36F7"/>
    <w:rsid w:val="006A4AFA"/>
    <w:rsid w:val="006B6C91"/>
    <w:rsid w:val="006B7EB2"/>
    <w:rsid w:val="006C6D8B"/>
    <w:rsid w:val="006E1A43"/>
    <w:rsid w:val="006F0243"/>
    <w:rsid w:val="006F0C93"/>
    <w:rsid w:val="006F28FA"/>
    <w:rsid w:val="006F52AF"/>
    <w:rsid w:val="00700794"/>
    <w:rsid w:val="00702959"/>
    <w:rsid w:val="00722AAD"/>
    <w:rsid w:val="00723F24"/>
    <w:rsid w:val="007252A4"/>
    <w:rsid w:val="00726CD7"/>
    <w:rsid w:val="0073362B"/>
    <w:rsid w:val="007342AA"/>
    <w:rsid w:val="007415D6"/>
    <w:rsid w:val="00742016"/>
    <w:rsid w:val="00746BD0"/>
    <w:rsid w:val="007526F5"/>
    <w:rsid w:val="00755DB1"/>
    <w:rsid w:val="007605DB"/>
    <w:rsid w:val="007628CD"/>
    <w:rsid w:val="00772B59"/>
    <w:rsid w:val="007730A1"/>
    <w:rsid w:val="0077488D"/>
    <w:rsid w:val="00777337"/>
    <w:rsid w:val="00797B38"/>
    <w:rsid w:val="007A4C44"/>
    <w:rsid w:val="007B0485"/>
    <w:rsid w:val="007B1843"/>
    <w:rsid w:val="007B5A90"/>
    <w:rsid w:val="007B76CD"/>
    <w:rsid w:val="007C2882"/>
    <w:rsid w:val="007C6038"/>
    <w:rsid w:val="007D50C7"/>
    <w:rsid w:val="007D5AF3"/>
    <w:rsid w:val="007E0609"/>
    <w:rsid w:val="007E1C9E"/>
    <w:rsid w:val="007E3277"/>
    <w:rsid w:val="007F1AA0"/>
    <w:rsid w:val="007F4E67"/>
    <w:rsid w:val="008003AE"/>
    <w:rsid w:val="00815E8A"/>
    <w:rsid w:val="00822DBB"/>
    <w:rsid w:val="008359E9"/>
    <w:rsid w:val="00852485"/>
    <w:rsid w:val="00852A9F"/>
    <w:rsid w:val="00862088"/>
    <w:rsid w:val="008750AA"/>
    <w:rsid w:val="00885A07"/>
    <w:rsid w:val="00887C0D"/>
    <w:rsid w:val="00891AE4"/>
    <w:rsid w:val="00895FD1"/>
    <w:rsid w:val="00896F3A"/>
    <w:rsid w:val="008A3317"/>
    <w:rsid w:val="008A39A9"/>
    <w:rsid w:val="008B18D5"/>
    <w:rsid w:val="008B56A6"/>
    <w:rsid w:val="008C41E4"/>
    <w:rsid w:val="008E2A3C"/>
    <w:rsid w:val="008E64D8"/>
    <w:rsid w:val="008E671B"/>
    <w:rsid w:val="009050E3"/>
    <w:rsid w:val="00914E32"/>
    <w:rsid w:val="0091504B"/>
    <w:rsid w:val="009334FD"/>
    <w:rsid w:val="00935D25"/>
    <w:rsid w:val="00940CEC"/>
    <w:rsid w:val="00954351"/>
    <w:rsid w:val="00964E49"/>
    <w:rsid w:val="009718F0"/>
    <w:rsid w:val="00985717"/>
    <w:rsid w:val="00992CD8"/>
    <w:rsid w:val="009A6A96"/>
    <w:rsid w:val="009B1C63"/>
    <w:rsid w:val="009B5BFC"/>
    <w:rsid w:val="009C28F4"/>
    <w:rsid w:val="009C3416"/>
    <w:rsid w:val="009C53C9"/>
    <w:rsid w:val="009D2C1B"/>
    <w:rsid w:val="009F38DF"/>
    <w:rsid w:val="00A049DE"/>
    <w:rsid w:val="00A0670F"/>
    <w:rsid w:val="00A21A43"/>
    <w:rsid w:val="00A34408"/>
    <w:rsid w:val="00A42D80"/>
    <w:rsid w:val="00A4565C"/>
    <w:rsid w:val="00A732A1"/>
    <w:rsid w:val="00A733D0"/>
    <w:rsid w:val="00A839CE"/>
    <w:rsid w:val="00A844BC"/>
    <w:rsid w:val="00A876FD"/>
    <w:rsid w:val="00A907C1"/>
    <w:rsid w:val="00AA189E"/>
    <w:rsid w:val="00AC5F5D"/>
    <w:rsid w:val="00AD0208"/>
    <w:rsid w:val="00AD078C"/>
    <w:rsid w:val="00AE4382"/>
    <w:rsid w:val="00AE7712"/>
    <w:rsid w:val="00AF111F"/>
    <w:rsid w:val="00AF2E5A"/>
    <w:rsid w:val="00B00414"/>
    <w:rsid w:val="00B0396F"/>
    <w:rsid w:val="00B03C0C"/>
    <w:rsid w:val="00B17E8C"/>
    <w:rsid w:val="00B25465"/>
    <w:rsid w:val="00B25C66"/>
    <w:rsid w:val="00B304C9"/>
    <w:rsid w:val="00B32B56"/>
    <w:rsid w:val="00B40D3B"/>
    <w:rsid w:val="00B5633D"/>
    <w:rsid w:val="00B6455B"/>
    <w:rsid w:val="00B80962"/>
    <w:rsid w:val="00B8400F"/>
    <w:rsid w:val="00BA2C70"/>
    <w:rsid w:val="00BA6122"/>
    <w:rsid w:val="00BB4771"/>
    <w:rsid w:val="00BD68F5"/>
    <w:rsid w:val="00BE18E2"/>
    <w:rsid w:val="00BE59E4"/>
    <w:rsid w:val="00C058D9"/>
    <w:rsid w:val="00C05D9B"/>
    <w:rsid w:val="00C11F11"/>
    <w:rsid w:val="00C12A2C"/>
    <w:rsid w:val="00C320FC"/>
    <w:rsid w:val="00C363BD"/>
    <w:rsid w:val="00C37696"/>
    <w:rsid w:val="00C453AD"/>
    <w:rsid w:val="00C45CE5"/>
    <w:rsid w:val="00C67049"/>
    <w:rsid w:val="00C67BFB"/>
    <w:rsid w:val="00C76B28"/>
    <w:rsid w:val="00C86BDF"/>
    <w:rsid w:val="00C9053D"/>
    <w:rsid w:val="00C96E8D"/>
    <w:rsid w:val="00CB2B3B"/>
    <w:rsid w:val="00CB371B"/>
    <w:rsid w:val="00CC1A0F"/>
    <w:rsid w:val="00CD75B2"/>
    <w:rsid w:val="00CF58A8"/>
    <w:rsid w:val="00CF6A01"/>
    <w:rsid w:val="00D00CA0"/>
    <w:rsid w:val="00D018B4"/>
    <w:rsid w:val="00D16713"/>
    <w:rsid w:val="00D27FAE"/>
    <w:rsid w:val="00D30B01"/>
    <w:rsid w:val="00D36D94"/>
    <w:rsid w:val="00D3701D"/>
    <w:rsid w:val="00D54B33"/>
    <w:rsid w:val="00D57BCC"/>
    <w:rsid w:val="00D60E40"/>
    <w:rsid w:val="00D7085E"/>
    <w:rsid w:val="00D73C4A"/>
    <w:rsid w:val="00D74689"/>
    <w:rsid w:val="00D83F8E"/>
    <w:rsid w:val="00D85C44"/>
    <w:rsid w:val="00D85FC7"/>
    <w:rsid w:val="00D8613F"/>
    <w:rsid w:val="00D93F81"/>
    <w:rsid w:val="00DA5F98"/>
    <w:rsid w:val="00DB332A"/>
    <w:rsid w:val="00DB614A"/>
    <w:rsid w:val="00DC0F57"/>
    <w:rsid w:val="00DC3BAF"/>
    <w:rsid w:val="00DD04B9"/>
    <w:rsid w:val="00DD6BD4"/>
    <w:rsid w:val="00DE0276"/>
    <w:rsid w:val="00DE2F96"/>
    <w:rsid w:val="00DE4079"/>
    <w:rsid w:val="00DE6C8F"/>
    <w:rsid w:val="00DF4C32"/>
    <w:rsid w:val="00DF7E0D"/>
    <w:rsid w:val="00E044AB"/>
    <w:rsid w:val="00E11CE7"/>
    <w:rsid w:val="00E3759D"/>
    <w:rsid w:val="00E44576"/>
    <w:rsid w:val="00E47B73"/>
    <w:rsid w:val="00E64D6E"/>
    <w:rsid w:val="00E75D74"/>
    <w:rsid w:val="00E77D2B"/>
    <w:rsid w:val="00E84302"/>
    <w:rsid w:val="00E864EF"/>
    <w:rsid w:val="00E90140"/>
    <w:rsid w:val="00EA3782"/>
    <w:rsid w:val="00EB3E4D"/>
    <w:rsid w:val="00EB410E"/>
    <w:rsid w:val="00EB44CE"/>
    <w:rsid w:val="00EB65D3"/>
    <w:rsid w:val="00EC69D9"/>
    <w:rsid w:val="00ED0D24"/>
    <w:rsid w:val="00ED5A09"/>
    <w:rsid w:val="00ED7D99"/>
    <w:rsid w:val="00EE1870"/>
    <w:rsid w:val="00EE4262"/>
    <w:rsid w:val="00EF036B"/>
    <w:rsid w:val="00EF7053"/>
    <w:rsid w:val="00F0683F"/>
    <w:rsid w:val="00F115E0"/>
    <w:rsid w:val="00F139DA"/>
    <w:rsid w:val="00F34A7E"/>
    <w:rsid w:val="00F355FB"/>
    <w:rsid w:val="00F658DB"/>
    <w:rsid w:val="00F6776C"/>
    <w:rsid w:val="00F67EB2"/>
    <w:rsid w:val="00F73A55"/>
    <w:rsid w:val="00F744EB"/>
    <w:rsid w:val="00F74BE6"/>
    <w:rsid w:val="00F77663"/>
    <w:rsid w:val="00F84281"/>
    <w:rsid w:val="00F85E5F"/>
    <w:rsid w:val="00FA0AD8"/>
    <w:rsid w:val="00FA2944"/>
    <w:rsid w:val="00FA304E"/>
    <w:rsid w:val="00FC0E10"/>
    <w:rsid w:val="00FD3A41"/>
    <w:rsid w:val="00FD734E"/>
    <w:rsid w:val="00FE4D83"/>
    <w:rsid w:val="00FF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10"/>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11"/>
      </w:numPr>
      <w:contextualSpacing/>
    </w:p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50FD1"/>
    <w:pPr>
      <w:ind w:left="720"/>
      <w:contextualSpacing/>
    </w:p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basedOn w:val="Normal"/>
    <w:next w:val="Normal"/>
    <w:uiPriority w:val="35"/>
    <w:unhideWhenUsed/>
    <w:qFormat/>
    <w:rsid w:val="006F024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11174a92a50a8c8bbb301dfe506a79f3">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702e33203d61da42f6c32786f6b402f3"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A8FE7-A725-40DC-8EDD-73611AB1DAE8}">
  <ds:schemaRefs>
    <ds:schemaRef ds:uri="http://schemas.microsoft.com/sharepoint/v3/contenttype/forms"/>
  </ds:schemaRefs>
</ds:datastoreItem>
</file>

<file path=customXml/itemProps2.xml><?xml version="1.0" encoding="utf-8"?>
<ds:datastoreItem xmlns:ds="http://schemas.openxmlformats.org/officeDocument/2006/customXml" ds:itemID="{B947BB14-A02A-49DE-A368-F1069FD50583}">
  <ds:schemaRefs>
    <ds:schemaRef ds:uri="http://schemas.openxmlformats.org/officeDocument/2006/bibliography"/>
  </ds:schemaRefs>
</ds:datastoreItem>
</file>

<file path=customXml/itemProps3.xml><?xml version="1.0" encoding="utf-8"?>
<ds:datastoreItem xmlns:ds="http://schemas.openxmlformats.org/officeDocument/2006/customXml" ds:itemID="{8A5FA999-4BAC-4DF6-9395-7DC675E4B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5BF3C-3D93-4769-94FC-10EF98CAD13D}">
  <ds:schemaRefs>
    <ds:schemaRef ds:uri="http://purl.org/dc/dcmitype/"/>
    <ds:schemaRef ds:uri="a915fe38-2618-47b6-8303-829fb71466d5"/>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23d77754-4ccc-4c57-9291-cab09e81894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cp:revision>
  <dcterms:created xsi:type="dcterms:W3CDTF">2021-05-11T02:38:00Z</dcterms:created>
  <dcterms:modified xsi:type="dcterms:W3CDTF">2021-05-11T02:47:00Z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