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R2-2101918</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p>
    <w:p>
      <w:pPr>
        <w:overflowPunct w:val="0"/>
        <w:autoSpaceDE w:val="0"/>
        <w:autoSpaceDN w:val="0"/>
        <w:adjustRightInd w:val="0"/>
        <w:snapToGrid w:val="0"/>
        <w:ind w:left="2100" w:hanging="2100"/>
        <w:jc w:val="left"/>
        <w:textAlignment w:val="baseline"/>
        <w:rPr>
          <w:rFonts w:hint="default"/>
          <w:b/>
          <w:sz w:val="24"/>
          <w:lang w:val="en-US"/>
        </w:rPr>
      </w:pPr>
      <w:r>
        <w:rPr>
          <w:b/>
          <w:sz w:val="24"/>
        </w:rPr>
        <w:t xml:space="preserve">Title: </w:t>
      </w:r>
      <w:r>
        <w:rPr>
          <w:b/>
          <w:sz w:val="24"/>
        </w:rPr>
        <w:tab/>
      </w:r>
      <w:bookmarkStart w:id="1" w:name="OLE_LINK5"/>
      <w:r>
        <w:rPr>
          <w:rFonts w:hint="eastAsia"/>
          <w:b/>
          <w:sz w:val="24"/>
          <w:lang w:val="en-US" w:eastAsia="zh-CN"/>
        </w:rPr>
        <w:t xml:space="preserve">Discussion on </w:t>
      </w:r>
      <w:bookmarkEnd w:id="1"/>
      <w:r>
        <w:rPr>
          <w:rFonts w:hint="eastAsia"/>
          <w:b/>
          <w:sz w:val="24"/>
          <w:lang w:val="en-US" w:eastAsia="zh-CN"/>
        </w:rPr>
        <w:t>NR QoE continuity during handover</w:t>
      </w:r>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2" w:name="Source"/>
      <w:bookmarkEnd w:id="2"/>
      <w:r>
        <w:rPr>
          <w:rFonts w:hint="eastAsia"/>
          <w:b/>
          <w:sz w:val="24"/>
          <w:lang w:val="en-US" w:eastAsia="zh-CN"/>
        </w:rPr>
        <w:tab/>
      </w:r>
      <w:r>
        <w:rPr>
          <w:rFonts w:hint="eastAsia"/>
          <w:b/>
          <w:sz w:val="24"/>
          <w:lang w:val="en-US" w:eastAsia="zh-CN"/>
        </w:rPr>
        <w:t>8.14</w:t>
      </w:r>
    </w:p>
    <w:p>
      <w:pPr>
        <w:overflowPunct w:val="0"/>
        <w:autoSpaceDE w:val="0"/>
        <w:autoSpaceDN w:val="0"/>
        <w:adjustRightInd w:val="0"/>
        <w:snapToGrid w:val="0"/>
        <w:jc w:val="left"/>
        <w:textAlignment w:val="baseline"/>
        <w:rPr>
          <w:b/>
          <w:sz w:val="24"/>
        </w:rPr>
      </w:pPr>
      <w:r>
        <w:rPr>
          <w:b/>
          <w:sz w:val="24"/>
        </w:rPr>
        <w:t>Document for:</w:t>
      </w:r>
      <w:bookmarkStart w:id="3" w:name="DocumentFor"/>
      <w:bookmarkEnd w:id="3"/>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4" w:name="_Toc18403966"/>
      <w:bookmarkStart w:id="5" w:name="_Toc18404533"/>
      <w:bookmarkStart w:id="6" w:name="_Toc18413600"/>
      <w:r>
        <w:rPr>
          <w:rFonts w:cs="Arial"/>
          <w:b w:val="0"/>
          <w:bCs w:val="0"/>
          <w:kern w:val="0"/>
          <w:sz w:val="32"/>
          <w:szCs w:val="36"/>
        </w:rPr>
        <w:t>Introduction</w:t>
      </w:r>
      <w:bookmarkEnd w:id="4"/>
      <w:bookmarkEnd w:id="5"/>
      <w:bookmarkEnd w:id="6"/>
    </w:p>
    <w:p>
      <w:pPr>
        <w:rPr>
          <w:lang w:val="en-US" w:eastAsia="zh-CN"/>
        </w:rPr>
      </w:pPr>
      <w:r>
        <w:rPr>
          <w:rFonts w:hint="eastAsia"/>
          <w:lang w:val="en-US" w:eastAsia="zh-CN"/>
        </w:rPr>
        <w:t>The WI on NR QoE has been approved in RAN#86 (RP-193256) [1], and the following objectives have been agreed in WID:</w:t>
      </w:r>
    </w:p>
    <w:p>
      <w:pPr>
        <w:pStyle w:val="53"/>
        <w:spacing w:before="75" w:beforeAutospacing="0" w:after="75" w:afterAutospacing="0" w:line="315" w:lineRule="atLeast"/>
        <w:rPr>
          <w:lang w:val="en-US" w:eastAsia="zh-CN"/>
        </w:rPr>
      </w:pPr>
      <w:r>
        <w:rPr>
          <w:rFonts w:hint="eastAsia"/>
          <w:lang w:val="en-US" w:eastAsia="zh-CN"/>
        </w:rPr>
        <w:t>------------------------------------ objectives in RP-193256 ----------------------------------</w:t>
      </w:r>
    </w:p>
    <w:p>
      <w:pPr>
        <w:numPr>
          <w:ilvl w:val="0"/>
          <w:numId w:val="6"/>
        </w:numPr>
        <w:tabs>
          <w:tab w:val="left" w:pos="720"/>
        </w:tabs>
        <w:rPr>
          <w:rFonts w:eastAsia="Times New Roman"/>
          <w:color w:val="000000"/>
          <w:lang w:val="en-US" w:eastAsia="zh-CN"/>
        </w:rPr>
      </w:pPr>
      <w:r>
        <w:rPr>
          <w:rFonts w:eastAsia="Times New Roman"/>
          <w:color w:val="000000"/>
          <w:lang w:val="en-US" w:eastAsia="zh-CN"/>
        </w:rPr>
        <w:t>Study the potential RAN side solution for supporting a generic framework for triggering, configuring, measurement collection and reporting for various 5G use cases. [RAN3, RAN2]</w:t>
      </w:r>
    </w:p>
    <w:p>
      <w:pPr>
        <w:numPr>
          <w:ilvl w:val="1"/>
          <w:numId w:val="6"/>
        </w:numPr>
        <w:tabs>
          <w:tab w:val="left" w:pos="2880"/>
        </w:tabs>
        <w:rPr>
          <w:rFonts w:eastAsia="Times New Roman"/>
          <w:color w:val="000000"/>
          <w:lang w:val="en-US" w:eastAsia="zh-CN"/>
        </w:rPr>
      </w:pPr>
      <w:r>
        <w:rPr>
          <w:rFonts w:eastAsia="Times New Roman"/>
          <w:color w:val="000000"/>
          <w:lang w:val="en-US" w:eastAsia="zh-CN"/>
        </w:rPr>
        <w:t xml:space="preserve">Identify and study the potential solutions (e.g., LTE based solution, reusing MDT mechanism) for configuration and reporting of UE KPI information for certain services (e.g. latency). </w:t>
      </w:r>
    </w:p>
    <w:p>
      <w:pPr>
        <w:numPr>
          <w:ilvl w:val="0"/>
          <w:numId w:val="6"/>
        </w:numPr>
        <w:rPr>
          <w:rFonts w:eastAsia="等线"/>
          <w:color w:val="000000"/>
          <w:lang w:val="en-US" w:eastAsia="zh-CN"/>
        </w:rPr>
      </w:pPr>
      <w:r>
        <w:rPr>
          <w:rFonts w:eastAsia="等线"/>
          <w:color w:val="000000"/>
          <w:lang w:val="en-US" w:eastAsia="zh-CN"/>
        </w:rPr>
        <w:t>Study the potential interface impact and solution</w:t>
      </w:r>
      <w:bookmarkStart w:id="8" w:name="_GoBack"/>
      <w:bookmarkEnd w:id="8"/>
      <w:r>
        <w:rPr>
          <w:rFonts w:eastAsia="等线"/>
          <w:color w:val="000000"/>
          <w:lang w:val="en-US" w:eastAsia="zh-CN"/>
        </w:rPr>
        <w:t xml:space="preserve">s (e.g. F1, NG, Xn interface) to support </w:t>
      </w:r>
      <w:r>
        <w:rPr>
          <w:rFonts w:eastAsia="Times New Roman"/>
          <w:color w:val="000000"/>
          <w:lang w:val="en-US" w:eastAsia="zh-CN"/>
        </w:rPr>
        <w:t>NR QoE functionality.</w:t>
      </w:r>
      <w:r>
        <w:rPr>
          <w:rFonts w:eastAsia="等线"/>
          <w:color w:val="000000"/>
          <w:lang w:val="en-US" w:eastAsia="zh-CN"/>
        </w:rPr>
        <w:t xml:space="preserve"> [RAN3]</w:t>
      </w:r>
    </w:p>
    <w:p>
      <w:pPr>
        <w:pStyle w:val="53"/>
        <w:spacing w:before="75" w:beforeAutospacing="0" w:after="75" w:afterAutospacing="0" w:line="315" w:lineRule="atLeast"/>
        <w:rPr>
          <w:lang w:val="en-US" w:eastAsia="zh-CN"/>
        </w:rPr>
      </w:pPr>
      <w:r>
        <w:rPr>
          <w:rFonts w:eastAsia="宋体" w:cs="Arial"/>
          <w:color w:val="000000"/>
          <w:sz w:val="21"/>
          <w:lang w:val="en-US" w:eastAsia="zh-CN"/>
        </w:rPr>
        <w:t>.</w:t>
      </w:r>
      <w:r>
        <w:rPr>
          <w:rFonts w:hint="eastAsia"/>
          <w:lang w:val="en-US" w:eastAsia="zh-CN"/>
        </w:rPr>
        <w:t>------------------------------------ objectives in RP-193256 ----------------------------------</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Based on the objectives above, the intention of the contribution is to share our views on the Rel-17 NR QoE continuity during handover.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Background - QoE continuity in LTE</w:t>
      </w:r>
    </w:p>
    <w:p>
      <w:pPr>
        <w:rPr>
          <w:rFonts w:hint="eastAsia" w:eastAsia="宋体"/>
          <w:lang w:val="en-US" w:eastAsia="zh-CN"/>
        </w:rPr>
      </w:pPr>
      <w:r>
        <w:rPr>
          <w:rFonts w:hint="eastAsia" w:eastAsia="宋体"/>
          <w:lang w:val="en-US" w:eastAsia="zh-CN"/>
        </w:rPr>
        <w:t>Currently, the LTE mechanism of management based QoE continuity is defined in TS 28.405[2]. The call flow of the QoE continuity during handover is shown below:</w:t>
      </w:r>
    </w:p>
    <w:p>
      <w:pPr>
        <w:jc w:val="center"/>
        <w:rPr>
          <w:rFonts w:hint="default" w:eastAsia="宋体"/>
          <w:lang w:val="en-US" w:eastAsia="zh-CN"/>
        </w:rPr>
      </w:pPr>
      <w:r>
        <w:drawing>
          <wp:inline distT="0" distB="0" distL="114300" distR="114300">
            <wp:extent cx="7465695" cy="2989580"/>
            <wp:effectExtent l="0" t="0" r="19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7465695" cy="2989580"/>
                    </a:xfrm>
                    <a:prstGeom prst="rect">
                      <a:avLst/>
                    </a:prstGeom>
                    <a:noFill/>
                    <a:ln>
                      <a:noFill/>
                    </a:ln>
                  </pic:spPr>
                </pic:pic>
              </a:graphicData>
            </a:graphic>
          </wp:inline>
        </w:drawing>
      </w:r>
    </w:p>
    <w:p>
      <w:pPr>
        <w:jc w:val="center"/>
        <w:rPr>
          <w:rFonts w:hint="default" w:eastAsia="宋体"/>
          <w:b/>
          <w:bCs/>
          <w:lang w:val="en-US" w:eastAsia="zh-CN"/>
        </w:rPr>
      </w:pPr>
      <w:r>
        <w:rPr>
          <w:rFonts w:hint="eastAsia" w:eastAsia="宋体"/>
          <w:b/>
          <w:bCs/>
          <w:lang w:val="en-US" w:eastAsia="zh-CN"/>
        </w:rPr>
        <w:t>Figure 1: Handling of QMC activation in case of handover in LTE</w:t>
      </w:r>
    </w:p>
    <w:p>
      <w:pPr>
        <w:rPr>
          <w:rFonts w:hint="default" w:eastAsia="宋体"/>
          <w:b w:val="0"/>
          <w:bCs w:val="0"/>
          <w:lang w:val="en-US" w:eastAsia="zh-CN"/>
        </w:rPr>
      </w:pPr>
      <w:r>
        <w:rPr>
          <w:rFonts w:hint="eastAsia" w:eastAsia="宋体"/>
          <w:b w:val="0"/>
          <w:bCs w:val="0"/>
          <w:lang w:val="en-US" w:eastAsia="zh-CN"/>
        </w:rPr>
        <w:t>From the call flow above, it is clear that LTE supports the management based QoE continuity during intra-RAT handover.</w:t>
      </w:r>
    </w:p>
    <w:p>
      <w:pPr>
        <w:rPr>
          <w:rFonts w:hint="eastAsia" w:eastAsia="宋体"/>
          <w:lang w:val="en-US" w:eastAsia="zh-CN"/>
        </w:rPr>
      </w:pPr>
      <w:r>
        <w:rPr>
          <w:rFonts w:hint="eastAsia" w:eastAsia="宋体"/>
          <w:b/>
          <w:bCs/>
          <w:lang w:val="en-US" w:eastAsia="zh-CN"/>
        </w:rPr>
        <w:t>Observation 1: Management based QoE continuity during intra-RAT handover is supported in LTE.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Discussion in NR</w:t>
      </w:r>
    </w:p>
    <w:p>
      <w:pPr>
        <w:rPr>
          <w:rFonts w:hint="default" w:eastAsia="宋体" w:cs="Times New Roman"/>
          <w:lang w:val="en-US" w:eastAsia="zh-CN"/>
        </w:rPr>
      </w:pPr>
      <w:r>
        <w:rPr>
          <w:rFonts w:hint="eastAsia" w:eastAsia="宋体" w:cs="Times New Roman"/>
          <w:lang w:val="en-US" w:eastAsia="zh-CN"/>
        </w:rPr>
        <w:t xml:space="preserve">QoE continuity has already been supported in LTE. Considering the existing mechanism works </w:t>
      </w:r>
      <w:r>
        <w:rPr>
          <w:rFonts w:hint="eastAsia" w:eastAsia="宋体" w:cs="Times New Roman"/>
          <w:highlight w:val="none"/>
          <w:lang w:val="en-US" w:eastAsia="zh-CN"/>
        </w:rPr>
        <w:t xml:space="preserve">normally in LTE, there is no solid reason to reject the NR QoE continuity during handover. Hence, </w:t>
      </w:r>
      <w:r>
        <w:rPr>
          <w:rFonts w:hint="eastAsia" w:eastAsia="宋体" w:cs="Times New Roman"/>
          <w:lang w:val="en-US" w:eastAsia="zh-CN"/>
        </w:rPr>
        <w:t>we think RAN2 should consider that:</w:t>
      </w:r>
    </w:p>
    <w:p>
      <w:pPr>
        <w:rPr>
          <w:rFonts w:hint="eastAsia" w:eastAsia="宋体" w:cs="Times New Roman"/>
          <w:lang w:val="en-US" w:eastAsia="zh-CN"/>
        </w:rPr>
      </w:pPr>
      <w:r>
        <w:rPr>
          <w:rFonts w:hint="eastAsia" w:eastAsia="宋体" w:cs="Times New Roman"/>
          <w:b/>
          <w:bCs/>
          <w:lang w:val="en-US" w:eastAsia="zh-CN"/>
        </w:rPr>
        <w:t>Proposal 1: Both signalling based and management based QoE continuity during handover shall be supported in NR.</w:t>
      </w:r>
    </w:p>
    <w:p>
      <w:pPr>
        <w:rPr>
          <w:rFonts w:hint="default" w:eastAsia="宋体"/>
          <w:lang w:val="en-US" w:eastAsia="zh-CN"/>
        </w:rPr>
      </w:pPr>
      <w:r>
        <w:rPr>
          <w:rFonts w:hint="eastAsia" w:eastAsia="宋体"/>
          <w:lang w:val="en-US" w:eastAsia="zh-CN"/>
        </w:rPr>
        <w:t>From our point of view, two alternatives can be selected to solve the NR QoE continuity and will be explained below:</w:t>
      </w:r>
    </w:p>
    <w:p>
      <w:pPr>
        <w:ind w:firstLine="420" w:firstLineChars="0"/>
        <w:rPr>
          <w:rFonts w:hint="default" w:eastAsia="宋体"/>
          <w:lang w:val="en-US" w:eastAsia="zh-CN"/>
        </w:rPr>
      </w:pPr>
      <w:r>
        <w:rPr>
          <w:rFonts w:hint="eastAsia" w:eastAsia="宋体"/>
          <w:lang w:val="en-US" w:eastAsia="zh-CN"/>
        </w:rPr>
        <w:t>Alt 1: Consider LTE mechanism as baseline.</w:t>
      </w:r>
    </w:p>
    <w:p>
      <w:pPr>
        <w:ind w:firstLine="420" w:firstLineChars="0"/>
        <w:rPr>
          <w:rFonts w:hint="default" w:eastAsia="宋体"/>
          <w:lang w:val="en-US" w:eastAsia="zh-CN"/>
        </w:rPr>
      </w:pPr>
      <w:r>
        <w:rPr>
          <w:rFonts w:hint="eastAsia" w:eastAsia="宋体"/>
          <w:lang w:val="en-US" w:eastAsia="zh-CN"/>
        </w:rPr>
        <w:t>Alt 2:</w:t>
      </w:r>
      <w:bookmarkStart w:id="7" w:name="OLE_LINK1"/>
      <w:r>
        <w:rPr>
          <w:rFonts w:hint="eastAsia" w:eastAsia="宋体"/>
          <w:lang w:val="en-US" w:eastAsia="zh-CN"/>
        </w:rPr>
        <w:t>UE keeps the AreaScope and processes the area checking after handover.</w:t>
      </w:r>
    </w:p>
    <w:bookmarkEnd w:id="7"/>
    <w:p>
      <w:pPr>
        <w:rPr>
          <w:rFonts w:hint="eastAsia" w:eastAsia="宋体"/>
          <w:u w:val="single"/>
          <w:lang w:val="en-US" w:eastAsia="zh-CN"/>
        </w:rPr>
      </w:pPr>
      <w:r>
        <w:rPr>
          <w:rFonts w:hint="eastAsia" w:eastAsia="宋体"/>
          <w:u w:val="single"/>
          <w:lang w:val="en-US" w:eastAsia="zh-CN"/>
        </w:rPr>
        <w:t>Alt 1: Consider LTE mechanism as baseline.</w:t>
      </w:r>
    </w:p>
    <w:p>
      <w:pPr>
        <w:rPr>
          <w:rFonts w:hint="eastAsia" w:eastAsia="宋体"/>
          <w:u w:val="none"/>
          <w:lang w:val="en-US" w:eastAsia="zh-CN"/>
        </w:rPr>
      </w:pPr>
      <w:r>
        <w:rPr>
          <w:rFonts w:hint="eastAsia" w:eastAsia="宋体"/>
          <w:u w:val="none"/>
          <w:lang w:val="en-US" w:eastAsia="zh-CN"/>
        </w:rPr>
        <w:t>The purpose of this alternative is to reuse the mechanism in LTE. In other words, the parameter AreaScope is kept in the gNB side. When the intra-RAT handover occurs, the source gNB should forward the AreaScope to the Target gNB. And the target gNB should perform the area checking and send the indication WithinArea which shows whether the target gNB is in the AreaScope to the source gNB. Then the source gNB should add the WithinArea IE into the RRCReconfiguration message and send to UE. The call flow of the NR QoE continuity during intra-RAT handover is illustrated below:</w:t>
      </w:r>
    </w:p>
    <w:p>
      <w:pPr>
        <w:jc w:val="center"/>
      </w:pPr>
      <w:r>
        <w:drawing>
          <wp:inline distT="0" distB="0" distL="114300" distR="114300">
            <wp:extent cx="5724525" cy="3874770"/>
            <wp:effectExtent l="0" t="0" r="952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724525" cy="3874770"/>
                    </a:xfrm>
                    <a:prstGeom prst="rect">
                      <a:avLst/>
                    </a:prstGeom>
                    <a:noFill/>
                    <a:ln>
                      <a:noFill/>
                    </a:ln>
                  </pic:spPr>
                </pic:pic>
              </a:graphicData>
            </a:graphic>
          </wp:inline>
        </w:drawing>
      </w:r>
    </w:p>
    <w:p>
      <w:pPr>
        <w:jc w:val="center"/>
        <w:rPr>
          <w:rFonts w:hint="default"/>
          <w:b/>
          <w:bCs/>
          <w:lang w:val="en-US" w:eastAsia="zh-CN"/>
        </w:rPr>
      </w:pPr>
      <w:r>
        <w:rPr>
          <w:rFonts w:hint="eastAsia" w:eastAsia="宋体"/>
          <w:b/>
          <w:bCs/>
          <w:lang w:val="en-US" w:eastAsia="zh-CN"/>
        </w:rPr>
        <w:t xml:space="preserve"> Figure 2. Handling of QMC activation in case of handover in NR(LTE baseline)</w:t>
      </w:r>
    </w:p>
    <w:p>
      <w:pPr>
        <w:numPr>
          <w:ilvl w:val="0"/>
          <w:numId w:val="7"/>
        </w:numPr>
        <w:rPr>
          <w:rFonts w:hint="default" w:eastAsia="宋体"/>
          <w:lang w:val="en-US" w:eastAsia="zh-CN"/>
        </w:rPr>
      </w:pPr>
      <w:r>
        <w:rPr>
          <w:rFonts w:hint="eastAsia" w:eastAsia="宋体"/>
          <w:lang w:val="en-US" w:eastAsia="zh-CN"/>
        </w:rPr>
        <w:t xml:space="preserve">Source gNB sends the message </w:t>
      </w:r>
      <w:r>
        <w:rPr>
          <w:rFonts w:hint="eastAsia" w:eastAsia="宋体"/>
          <w:i/>
          <w:iCs/>
          <w:lang w:val="en-US" w:eastAsia="zh-CN"/>
        </w:rPr>
        <w:t xml:space="preserve">HandoverRequest </w:t>
      </w:r>
      <w:r>
        <w:rPr>
          <w:rFonts w:hint="eastAsia" w:eastAsia="宋体"/>
          <w:lang w:val="en-US" w:eastAsia="zh-CN"/>
        </w:rPr>
        <w:t xml:space="preserve">to Target gNB and includes </w:t>
      </w:r>
      <w:r>
        <w:rPr>
          <w:rFonts w:hint="eastAsia" w:eastAsia="宋体"/>
          <w:i/>
          <w:iCs/>
          <w:lang w:val="en-US" w:eastAsia="zh-CN"/>
        </w:rPr>
        <w:t xml:space="preserve">areaScope </w:t>
      </w:r>
      <w:r>
        <w:rPr>
          <w:rFonts w:hint="eastAsia" w:eastAsia="宋体"/>
          <w:lang w:val="en-US" w:eastAsia="zh-CN"/>
        </w:rPr>
        <w:t xml:space="preserve">and </w:t>
      </w:r>
      <w:r>
        <w:rPr>
          <w:rFonts w:hint="eastAsia" w:eastAsia="宋体"/>
          <w:i/>
          <w:iCs/>
          <w:lang w:val="en-US" w:eastAsia="zh-CN"/>
        </w:rPr>
        <w:t>qoECollectionEntityAddress</w:t>
      </w:r>
      <w:r>
        <w:rPr>
          <w:rFonts w:hint="eastAsia" w:eastAsia="宋体"/>
          <w:lang w:val="en-US" w:eastAsia="zh-CN"/>
        </w:rPr>
        <w:t>.</w:t>
      </w:r>
    </w:p>
    <w:p>
      <w:pPr>
        <w:numPr>
          <w:ilvl w:val="0"/>
          <w:numId w:val="7"/>
        </w:numPr>
        <w:rPr>
          <w:rFonts w:hint="default" w:eastAsia="宋体"/>
          <w:lang w:val="en-US" w:eastAsia="zh-CN"/>
        </w:rPr>
      </w:pPr>
      <w:r>
        <w:rPr>
          <w:rFonts w:hint="eastAsia" w:eastAsia="宋体"/>
          <w:lang w:val="en-US" w:eastAsia="zh-CN"/>
        </w:rPr>
        <w:t xml:space="preserve">The target gNB checks if the target cell is inside the </w:t>
      </w:r>
      <w:r>
        <w:rPr>
          <w:rFonts w:hint="eastAsia" w:eastAsia="宋体"/>
          <w:i/>
          <w:iCs/>
          <w:lang w:val="en-US" w:eastAsia="zh-CN"/>
        </w:rPr>
        <w:t xml:space="preserve">areaScope </w:t>
      </w:r>
      <w:r>
        <w:rPr>
          <w:rFonts w:hint="eastAsia" w:eastAsia="宋体"/>
          <w:lang w:val="en-US" w:eastAsia="zh-CN"/>
        </w:rPr>
        <w:t>or not.</w:t>
      </w:r>
    </w:p>
    <w:p>
      <w:pPr>
        <w:numPr>
          <w:ilvl w:val="0"/>
          <w:numId w:val="7"/>
        </w:numPr>
        <w:rPr>
          <w:rFonts w:hint="default" w:eastAsia="宋体"/>
          <w:lang w:val="en-US" w:eastAsia="zh-CN"/>
        </w:rPr>
      </w:pPr>
      <w:r>
        <w:rPr>
          <w:rFonts w:hint="eastAsia" w:eastAsia="宋体"/>
          <w:lang w:val="en-US" w:eastAsia="zh-CN"/>
        </w:rPr>
        <w:t xml:space="preserve">The target gNB sends the message </w:t>
      </w:r>
      <w:r>
        <w:rPr>
          <w:rFonts w:hint="eastAsia" w:eastAsia="宋体"/>
          <w:i/>
          <w:iCs/>
          <w:lang w:val="en-US" w:eastAsia="zh-CN"/>
        </w:rPr>
        <w:t xml:space="preserve">HandoverRequestAcknowledge </w:t>
      </w:r>
      <w:r>
        <w:rPr>
          <w:rFonts w:hint="eastAsia" w:eastAsia="宋体"/>
          <w:lang w:val="en-US" w:eastAsia="zh-CN"/>
        </w:rPr>
        <w:t xml:space="preserve">to the source gNB and indicates if the target cell is inside or outside the </w:t>
      </w:r>
      <w:r>
        <w:rPr>
          <w:rFonts w:hint="eastAsia" w:eastAsia="宋体"/>
          <w:i/>
          <w:iCs/>
          <w:lang w:val="en-US" w:eastAsia="zh-CN"/>
        </w:rPr>
        <w:t xml:space="preserve">areaScope </w:t>
      </w:r>
      <w:r>
        <w:rPr>
          <w:rFonts w:hint="eastAsia" w:eastAsia="宋体"/>
          <w:lang w:val="en-US" w:eastAsia="zh-CN"/>
        </w:rPr>
        <w:t xml:space="preserve">in the </w:t>
      </w:r>
      <w:r>
        <w:rPr>
          <w:rFonts w:hint="eastAsia" w:eastAsia="宋体"/>
          <w:i/>
          <w:iCs/>
          <w:lang w:val="en-US" w:eastAsia="zh-CN"/>
        </w:rPr>
        <w:t xml:space="preserve">WithinArea </w:t>
      </w:r>
      <w:r>
        <w:rPr>
          <w:rFonts w:hint="eastAsia" w:eastAsia="宋体"/>
          <w:lang w:val="en-US" w:eastAsia="zh-CN"/>
        </w:rPr>
        <w:t>IE.</w:t>
      </w:r>
    </w:p>
    <w:p>
      <w:pPr>
        <w:numPr>
          <w:ilvl w:val="0"/>
          <w:numId w:val="7"/>
        </w:numPr>
        <w:rPr>
          <w:rFonts w:hint="default" w:eastAsia="宋体"/>
          <w:lang w:val="en-US" w:eastAsia="zh-CN"/>
        </w:rPr>
      </w:pPr>
      <w:r>
        <w:rPr>
          <w:rFonts w:hint="default" w:eastAsia="宋体"/>
          <w:lang w:val="en-US" w:eastAsia="zh-CN"/>
        </w:rPr>
        <w:t xml:space="preserve">The source </w:t>
      </w:r>
      <w:r>
        <w:rPr>
          <w:rFonts w:hint="eastAsia" w:eastAsia="宋体"/>
          <w:lang w:val="en-US" w:eastAsia="zh-CN"/>
        </w:rPr>
        <w:t>g</w:t>
      </w:r>
      <w:r>
        <w:rPr>
          <w:rFonts w:hint="default" w:eastAsia="宋体"/>
          <w:lang w:val="en-US" w:eastAsia="zh-CN"/>
        </w:rPr>
        <w:t xml:space="preserve">NB sends the message </w:t>
      </w:r>
      <w:r>
        <w:rPr>
          <w:rFonts w:hint="default" w:eastAsia="宋体"/>
          <w:i/>
          <w:iCs/>
          <w:lang w:val="en-US" w:eastAsia="zh-CN"/>
        </w:rPr>
        <w:t xml:space="preserve">RRCReconfiguration </w:t>
      </w:r>
      <w:r>
        <w:rPr>
          <w:rFonts w:hint="default" w:eastAsia="宋体"/>
          <w:lang w:val="en-US" w:eastAsia="zh-CN"/>
        </w:rPr>
        <w:t xml:space="preserve">to the UE indicating if the target cell is inside or outside the </w:t>
      </w:r>
      <w:r>
        <w:rPr>
          <w:rFonts w:hint="eastAsia" w:eastAsia="宋体"/>
          <w:lang w:val="en-US" w:eastAsia="zh-CN"/>
        </w:rPr>
        <w:t>a</w:t>
      </w:r>
      <w:r>
        <w:rPr>
          <w:rFonts w:hint="default" w:eastAsia="宋体"/>
          <w:lang w:val="en-US" w:eastAsia="zh-CN"/>
        </w:rPr>
        <w:t xml:space="preserve">rea in the </w:t>
      </w:r>
      <w:r>
        <w:rPr>
          <w:rFonts w:hint="default" w:eastAsia="宋体"/>
          <w:i/>
          <w:iCs/>
          <w:lang w:val="en-US" w:eastAsia="zh-CN"/>
        </w:rPr>
        <w:t xml:space="preserve">WithinArea </w:t>
      </w:r>
      <w:r>
        <w:rPr>
          <w:rFonts w:hint="default" w:eastAsia="宋体"/>
          <w:lang w:val="en-US" w:eastAsia="zh-CN"/>
        </w:rPr>
        <w:t>IE.</w:t>
      </w:r>
    </w:p>
    <w:p>
      <w:pPr>
        <w:numPr>
          <w:ilvl w:val="0"/>
          <w:numId w:val="7"/>
        </w:numPr>
        <w:rPr>
          <w:rFonts w:hint="default" w:eastAsia="宋体"/>
          <w:lang w:val="en-US" w:eastAsia="zh-CN"/>
        </w:rPr>
      </w:pPr>
      <w:r>
        <w:rPr>
          <w:rFonts w:hint="default" w:eastAsia="宋体"/>
          <w:lang w:val="en-US" w:eastAsia="zh-CN"/>
        </w:rPr>
        <w:t xml:space="preserve">The access stratum in the UE sends the AT command +CAPPLEVMC to application level indicating if the target cell is inside or outside the </w:t>
      </w:r>
      <w:r>
        <w:rPr>
          <w:rFonts w:hint="default" w:eastAsia="宋体"/>
          <w:i/>
          <w:iCs/>
          <w:lang w:val="en-US" w:eastAsia="zh-CN"/>
        </w:rPr>
        <w:t xml:space="preserve">areaScope </w:t>
      </w:r>
      <w:r>
        <w:rPr>
          <w:rFonts w:hint="default" w:eastAsia="宋体"/>
          <w:lang w:val="en-US" w:eastAsia="zh-CN"/>
        </w:rPr>
        <w:t xml:space="preserve">in the </w:t>
      </w:r>
      <w:r>
        <w:rPr>
          <w:rFonts w:hint="default" w:eastAsia="宋体"/>
          <w:i/>
          <w:iCs/>
          <w:lang w:val="en-US" w:eastAsia="zh-CN"/>
        </w:rPr>
        <w:t xml:space="preserve">WithinArea </w:t>
      </w:r>
      <w:r>
        <w:rPr>
          <w:rFonts w:hint="default" w:eastAsia="宋体"/>
          <w:lang w:val="en-US" w:eastAsia="zh-CN"/>
        </w:rPr>
        <w:t>IE.</w:t>
      </w:r>
    </w:p>
    <w:p>
      <w:pPr>
        <w:numPr>
          <w:ilvl w:val="0"/>
          <w:numId w:val="7"/>
        </w:numPr>
        <w:rPr>
          <w:rFonts w:hint="default" w:eastAsia="宋体"/>
          <w:lang w:val="en-US" w:eastAsia="zh-CN"/>
        </w:rPr>
      </w:pPr>
      <w:r>
        <w:rPr>
          <w:rFonts w:hint="default" w:eastAsia="宋体"/>
          <w:lang w:val="en-US" w:eastAsia="zh-CN"/>
        </w:rPr>
        <w:t xml:space="preserve">The UE sends the message </w:t>
      </w:r>
      <w:r>
        <w:rPr>
          <w:rFonts w:hint="default" w:eastAsia="宋体"/>
          <w:i/>
          <w:iCs/>
          <w:lang w:val="en-US" w:eastAsia="zh-CN"/>
        </w:rPr>
        <w:t xml:space="preserve">RRCReconfigurationComplete </w:t>
      </w:r>
      <w:r>
        <w:rPr>
          <w:rFonts w:hint="default" w:eastAsia="宋体"/>
          <w:lang w:val="en-US" w:eastAsia="zh-CN"/>
        </w:rPr>
        <w:t xml:space="preserve">to the </w:t>
      </w:r>
      <w:r>
        <w:rPr>
          <w:rFonts w:hint="eastAsia" w:eastAsia="宋体"/>
          <w:lang w:val="en-US" w:eastAsia="zh-CN"/>
        </w:rPr>
        <w:t>g</w:t>
      </w:r>
      <w:r>
        <w:rPr>
          <w:rFonts w:hint="default" w:eastAsia="宋体"/>
          <w:lang w:val="en-US" w:eastAsia="zh-CN"/>
        </w:rPr>
        <w:t>NB.</w:t>
      </w:r>
    </w:p>
    <w:p>
      <w:pPr>
        <w:numPr>
          <w:ilvl w:val="0"/>
          <w:numId w:val="7"/>
        </w:numPr>
        <w:rPr>
          <w:rFonts w:hint="default" w:eastAsia="宋体"/>
          <w:lang w:val="en-US" w:eastAsia="zh-CN"/>
        </w:rPr>
      </w:pPr>
      <w:r>
        <w:rPr>
          <w:rFonts w:hint="default" w:eastAsia="宋体"/>
          <w:lang w:val="en-US" w:eastAsia="zh-CN"/>
        </w:rPr>
        <w:t xml:space="preserve">When the application becomes active, QMC is initiated if the UE is inside the </w:t>
      </w:r>
      <w:r>
        <w:rPr>
          <w:rFonts w:hint="default" w:eastAsia="宋体"/>
          <w:i/>
          <w:iCs/>
          <w:lang w:val="en-US" w:eastAsia="zh-CN"/>
        </w:rPr>
        <w:t xml:space="preserve">areaScope </w:t>
      </w:r>
      <w:r>
        <w:rPr>
          <w:rFonts w:hint="default" w:eastAsia="宋体"/>
          <w:lang w:val="en-US" w:eastAsia="zh-CN"/>
        </w:rPr>
        <w:t xml:space="preserve">as indicated in the </w:t>
      </w:r>
      <w:r>
        <w:rPr>
          <w:rFonts w:hint="default" w:eastAsia="宋体"/>
          <w:i/>
          <w:iCs/>
          <w:lang w:val="en-US" w:eastAsia="zh-CN"/>
        </w:rPr>
        <w:t xml:space="preserve">WithinArea </w:t>
      </w:r>
      <w:r>
        <w:rPr>
          <w:rFonts w:hint="default" w:eastAsia="宋体"/>
          <w:lang w:val="en-US" w:eastAsia="zh-CN"/>
        </w:rPr>
        <w:t xml:space="preserve">IE. </w:t>
      </w:r>
    </w:p>
    <w:p>
      <w:pPr>
        <w:numPr>
          <w:ilvl w:val="0"/>
          <w:numId w:val="7"/>
        </w:numPr>
        <w:rPr>
          <w:rFonts w:hint="default" w:eastAsia="宋体"/>
          <w:lang w:val="en-US" w:eastAsia="zh-CN"/>
        </w:rPr>
      </w:pPr>
      <w:r>
        <w:rPr>
          <w:rFonts w:hint="default" w:eastAsia="宋体"/>
          <w:lang w:val="en-US" w:eastAsia="zh-CN"/>
        </w:rPr>
        <w:t>The application layer sends the AT command +CAPPLEVMR including a recording session indication indicating that a session has started to the access stratum.</w:t>
      </w:r>
    </w:p>
    <w:p>
      <w:pPr>
        <w:numPr>
          <w:ilvl w:val="0"/>
          <w:numId w:val="7"/>
        </w:numPr>
        <w:rPr>
          <w:rFonts w:hint="default" w:eastAsia="宋体"/>
          <w:lang w:val="en-US" w:eastAsia="zh-CN"/>
        </w:rPr>
      </w:pPr>
      <w:r>
        <w:rPr>
          <w:rFonts w:hint="default" w:eastAsia="宋体"/>
          <w:lang w:val="en-US" w:eastAsia="zh-CN"/>
        </w:rPr>
        <w:t xml:space="preserve">The UE sends the message </w:t>
      </w:r>
      <w:r>
        <w:rPr>
          <w:rFonts w:hint="default" w:eastAsia="宋体"/>
          <w:i/>
          <w:iCs/>
          <w:lang w:val="en-US" w:eastAsia="zh-CN"/>
        </w:rPr>
        <w:t xml:space="preserve">MeasReportAppLayer </w:t>
      </w:r>
      <w:r>
        <w:rPr>
          <w:rFonts w:hint="default" w:eastAsia="宋体"/>
          <w:lang w:val="en-US" w:eastAsia="zh-CN"/>
        </w:rPr>
        <w:t xml:space="preserve">including the recording session indication to the </w:t>
      </w:r>
      <w:r>
        <w:rPr>
          <w:rFonts w:hint="eastAsia" w:eastAsia="宋体"/>
          <w:lang w:val="en-US" w:eastAsia="zh-CN"/>
        </w:rPr>
        <w:t>g</w:t>
      </w:r>
      <w:r>
        <w:rPr>
          <w:rFonts w:hint="default" w:eastAsia="宋体"/>
          <w:lang w:val="en-US" w:eastAsia="zh-CN"/>
        </w:rPr>
        <w:t>NB.</w:t>
      </w:r>
    </w:p>
    <w:p>
      <w:pPr>
        <w:numPr>
          <w:ilvl w:val="0"/>
          <w:numId w:val="7"/>
        </w:numPr>
        <w:rPr>
          <w:rFonts w:hint="default" w:eastAsia="宋体"/>
          <w:lang w:val="en-US" w:eastAsia="zh-CN"/>
        </w:rPr>
      </w:pPr>
      <w:r>
        <w:rPr>
          <w:rFonts w:hint="default" w:eastAsia="宋体"/>
          <w:lang w:val="en-US" w:eastAsia="zh-CN"/>
        </w:rPr>
        <w:t xml:space="preserve">The </w:t>
      </w:r>
      <w:r>
        <w:rPr>
          <w:rFonts w:hint="eastAsia" w:eastAsia="宋体"/>
          <w:lang w:val="en-US" w:eastAsia="zh-CN"/>
        </w:rPr>
        <w:t>g</w:t>
      </w:r>
      <w:r>
        <w:rPr>
          <w:rFonts w:hint="default" w:eastAsia="宋体"/>
          <w:lang w:val="en-US" w:eastAsia="zh-CN"/>
        </w:rPr>
        <w:t xml:space="preserve">NB sends a notification including the recording session indication to the </w:t>
      </w:r>
      <w:r>
        <w:rPr>
          <w:rFonts w:hint="eastAsia" w:eastAsia="宋体"/>
          <w:lang w:val="en-US" w:eastAsia="zh-CN"/>
        </w:rPr>
        <w:t>5GC/</w:t>
      </w:r>
      <w:r>
        <w:rPr>
          <w:rFonts w:hint="default" w:eastAsia="宋体"/>
          <w:lang w:val="en-US" w:eastAsia="zh-CN"/>
        </w:rPr>
        <w:t>NM.</w:t>
      </w:r>
    </w:p>
    <w:p>
      <w:pPr>
        <w:numPr>
          <w:ilvl w:val="0"/>
          <w:numId w:val="7"/>
        </w:numPr>
        <w:rPr>
          <w:rFonts w:hint="default" w:eastAsia="宋体"/>
          <w:lang w:val="en-US" w:eastAsia="zh-CN"/>
        </w:rPr>
      </w:pPr>
      <w:r>
        <w:rPr>
          <w:rFonts w:hint="default" w:eastAsia="宋体"/>
          <w:lang w:val="en-US" w:eastAsia="zh-CN"/>
        </w:rPr>
        <w:t>When the QMC is completed, the recorded information is collected in a QMC report</w:t>
      </w:r>
      <w:r>
        <w:rPr>
          <w:rFonts w:hint="eastAsia" w:eastAsia="宋体"/>
          <w:lang w:val="en-US" w:eastAsia="zh-CN"/>
        </w:rPr>
        <w:t>,</w:t>
      </w:r>
      <w:r>
        <w:rPr>
          <w:rFonts w:hint="default" w:eastAsia="宋体"/>
          <w:lang w:val="en-US" w:eastAsia="zh-CN"/>
        </w:rPr>
        <w:t xml:space="preserve"> including </w:t>
      </w:r>
      <w:r>
        <w:rPr>
          <w:rFonts w:hint="default" w:eastAsia="宋体"/>
          <w:i/>
          <w:iCs/>
          <w:lang w:val="en-US" w:eastAsia="zh-CN"/>
        </w:rPr>
        <w:t xml:space="preserve">qoEReference </w:t>
      </w:r>
      <w:r>
        <w:rPr>
          <w:rFonts w:hint="default" w:eastAsia="宋体"/>
          <w:lang w:val="en-US" w:eastAsia="zh-CN"/>
        </w:rPr>
        <w:t xml:space="preserve">and </w:t>
      </w:r>
      <w:r>
        <w:rPr>
          <w:rFonts w:hint="default" w:eastAsia="宋体"/>
          <w:i/>
          <w:iCs/>
          <w:lang w:val="en-US" w:eastAsia="zh-CN"/>
        </w:rPr>
        <w:t>recordingSessionId</w:t>
      </w:r>
      <w:r>
        <w:rPr>
          <w:rFonts w:hint="default" w:eastAsia="宋体"/>
          <w:lang w:val="en-US" w:eastAsia="zh-CN"/>
        </w:rPr>
        <w:t xml:space="preserve">. The </w:t>
      </w:r>
      <w:r>
        <w:rPr>
          <w:rFonts w:hint="default" w:eastAsia="宋体"/>
          <w:i/>
          <w:iCs/>
          <w:lang w:val="en-US" w:eastAsia="zh-CN"/>
        </w:rPr>
        <w:t>qoEReference</w:t>
      </w:r>
      <w:r>
        <w:rPr>
          <w:rFonts w:hint="default" w:eastAsia="宋体"/>
          <w:lang w:val="en-US" w:eastAsia="zh-CN"/>
        </w:rPr>
        <w:t xml:space="preserve">, Client Id in the reporting container (that represent the UE request session) and </w:t>
      </w:r>
      <w:r>
        <w:rPr>
          <w:rFonts w:hint="default" w:eastAsia="宋体"/>
          <w:i/>
          <w:iCs/>
          <w:lang w:val="en-US" w:eastAsia="zh-CN"/>
        </w:rPr>
        <w:t xml:space="preserve">recordingSessionId </w:t>
      </w:r>
      <w:r>
        <w:rPr>
          <w:rFonts w:hint="default" w:eastAsia="宋体"/>
          <w:lang w:val="en-US" w:eastAsia="zh-CN"/>
        </w:rPr>
        <w:t>are needed in the QoE collection entity for post processing purposes.</w:t>
      </w:r>
    </w:p>
    <w:p>
      <w:pPr>
        <w:numPr>
          <w:ilvl w:val="0"/>
          <w:numId w:val="7"/>
        </w:numPr>
        <w:rPr>
          <w:rFonts w:hint="default" w:eastAsia="宋体"/>
          <w:lang w:val="en-US" w:eastAsia="zh-CN"/>
        </w:rPr>
      </w:pPr>
      <w:r>
        <w:rPr>
          <w:rFonts w:hint="default" w:eastAsia="宋体"/>
          <w:lang w:val="en-US" w:eastAsia="zh-CN"/>
        </w:rPr>
        <w:t xml:space="preserve">The application layer sends the AT command +CAPPLEVMR including </w:t>
      </w:r>
      <w:r>
        <w:rPr>
          <w:rFonts w:hint="default" w:eastAsia="宋体"/>
          <w:i/>
          <w:iCs/>
          <w:lang w:val="en-US" w:eastAsia="zh-CN"/>
        </w:rPr>
        <w:t xml:space="preserve">qoEReference </w:t>
      </w:r>
      <w:r>
        <w:rPr>
          <w:rFonts w:hint="default" w:eastAsia="宋体"/>
          <w:lang w:val="en-US" w:eastAsia="zh-CN"/>
        </w:rPr>
        <w:t>and the QMC report to the access stratum.</w:t>
      </w:r>
    </w:p>
    <w:p>
      <w:pPr>
        <w:numPr>
          <w:ilvl w:val="0"/>
          <w:numId w:val="7"/>
        </w:numPr>
        <w:rPr>
          <w:rFonts w:hint="default" w:eastAsia="宋体"/>
          <w:lang w:val="en-US" w:eastAsia="zh-CN"/>
        </w:rPr>
      </w:pPr>
      <w:r>
        <w:rPr>
          <w:rFonts w:hint="default" w:eastAsia="宋体"/>
          <w:lang w:val="en-US" w:eastAsia="zh-CN"/>
        </w:rPr>
        <w:t xml:space="preserve">The UE sends the message </w:t>
      </w:r>
      <w:r>
        <w:rPr>
          <w:rFonts w:hint="default" w:eastAsia="宋体"/>
          <w:i/>
          <w:iCs/>
          <w:lang w:val="en-US" w:eastAsia="zh-CN"/>
        </w:rPr>
        <w:t xml:space="preserve">MeasReportAppLayer </w:t>
      </w:r>
      <w:r>
        <w:rPr>
          <w:rFonts w:hint="default" w:eastAsia="宋体"/>
          <w:lang w:val="en-US" w:eastAsia="zh-CN"/>
        </w:rPr>
        <w:t xml:space="preserve">including </w:t>
      </w:r>
      <w:r>
        <w:rPr>
          <w:rFonts w:hint="default" w:eastAsia="宋体"/>
          <w:i/>
          <w:iCs/>
          <w:lang w:val="en-US" w:eastAsia="zh-CN"/>
        </w:rPr>
        <w:t xml:space="preserve">qoEReference </w:t>
      </w:r>
      <w:r>
        <w:rPr>
          <w:rFonts w:hint="default" w:eastAsia="宋体"/>
          <w:lang w:val="en-US" w:eastAsia="zh-CN"/>
        </w:rPr>
        <w:t xml:space="preserve">and the QMC report to the </w:t>
      </w:r>
      <w:r>
        <w:rPr>
          <w:rFonts w:hint="eastAsia" w:eastAsia="宋体"/>
          <w:lang w:val="en-US" w:eastAsia="zh-CN"/>
        </w:rPr>
        <w:t>g</w:t>
      </w:r>
      <w:r>
        <w:rPr>
          <w:rFonts w:hint="default" w:eastAsia="宋体"/>
          <w:lang w:val="en-US" w:eastAsia="zh-CN"/>
        </w:rPr>
        <w:t>NB.</w:t>
      </w:r>
    </w:p>
    <w:p>
      <w:pPr>
        <w:numPr>
          <w:ilvl w:val="0"/>
          <w:numId w:val="7"/>
        </w:numPr>
        <w:rPr>
          <w:rFonts w:hint="default" w:eastAsia="宋体"/>
          <w:i w:val="0"/>
          <w:iCs w:val="0"/>
          <w:lang w:val="en-US" w:eastAsia="zh-CN"/>
        </w:rPr>
      </w:pPr>
      <w:r>
        <w:rPr>
          <w:rFonts w:hint="default" w:eastAsia="宋体"/>
          <w:lang w:val="en-US" w:eastAsia="zh-CN"/>
        </w:rPr>
        <w:t xml:space="preserve">The </w:t>
      </w:r>
      <w:r>
        <w:rPr>
          <w:rFonts w:hint="eastAsia" w:eastAsia="宋体"/>
          <w:lang w:val="en-US" w:eastAsia="zh-CN"/>
        </w:rPr>
        <w:t>g</w:t>
      </w:r>
      <w:r>
        <w:rPr>
          <w:rFonts w:hint="default" w:eastAsia="宋体"/>
          <w:lang w:val="en-US" w:eastAsia="zh-CN"/>
        </w:rPr>
        <w:t xml:space="preserve">NB sends the QMC report to the MCE associated to the </w:t>
      </w:r>
      <w:r>
        <w:rPr>
          <w:rFonts w:hint="default" w:eastAsia="宋体"/>
          <w:i/>
          <w:iCs/>
          <w:lang w:val="en-US" w:eastAsia="zh-CN"/>
        </w:rPr>
        <w:t>qoEReference</w:t>
      </w:r>
      <w:r>
        <w:rPr>
          <w:rFonts w:hint="default" w:eastAsia="宋体"/>
          <w:lang w:val="en-US" w:eastAsia="zh-CN"/>
        </w:rPr>
        <w:t>.</w:t>
      </w:r>
      <w:r>
        <w:rPr>
          <w:rFonts w:hint="eastAsia" w:eastAsia="宋体"/>
          <w:lang w:val="en-US" w:eastAsia="zh-CN"/>
        </w:rPr>
        <w:t xml:space="preserve"> </w:t>
      </w:r>
    </w:p>
    <w:p>
      <w:pPr>
        <w:rPr>
          <w:rFonts w:hint="eastAsia" w:eastAsia="宋体"/>
          <w:lang w:val="en-US" w:eastAsia="zh-CN"/>
        </w:rPr>
      </w:pPr>
    </w:p>
    <w:p>
      <w:pPr>
        <w:rPr>
          <w:rFonts w:hint="default" w:eastAsia="宋体"/>
          <w:u w:val="single"/>
          <w:lang w:val="en-US" w:eastAsia="zh-CN"/>
        </w:rPr>
      </w:pPr>
      <w:r>
        <w:rPr>
          <w:rFonts w:hint="eastAsia" w:eastAsia="宋体"/>
          <w:u w:val="single"/>
          <w:lang w:val="en-US" w:eastAsia="zh-CN"/>
        </w:rPr>
        <w:t>Alt 2: UE keeps the AreaScope and processes the area checking after handover.</w:t>
      </w:r>
    </w:p>
    <w:p>
      <w:pPr>
        <w:rPr>
          <w:rFonts w:hint="eastAsia" w:eastAsia="宋体"/>
          <w:lang w:val="en-US" w:eastAsia="zh-CN"/>
        </w:rPr>
      </w:pPr>
      <w:r>
        <w:rPr>
          <w:rFonts w:hint="eastAsia" w:eastAsia="宋体"/>
          <w:lang w:val="en-US" w:eastAsia="zh-CN"/>
        </w:rPr>
        <w:t>The purpose of this alternative is to send the AreaScope to the UE side. UE can keep the AreaScope after it receives the AreaScope from the QMC configuration. Whenever the handover occurs, the UE needs to check whether the current serving cell is inside the configured area scope. The call flow and the briefly description for each steps can be found below:</w:t>
      </w:r>
    </w:p>
    <w:p>
      <w:pPr>
        <w:rPr>
          <w:rFonts w:hint="default" w:eastAsia="宋体"/>
          <w:lang w:val="en-US" w:eastAsia="zh-CN"/>
        </w:rPr>
      </w:pPr>
      <w:r>
        <w:drawing>
          <wp:inline distT="0" distB="0" distL="114300" distR="114300">
            <wp:extent cx="5237480" cy="3670300"/>
            <wp:effectExtent l="0" t="0" r="127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237480" cy="3670300"/>
                    </a:xfrm>
                    <a:prstGeom prst="rect">
                      <a:avLst/>
                    </a:prstGeom>
                    <a:noFill/>
                    <a:ln>
                      <a:noFill/>
                    </a:ln>
                  </pic:spPr>
                </pic:pic>
              </a:graphicData>
            </a:graphic>
          </wp:inline>
        </w:drawing>
      </w:r>
    </w:p>
    <w:p>
      <w:pPr>
        <w:jc w:val="center"/>
        <w:rPr>
          <w:rFonts w:hint="eastAsia" w:eastAsia="宋体"/>
          <w:b/>
          <w:bCs/>
          <w:lang w:val="en-US" w:eastAsia="zh-CN"/>
        </w:rPr>
      </w:pPr>
      <w:r>
        <w:rPr>
          <w:rFonts w:hint="eastAsia" w:eastAsia="宋体"/>
          <w:b/>
          <w:bCs/>
          <w:lang w:val="en-US" w:eastAsia="zh-CN"/>
        </w:rPr>
        <w:t xml:space="preserve"> Figure 3. Handling of QMC activation in case of handover in NR(UE based area checking)</w:t>
      </w:r>
    </w:p>
    <w:p>
      <w:pPr>
        <w:jc w:val="both"/>
        <w:rPr>
          <w:rFonts w:hint="default" w:eastAsia="宋体"/>
          <w:b w:val="0"/>
          <w:bCs w:val="0"/>
          <w:lang w:val="en-US" w:eastAsia="zh-CN"/>
        </w:rPr>
      </w:pPr>
      <w:r>
        <w:rPr>
          <w:rFonts w:hint="eastAsia" w:eastAsia="宋体"/>
          <w:b w:val="0"/>
          <w:bCs w:val="0"/>
          <w:lang w:val="en-US" w:eastAsia="zh-CN"/>
        </w:rPr>
        <w:t xml:space="preserve">Pre-condition: The NR QMC configuration which contains the AreaScope has been sent to UE before step 1. </w:t>
      </w:r>
    </w:p>
    <w:p>
      <w:pPr>
        <w:numPr>
          <w:ilvl w:val="0"/>
          <w:numId w:val="8"/>
        </w:numPr>
        <w:rPr>
          <w:rFonts w:hint="default" w:eastAsia="宋体"/>
          <w:lang w:val="en-US" w:eastAsia="zh-CN"/>
        </w:rPr>
      </w:pPr>
      <w:r>
        <w:rPr>
          <w:rFonts w:hint="eastAsia" w:eastAsia="宋体"/>
          <w:lang w:val="en-US" w:eastAsia="zh-CN"/>
        </w:rPr>
        <w:t xml:space="preserve">Source gNB sends the message </w:t>
      </w:r>
      <w:r>
        <w:rPr>
          <w:rFonts w:hint="eastAsia" w:eastAsia="宋体"/>
          <w:i/>
          <w:iCs/>
          <w:lang w:val="en-US" w:eastAsia="zh-CN"/>
        </w:rPr>
        <w:t xml:space="preserve">HandoverRequest </w:t>
      </w:r>
      <w:r>
        <w:rPr>
          <w:rFonts w:hint="eastAsia" w:eastAsia="宋体"/>
          <w:lang w:val="en-US" w:eastAsia="zh-CN"/>
        </w:rPr>
        <w:t xml:space="preserve">to Target gNB and includes </w:t>
      </w:r>
      <w:r>
        <w:rPr>
          <w:rFonts w:hint="eastAsia" w:eastAsia="宋体"/>
          <w:i/>
          <w:iCs/>
          <w:lang w:val="en-US" w:eastAsia="zh-CN"/>
        </w:rPr>
        <w:t>qoECollectionEntityAddress</w:t>
      </w:r>
      <w:r>
        <w:rPr>
          <w:rFonts w:hint="eastAsia" w:eastAsia="宋体"/>
          <w:lang w:val="en-US" w:eastAsia="zh-CN"/>
        </w:rPr>
        <w:t>.</w:t>
      </w:r>
    </w:p>
    <w:p>
      <w:pPr>
        <w:numPr>
          <w:ilvl w:val="0"/>
          <w:numId w:val="8"/>
        </w:numPr>
        <w:ind w:left="0" w:leftChars="0" w:firstLine="0" w:firstLineChars="0"/>
        <w:rPr>
          <w:rFonts w:hint="default" w:eastAsia="宋体"/>
          <w:lang w:val="en-US" w:eastAsia="zh-CN"/>
        </w:rPr>
      </w:pPr>
      <w:r>
        <w:rPr>
          <w:rFonts w:hint="eastAsia" w:eastAsia="宋体"/>
          <w:lang w:val="en-US" w:eastAsia="zh-CN"/>
        </w:rPr>
        <w:t>The target gNB replies the Handover Request Acknowledge to the source gNB.</w:t>
      </w:r>
    </w:p>
    <w:p>
      <w:pPr>
        <w:numPr>
          <w:ilvl w:val="0"/>
          <w:numId w:val="8"/>
        </w:numPr>
        <w:ind w:left="0" w:leftChars="0" w:firstLine="0" w:firstLineChars="0"/>
        <w:rPr>
          <w:rFonts w:hint="default" w:eastAsia="宋体"/>
          <w:lang w:val="en-US" w:eastAsia="zh-CN"/>
        </w:rPr>
      </w:pPr>
      <w:r>
        <w:rPr>
          <w:rFonts w:hint="default" w:eastAsia="宋体"/>
          <w:lang w:val="en-US" w:eastAsia="zh-CN"/>
        </w:rPr>
        <w:t xml:space="preserve">The source </w:t>
      </w:r>
      <w:r>
        <w:rPr>
          <w:rFonts w:hint="eastAsia" w:eastAsia="宋体"/>
          <w:lang w:val="en-US" w:eastAsia="zh-CN"/>
        </w:rPr>
        <w:t>g</w:t>
      </w:r>
      <w:r>
        <w:rPr>
          <w:rFonts w:hint="default" w:eastAsia="宋体"/>
          <w:lang w:val="en-US" w:eastAsia="zh-CN"/>
        </w:rPr>
        <w:t xml:space="preserve">NB sends the message </w:t>
      </w:r>
      <w:r>
        <w:rPr>
          <w:rFonts w:hint="default" w:eastAsia="宋体"/>
          <w:i/>
          <w:iCs/>
          <w:lang w:val="en-US" w:eastAsia="zh-CN"/>
        </w:rPr>
        <w:t xml:space="preserve">RRCReconfiguration </w:t>
      </w:r>
      <w:r>
        <w:rPr>
          <w:rFonts w:hint="eastAsia" w:eastAsia="宋体"/>
          <w:i/>
          <w:iCs/>
          <w:lang w:val="en-US" w:eastAsia="zh-CN"/>
        </w:rPr>
        <w:t xml:space="preserve">with QoE reference </w:t>
      </w:r>
      <w:r>
        <w:rPr>
          <w:rFonts w:hint="default" w:eastAsia="宋体"/>
          <w:lang w:val="en-US" w:eastAsia="zh-CN"/>
        </w:rPr>
        <w:t>to the UE</w:t>
      </w:r>
      <w:r>
        <w:rPr>
          <w:rFonts w:hint="eastAsia" w:eastAsia="宋体"/>
          <w:lang w:val="en-US" w:eastAsia="zh-CN"/>
        </w:rPr>
        <w:t>.</w:t>
      </w:r>
    </w:p>
    <w:p>
      <w:pPr>
        <w:numPr>
          <w:ilvl w:val="0"/>
          <w:numId w:val="8"/>
        </w:numPr>
        <w:ind w:left="0" w:leftChars="0" w:firstLine="0" w:firstLineChars="0"/>
        <w:rPr>
          <w:rFonts w:hint="default" w:eastAsia="宋体"/>
          <w:lang w:val="en-US" w:eastAsia="zh-CN"/>
        </w:rPr>
      </w:pPr>
      <w:r>
        <w:rPr>
          <w:rFonts w:hint="default" w:eastAsia="宋体"/>
          <w:lang w:val="en-US" w:eastAsia="zh-CN"/>
        </w:rPr>
        <w:t xml:space="preserve">The UE sends the message RRCReconfigurationComplete to the </w:t>
      </w:r>
      <w:r>
        <w:rPr>
          <w:rFonts w:hint="eastAsia" w:eastAsia="宋体"/>
          <w:lang w:val="en-US" w:eastAsia="zh-CN"/>
        </w:rPr>
        <w:t xml:space="preserve">target </w:t>
      </w:r>
      <w:r>
        <w:rPr>
          <w:rFonts w:hint="default" w:eastAsia="宋体"/>
          <w:lang w:val="en-US" w:eastAsia="zh-CN"/>
        </w:rPr>
        <w:t>gNB.</w:t>
      </w:r>
    </w:p>
    <w:p>
      <w:pPr>
        <w:numPr>
          <w:ilvl w:val="0"/>
          <w:numId w:val="8"/>
        </w:numPr>
        <w:ind w:left="0" w:leftChars="0" w:firstLine="0" w:firstLineChars="0"/>
        <w:rPr>
          <w:rFonts w:hint="default" w:eastAsia="宋体"/>
          <w:lang w:val="en-US" w:eastAsia="zh-CN"/>
        </w:rPr>
      </w:pPr>
      <w:r>
        <w:rPr>
          <w:rFonts w:hint="eastAsia" w:eastAsia="宋体"/>
          <w:lang w:val="en-US" w:eastAsia="zh-CN"/>
        </w:rPr>
        <w:t>Based on the stored AreaScope, the UE checks whether the current serving cell is inside the area.</w:t>
      </w:r>
    </w:p>
    <w:p>
      <w:pPr>
        <w:widowControl w:val="0"/>
        <w:numPr>
          <w:ilvl w:val="0"/>
          <w:numId w:val="8"/>
        </w:numPr>
        <w:ind w:left="0" w:leftChars="0" w:firstLine="0" w:firstLineChars="0"/>
        <w:jc w:val="both"/>
        <w:rPr>
          <w:rFonts w:hint="default" w:eastAsia="宋体"/>
          <w:lang w:val="en-US" w:eastAsia="zh-CN"/>
        </w:rPr>
      </w:pPr>
      <w:r>
        <w:rPr>
          <w:rFonts w:hint="default" w:eastAsia="宋体"/>
          <w:lang w:val="en-US" w:eastAsia="zh-CN"/>
        </w:rPr>
        <w:t>The access stratum in the UE sends the AT command +CAPPLEVMC</w:t>
      </w:r>
      <w:r>
        <w:rPr>
          <w:rFonts w:hint="eastAsia" w:eastAsia="宋体"/>
          <w:lang w:val="en-US" w:eastAsia="zh-CN"/>
        </w:rPr>
        <w:t xml:space="preserve"> </w:t>
      </w:r>
      <w:r>
        <w:rPr>
          <w:rFonts w:hint="default" w:eastAsia="宋体"/>
          <w:lang w:val="en-US" w:eastAsia="zh-CN"/>
        </w:rPr>
        <w:t xml:space="preserve">indicating if the target cell is inside or outside the </w:t>
      </w:r>
      <w:r>
        <w:rPr>
          <w:rFonts w:hint="default" w:eastAsia="宋体"/>
          <w:i/>
          <w:iCs/>
          <w:lang w:val="en-US" w:eastAsia="zh-CN"/>
        </w:rPr>
        <w:t xml:space="preserve">areaScope </w:t>
      </w:r>
      <w:r>
        <w:rPr>
          <w:rFonts w:hint="default" w:eastAsia="宋体"/>
          <w:lang w:val="en-US" w:eastAsia="zh-CN"/>
        </w:rPr>
        <w:t xml:space="preserve">in the </w:t>
      </w:r>
      <w:r>
        <w:rPr>
          <w:rFonts w:hint="default" w:eastAsia="宋体"/>
          <w:i/>
          <w:iCs/>
          <w:lang w:val="en-US" w:eastAsia="zh-CN"/>
        </w:rPr>
        <w:t xml:space="preserve">WithinArea </w:t>
      </w:r>
      <w:r>
        <w:rPr>
          <w:rFonts w:hint="default" w:eastAsia="宋体"/>
          <w:lang w:val="en-US" w:eastAsia="zh-CN"/>
        </w:rPr>
        <w:t>IE to application level .</w:t>
      </w:r>
    </w:p>
    <w:p>
      <w:pPr>
        <w:widowControl w:val="0"/>
        <w:numPr>
          <w:ilvl w:val="0"/>
          <w:numId w:val="0"/>
        </w:numPr>
        <w:ind w:leftChars="0"/>
        <w:jc w:val="both"/>
        <w:rPr>
          <w:rFonts w:hint="default" w:eastAsia="宋体"/>
          <w:lang w:val="en-US" w:eastAsia="zh-CN"/>
        </w:rPr>
      </w:pPr>
      <w:r>
        <w:rPr>
          <w:rFonts w:hint="eastAsia" w:eastAsia="宋体"/>
          <w:lang w:val="en-US" w:eastAsia="zh-CN"/>
        </w:rPr>
        <w:t>The rest steps of this alternative are as same as the step 7 to step 14 in the alternative 1.</w:t>
      </w:r>
    </w:p>
    <w:p>
      <w:pPr>
        <w:widowControl w:val="0"/>
        <w:numPr>
          <w:ilvl w:val="0"/>
          <w:numId w:val="0"/>
        </w:numPr>
        <w:jc w:val="both"/>
        <w:rPr>
          <w:rFonts w:hint="eastAsia"/>
          <w:b/>
          <w:bCs/>
          <w:lang w:val="en-US" w:eastAsia="zh-CN"/>
        </w:rPr>
      </w:pPr>
      <w:r>
        <w:rPr>
          <w:rFonts w:hint="eastAsia" w:eastAsia="宋体"/>
          <w:b/>
          <w:bCs/>
          <w:lang w:val="en-US" w:eastAsia="zh-CN"/>
        </w:rPr>
        <w:t>Proposal 2 :</w:t>
      </w:r>
      <w:r>
        <w:rPr>
          <w:rFonts w:hint="eastAsia"/>
          <w:b/>
          <w:bCs/>
          <w:lang w:val="en-US" w:eastAsia="zh-CN"/>
        </w:rPr>
        <w:t xml:space="preserve"> Two alternatives of the mobility procedures for QoE shall be considered:</w:t>
      </w:r>
    </w:p>
    <w:p>
      <w:pPr>
        <w:widowControl w:val="0"/>
        <w:numPr>
          <w:ilvl w:val="0"/>
          <w:numId w:val="0"/>
        </w:numPr>
        <w:ind w:firstLine="420" w:firstLineChars="0"/>
        <w:jc w:val="both"/>
        <w:rPr>
          <w:rFonts w:hint="eastAsia"/>
          <w:b/>
          <w:bCs/>
          <w:lang w:val="en-US" w:eastAsia="zh-CN"/>
        </w:rPr>
      </w:pPr>
      <w:r>
        <w:rPr>
          <w:rFonts w:hint="eastAsia"/>
          <w:b/>
          <w:bCs/>
          <w:lang w:val="en-US" w:eastAsia="zh-CN"/>
        </w:rPr>
        <w:t>Alt1: Consider the LTE mechanism as baseline.</w:t>
      </w:r>
    </w:p>
    <w:p>
      <w:pPr>
        <w:widowControl w:val="0"/>
        <w:numPr>
          <w:ilvl w:val="0"/>
          <w:numId w:val="0"/>
        </w:numPr>
        <w:ind w:firstLine="420" w:firstLineChars="0"/>
        <w:jc w:val="both"/>
        <w:rPr>
          <w:rFonts w:hint="eastAsia"/>
          <w:b/>
          <w:bCs/>
          <w:lang w:val="en-US" w:eastAsia="zh-CN"/>
        </w:rPr>
      </w:pPr>
      <w:r>
        <w:rPr>
          <w:rFonts w:hint="eastAsia"/>
          <w:b/>
          <w:bCs/>
          <w:lang w:val="en-US" w:eastAsia="zh-CN"/>
        </w:rPr>
        <w:t>Alt2: UE keeps the AreaScope and processes the area checking after handover.</w:t>
      </w:r>
    </w:p>
    <w:p>
      <w:pPr>
        <w:widowControl w:val="0"/>
        <w:numPr>
          <w:ilvl w:val="0"/>
          <w:numId w:val="0"/>
        </w:numPr>
        <w:jc w:val="both"/>
        <w:rPr>
          <w:rFonts w:hint="default"/>
          <w:b w:val="0"/>
          <w:bCs w:val="0"/>
          <w:lang w:val="en-US" w:eastAsia="zh-CN"/>
        </w:rPr>
      </w:pPr>
      <w:r>
        <w:rPr>
          <w:rFonts w:hint="eastAsia"/>
          <w:b w:val="0"/>
          <w:bCs w:val="0"/>
          <w:lang w:val="en-US" w:eastAsia="zh-CN"/>
        </w:rPr>
        <w:t>As explained above, the main difference between these two alternatives is which entity is responsible for the area scope checking. In our understanding, because the LTE mechanism has already been used for LTE QoE continuity, RAN2 may not need to re-invent the mechanism for NR QoE continuity supporting. In addition, for the case of mobility, both intra-system handover and inter-system handover can be considered in NR. However, since the support of inter-system handover may require some changes in CN, we think the QoE continuity during inter-system handover can be down prioritized.</w:t>
      </w:r>
    </w:p>
    <w:p>
      <w:pPr>
        <w:widowControl w:val="0"/>
        <w:numPr>
          <w:ilvl w:val="0"/>
          <w:numId w:val="0"/>
        </w:numPr>
        <w:jc w:val="both"/>
        <w:rPr>
          <w:rFonts w:hint="eastAsia" w:eastAsia="宋体" w:cs="Times New Roman"/>
          <w:b/>
          <w:bCs/>
          <w:lang w:val="en-US" w:eastAsia="zh-CN"/>
        </w:rPr>
      </w:pPr>
      <w:r>
        <w:rPr>
          <w:rFonts w:hint="eastAsia" w:eastAsia="宋体" w:cs="Times New Roman"/>
          <w:b/>
          <w:bCs/>
          <w:lang w:val="en-US" w:eastAsia="zh-CN"/>
        </w:rPr>
        <w:t>Proposal 3: RAN2 shall discuss&amp;consider the following aspects as higher priority:</w:t>
      </w:r>
    </w:p>
    <w:p>
      <w:pPr>
        <w:numPr>
          <w:ilvl w:val="0"/>
          <w:numId w:val="9"/>
        </w:numPr>
        <w:ind w:firstLine="420" w:firstLineChars="0"/>
        <w:rPr>
          <w:rFonts w:hint="default" w:eastAsia="宋体" w:cs="Times New Roman"/>
          <w:b/>
          <w:bCs/>
          <w:lang w:val="en-US" w:eastAsia="zh-CN"/>
        </w:rPr>
      </w:pPr>
      <w:r>
        <w:rPr>
          <w:rFonts w:hint="eastAsia" w:eastAsia="宋体" w:cs="Times New Roman"/>
          <w:b/>
          <w:bCs/>
          <w:lang w:val="en-US" w:eastAsia="zh-CN"/>
        </w:rPr>
        <w:t>LTE QoE continuity mechanism as baseline in NR.</w:t>
      </w:r>
    </w:p>
    <w:p>
      <w:pPr>
        <w:numPr>
          <w:ilvl w:val="0"/>
          <w:numId w:val="9"/>
        </w:numPr>
        <w:ind w:firstLine="420" w:firstLineChars="0"/>
        <w:rPr>
          <w:rFonts w:hint="default" w:eastAsia="宋体"/>
          <w:lang w:val="en-US" w:eastAsia="zh-CN"/>
        </w:rPr>
      </w:pPr>
      <w:r>
        <w:rPr>
          <w:rFonts w:hint="eastAsia" w:eastAsia="宋体" w:cs="Times New Roman"/>
          <w:b/>
          <w:bCs/>
          <w:lang w:val="en-US" w:eastAsia="zh-CN"/>
        </w:rPr>
        <w:t>NR QoE continuity during intra-system handover.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Conclusion </w:t>
      </w:r>
      <w:r>
        <w:rPr>
          <w:rFonts w:cs="Arial"/>
          <w:b w:val="0"/>
          <w:bCs w:val="0"/>
          <w:kern w:val="0"/>
          <w:sz w:val="32"/>
          <w:szCs w:val="36"/>
        </w:rPr>
        <w:t>and proposals</w:t>
      </w:r>
    </w:p>
    <w:p>
      <w:pPr>
        <w:rPr>
          <w:rFonts w:hint="eastAsia" w:eastAsia="宋体"/>
          <w:b/>
          <w:bCs/>
          <w:lang w:val="en-US" w:eastAsia="zh-CN"/>
        </w:rPr>
      </w:pPr>
      <w:r>
        <w:rPr>
          <w:rFonts w:hint="eastAsia" w:eastAsia="宋体"/>
          <w:b/>
          <w:bCs/>
          <w:lang w:val="en-US" w:eastAsia="zh-CN"/>
        </w:rPr>
        <w:t>Observation 1: Management based QoE continuity during intra-RAT handover is supported in LTE.</w:t>
      </w:r>
    </w:p>
    <w:p>
      <w:pPr>
        <w:rPr>
          <w:rFonts w:hint="eastAsia" w:eastAsia="宋体" w:cs="Times New Roman"/>
          <w:lang w:val="en-US" w:eastAsia="zh-CN"/>
        </w:rPr>
      </w:pPr>
      <w:r>
        <w:rPr>
          <w:rFonts w:hint="eastAsia" w:eastAsia="宋体" w:cs="Times New Roman"/>
          <w:b/>
          <w:bCs/>
          <w:lang w:val="en-US" w:eastAsia="zh-CN"/>
        </w:rPr>
        <w:t>Proposal 1: Both signalling based and management based QoE continuity during handover shall be supported in NR.</w:t>
      </w:r>
    </w:p>
    <w:p>
      <w:pPr>
        <w:widowControl w:val="0"/>
        <w:numPr>
          <w:ilvl w:val="0"/>
          <w:numId w:val="0"/>
        </w:numPr>
        <w:jc w:val="both"/>
        <w:rPr>
          <w:rFonts w:hint="eastAsia"/>
          <w:b/>
          <w:bCs/>
          <w:lang w:val="en-US" w:eastAsia="zh-CN"/>
        </w:rPr>
      </w:pPr>
      <w:r>
        <w:rPr>
          <w:rFonts w:hint="eastAsia" w:eastAsia="宋体"/>
          <w:b/>
          <w:bCs/>
          <w:lang w:val="en-US" w:eastAsia="zh-CN"/>
        </w:rPr>
        <w:t>Proposal 2 :</w:t>
      </w:r>
      <w:r>
        <w:rPr>
          <w:rFonts w:hint="eastAsia"/>
          <w:b/>
          <w:bCs/>
          <w:lang w:val="en-US" w:eastAsia="zh-CN"/>
        </w:rPr>
        <w:t xml:space="preserve"> Two alternatives of the mobility procedures for QoE shall be considered:</w:t>
      </w:r>
    </w:p>
    <w:p>
      <w:pPr>
        <w:widowControl w:val="0"/>
        <w:numPr>
          <w:ilvl w:val="0"/>
          <w:numId w:val="0"/>
        </w:numPr>
        <w:ind w:firstLine="420" w:firstLineChars="0"/>
        <w:jc w:val="both"/>
        <w:rPr>
          <w:rFonts w:hint="eastAsia"/>
          <w:b/>
          <w:bCs/>
          <w:lang w:val="en-US" w:eastAsia="zh-CN"/>
        </w:rPr>
      </w:pPr>
      <w:r>
        <w:rPr>
          <w:rFonts w:hint="eastAsia"/>
          <w:b/>
          <w:bCs/>
          <w:lang w:val="en-US" w:eastAsia="zh-CN"/>
        </w:rPr>
        <w:t>Alt1: Consider the LTE mechanism as baseline.</w:t>
      </w:r>
    </w:p>
    <w:p>
      <w:pPr>
        <w:widowControl w:val="0"/>
        <w:numPr>
          <w:ilvl w:val="0"/>
          <w:numId w:val="0"/>
        </w:numPr>
        <w:ind w:firstLine="420" w:firstLineChars="0"/>
        <w:jc w:val="both"/>
        <w:rPr>
          <w:rFonts w:hint="eastAsia"/>
          <w:b/>
          <w:bCs/>
          <w:lang w:val="en-US" w:eastAsia="zh-CN"/>
        </w:rPr>
      </w:pPr>
      <w:r>
        <w:rPr>
          <w:rFonts w:hint="eastAsia"/>
          <w:b/>
          <w:bCs/>
          <w:lang w:val="en-US" w:eastAsia="zh-CN"/>
        </w:rPr>
        <w:t>Alt2: UE keeps the AreaScope and processes the area checking after handover.</w:t>
      </w:r>
    </w:p>
    <w:p>
      <w:pPr>
        <w:widowControl w:val="0"/>
        <w:numPr>
          <w:ilvl w:val="0"/>
          <w:numId w:val="0"/>
        </w:numPr>
        <w:jc w:val="both"/>
        <w:rPr>
          <w:rFonts w:hint="eastAsia" w:eastAsia="宋体" w:cs="Times New Roman"/>
          <w:b/>
          <w:bCs/>
          <w:lang w:val="en-US" w:eastAsia="zh-CN"/>
        </w:rPr>
      </w:pPr>
      <w:r>
        <w:rPr>
          <w:rFonts w:hint="eastAsia" w:eastAsia="宋体" w:cs="Times New Roman"/>
          <w:b/>
          <w:bCs/>
          <w:lang w:val="en-US" w:eastAsia="zh-CN"/>
        </w:rPr>
        <w:t>Proposal 3: RAN2 shall discuss&amp;consider the following aspects as higher priority:</w:t>
      </w:r>
    </w:p>
    <w:p>
      <w:pPr>
        <w:numPr>
          <w:ilvl w:val="0"/>
          <w:numId w:val="9"/>
        </w:numPr>
        <w:ind w:firstLine="420" w:firstLineChars="0"/>
        <w:rPr>
          <w:rFonts w:hint="default" w:eastAsia="宋体" w:cs="Times New Roman"/>
          <w:b/>
          <w:bCs/>
          <w:lang w:val="en-US" w:eastAsia="zh-CN"/>
        </w:rPr>
      </w:pPr>
      <w:r>
        <w:rPr>
          <w:rFonts w:hint="eastAsia" w:eastAsia="宋体" w:cs="Times New Roman"/>
          <w:b/>
          <w:bCs/>
          <w:lang w:val="en-US" w:eastAsia="zh-CN"/>
        </w:rPr>
        <w:t>LTE QoE continuity mechanism as baseline in NR.</w:t>
      </w:r>
    </w:p>
    <w:p>
      <w:pPr>
        <w:numPr>
          <w:ilvl w:val="0"/>
          <w:numId w:val="9"/>
        </w:numPr>
        <w:ind w:firstLine="420" w:firstLineChars="0"/>
        <w:rPr>
          <w:rFonts w:hint="eastAsia" w:eastAsia="宋体"/>
          <w:b/>
          <w:bCs/>
          <w:lang w:val="en-US" w:eastAsia="zh-CN"/>
        </w:rPr>
      </w:pPr>
      <w:r>
        <w:rPr>
          <w:rFonts w:hint="eastAsia" w:eastAsia="宋体" w:cs="Times New Roman"/>
          <w:b/>
          <w:bCs/>
          <w:lang w:val="en-US" w:eastAsia="zh-CN"/>
        </w:rPr>
        <w:t>NR QoE continuity during intra-system handover.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Reference</w:t>
      </w:r>
    </w:p>
    <w:p>
      <w:pPr>
        <w:keepNext w:val="0"/>
        <w:keepLines w:val="0"/>
        <w:pageBreakBefore w:val="0"/>
        <w:numPr>
          <w:ilvl w:val="0"/>
          <w:numId w:val="10"/>
        </w:numPr>
        <w:kinsoku/>
        <w:wordWrap/>
        <w:overflowPunct/>
        <w:topLinePunct w:val="0"/>
        <w:autoSpaceDE/>
        <w:autoSpaceDN/>
        <w:bidi w:val="0"/>
        <w:adjustRightInd/>
        <w:snapToGrid/>
        <w:spacing w:line="240" w:lineRule="auto"/>
        <w:ind w:left="0" w:leftChars="0" w:firstLine="0" w:firstLineChars="0"/>
        <w:textAlignment w:val="auto"/>
        <w:rPr>
          <w:lang w:val="en-US" w:eastAsia="zh-CN"/>
        </w:rPr>
      </w:pPr>
      <w:r>
        <w:rPr>
          <w:rFonts w:hint="eastAsia" w:eastAsia="宋体" w:cs="Arial"/>
          <w:strike w:val="0"/>
          <w:dstrike w:val="0"/>
          <w:sz w:val="21"/>
          <w:szCs w:val="21"/>
          <w:lang w:val="en-US" w:eastAsia="zh-CN"/>
        </w:rPr>
        <w:t xml:space="preserve">3GPP </w:t>
      </w:r>
      <w:r>
        <w:rPr>
          <w:rFonts w:hint="eastAsia"/>
          <w:lang w:val="en-US" w:eastAsia="zh-CN"/>
        </w:rPr>
        <w:t>RP-193256</w:t>
      </w:r>
      <w:r>
        <w:rPr>
          <w:rFonts w:hint="eastAsia" w:eastAsia="宋体" w:cs="Arial"/>
          <w:strike w:val="0"/>
          <w:dstrike w:val="0"/>
          <w:sz w:val="21"/>
          <w:szCs w:val="21"/>
          <w:lang w:val="en-US" w:eastAsia="zh-CN"/>
        </w:rPr>
        <w:t xml:space="preserve">, </w:t>
      </w:r>
      <w:r>
        <w:rPr>
          <w:rFonts w:hint="default" w:eastAsia="宋体" w:cs="Arial"/>
          <w:strike w:val="0"/>
          <w:dstrike w:val="0"/>
          <w:sz w:val="21"/>
          <w:szCs w:val="21"/>
          <w:lang w:val="en-US" w:eastAsia="zh-CN"/>
        </w:rPr>
        <w:t>“</w:t>
      </w:r>
      <w:r>
        <w:rPr>
          <w:rFonts w:hint="default" w:ascii="Arial" w:hAnsi="Arial" w:eastAsia="宋体" w:cs="Arial"/>
          <w:strike w:val="0"/>
          <w:dstrike w:val="0"/>
          <w:sz w:val="21"/>
          <w:szCs w:val="21"/>
          <w:lang w:val="en-US" w:eastAsia="zh-CN"/>
        </w:rPr>
        <w:t>New SID: Study on NR QoE management and optimizations for diverse services</w:t>
      </w:r>
      <w:r>
        <w:rPr>
          <w:rFonts w:hint="default" w:eastAsia="宋体" w:cs="Arial"/>
          <w:b w:val="0"/>
          <w:bCs w:val="0"/>
          <w:strike w:val="0"/>
          <w:dstrike w:val="0"/>
          <w:sz w:val="21"/>
          <w:szCs w:val="21"/>
          <w:lang w:val="en-US" w:eastAsia="zh-CN"/>
        </w:rPr>
        <w:t>”</w:t>
      </w:r>
      <w:r>
        <w:rPr>
          <w:rFonts w:hint="default" w:ascii="Arial" w:hAnsi="Arial" w:eastAsia="宋体" w:cs="Arial"/>
          <w:strike w:val="0"/>
          <w:dstrike w:val="0"/>
          <w:sz w:val="21"/>
          <w:szCs w:val="21"/>
          <w:lang w:val="en-US" w:eastAsia="zh-CN"/>
        </w:rPr>
        <w:t>, RAN</w:t>
      </w:r>
      <w:r>
        <w:rPr>
          <w:rFonts w:hint="eastAsia" w:eastAsia="宋体" w:cs="Arial"/>
          <w:strike w:val="0"/>
          <w:dstrike w:val="0"/>
          <w:sz w:val="21"/>
          <w:szCs w:val="21"/>
          <w:lang w:val="en-US" w:eastAsia="zh-CN"/>
        </w:rPr>
        <w:t>,Dec, 2019.</w:t>
      </w:r>
    </w:p>
    <w:p>
      <w:pPr>
        <w:numPr>
          <w:ilvl w:val="0"/>
          <w:numId w:val="10"/>
        </w:numPr>
        <w:spacing w:line="240" w:lineRule="auto"/>
        <w:rPr>
          <w:rFonts w:hint="eastAsia"/>
          <w:lang w:val="en-US" w:eastAsia="zh-CN"/>
        </w:rPr>
      </w:pPr>
      <w:r>
        <w:rPr>
          <w:rFonts w:hint="eastAsia" w:eastAsia="宋体" w:cs="Arial"/>
          <w:color w:val="000000"/>
          <w:sz w:val="21"/>
          <w:lang w:val="en-US" w:eastAsia="zh-CN"/>
        </w:rPr>
        <w:t xml:space="preserve">3GPP </w:t>
      </w:r>
      <w:r>
        <w:rPr>
          <w:rFonts w:hint="eastAsia" w:eastAsia="宋体"/>
          <w:lang w:val="en-US" w:eastAsia="zh-CN"/>
        </w:rPr>
        <w:t xml:space="preserve">TS 28.405, </w:t>
      </w:r>
      <w:r>
        <w:rPr>
          <w:rFonts w:hint="default" w:eastAsia="宋体"/>
          <w:lang w:val="en-US" w:eastAsia="zh-CN"/>
        </w:rPr>
        <w:t>“Quality of Experience (QoE) measurement collection</w:t>
      </w:r>
      <w:r>
        <w:rPr>
          <w:rFonts w:hint="eastAsia" w:eastAsia="宋体"/>
          <w:lang w:val="en-US" w:eastAsia="zh-CN"/>
        </w:rPr>
        <w:t xml:space="preserve"> </w:t>
      </w:r>
      <w:r>
        <w:rPr>
          <w:rFonts w:hint="default" w:eastAsia="宋体"/>
          <w:lang w:val="en-US" w:eastAsia="zh-CN"/>
        </w:rPr>
        <w:t>Control and configuration”</w:t>
      </w:r>
      <w:r>
        <w:rPr>
          <w:rFonts w:hint="eastAsia" w:eastAsia="宋体"/>
          <w:lang w:val="en-US" w:eastAsia="zh-CN"/>
        </w:rPr>
        <w:t xml:space="preserve"> </w:t>
      </w:r>
      <w:r>
        <w:rPr>
          <w:rFonts w:hint="eastAsia" w:eastAsia="宋体" w:cs="Arial"/>
          <w:color w:val="000000"/>
          <w:sz w:val="21"/>
          <w:lang w:val="en-US" w:eastAsia="zh-CN"/>
        </w:rPr>
        <w:t>Release 16,v16.0.0, JUL, 2020</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B275791E"/>
    <w:multiLevelType w:val="singleLevel"/>
    <w:tmpl w:val="B275791E"/>
    <w:lvl w:ilvl="0" w:tentative="0">
      <w:start w:val="1"/>
      <w:numFmt w:val="decimal"/>
      <w:suff w:val="space"/>
      <w:lvlText w:val="%1."/>
      <w:lvlJc w:val="left"/>
    </w:lvl>
  </w:abstractNum>
  <w:abstractNum w:abstractNumId="2">
    <w:nsid w:val="B96D3091"/>
    <w:multiLevelType w:val="singleLevel"/>
    <w:tmpl w:val="B96D3091"/>
    <w:lvl w:ilvl="0" w:tentative="0">
      <w:start w:val="1"/>
      <w:numFmt w:val="decimal"/>
      <w:suff w:val="space"/>
      <w:lvlText w:val="%1."/>
      <w:lvlJc w:val="left"/>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3C38334"/>
    <w:multiLevelType w:val="singleLevel"/>
    <w:tmpl w:val="03C38334"/>
    <w:lvl w:ilvl="0" w:tentative="0">
      <w:start w:val="1"/>
      <w:numFmt w:val="decimal"/>
      <w:suff w:val="space"/>
      <w:lvlText w:val="%1."/>
      <w:lvlJc w:val="left"/>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1970B1B"/>
    <w:multiLevelType w:val="multilevel"/>
    <w:tmpl w:val="11970B1B"/>
    <w:lvl w:ilvl="0" w:tentative="0">
      <w:start w:val="8"/>
      <w:numFmt w:val="bullet"/>
      <w:lvlText w:val="-"/>
      <w:lvlJc w:val="left"/>
      <w:pPr>
        <w:tabs>
          <w:tab w:val="left" w:pos="360"/>
        </w:tabs>
        <w:ind w:left="360" w:hanging="360"/>
      </w:pPr>
      <w:rPr>
        <w:rFonts w:hint="default" w:ascii="Times New Roman" w:hAnsi="Times New Roman" w:eastAsia="Times New Roman" w:cs="Times New Roman"/>
      </w:rPr>
    </w:lvl>
    <w:lvl w:ilvl="1" w:tentative="0">
      <w:start w:val="8"/>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Wingdings" w:hAnsi="Wingdings"/>
      </w:rPr>
    </w:lvl>
    <w:lvl w:ilvl="3" w:tentative="0">
      <w:start w:val="106"/>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9"/>
  </w:num>
  <w:num w:numId="3">
    <w:abstractNumId w:val="7"/>
  </w:num>
  <w:num w:numId="4">
    <w:abstractNumId w:val="8"/>
  </w:num>
  <w:num w:numId="5">
    <w:abstractNumId w:val="5"/>
  </w:num>
  <w:num w:numId="6">
    <w:abstractNumId w:val="6"/>
  </w:num>
  <w:num w:numId="7">
    <w:abstractNumId w:val="1"/>
  </w:num>
  <w:num w:numId="8">
    <w:abstractNumId w:val="4"/>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7BF"/>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49B"/>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5D01"/>
    <w:rsid w:val="00287147"/>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059A"/>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4220"/>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00A0"/>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0469"/>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FF"/>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0799"/>
    <w:rsid w:val="00F012FF"/>
    <w:rsid w:val="00F01A21"/>
    <w:rsid w:val="00F046E9"/>
    <w:rsid w:val="00F04831"/>
    <w:rsid w:val="00F11A9C"/>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26153"/>
    <w:rsid w:val="016F2955"/>
    <w:rsid w:val="01E06294"/>
    <w:rsid w:val="01FD7EC6"/>
    <w:rsid w:val="02090528"/>
    <w:rsid w:val="02096E03"/>
    <w:rsid w:val="021A15C5"/>
    <w:rsid w:val="0276200A"/>
    <w:rsid w:val="02852DB6"/>
    <w:rsid w:val="02AF57A1"/>
    <w:rsid w:val="02C63FE5"/>
    <w:rsid w:val="03695ACD"/>
    <w:rsid w:val="0427122D"/>
    <w:rsid w:val="04405CD4"/>
    <w:rsid w:val="052A42A4"/>
    <w:rsid w:val="06270E5D"/>
    <w:rsid w:val="06301129"/>
    <w:rsid w:val="07332E45"/>
    <w:rsid w:val="07393CB3"/>
    <w:rsid w:val="07645E7E"/>
    <w:rsid w:val="07815AA2"/>
    <w:rsid w:val="07DB31F6"/>
    <w:rsid w:val="08036844"/>
    <w:rsid w:val="083828A5"/>
    <w:rsid w:val="085865F6"/>
    <w:rsid w:val="086A0D8F"/>
    <w:rsid w:val="08870B03"/>
    <w:rsid w:val="09253E9C"/>
    <w:rsid w:val="0929781C"/>
    <w:rsid w:val="095438C6"/>
    <w:rsid w:val="098B1EF5"/>
    <w:rsid w:val="09911B95"/>
    <w:rsid w:val="09945F3A"/>
    <w:rsid w:val="09CB5A6C"/>
    <w:rsid w:val="09F00BD8"/>
    <w:rsid w:val="09F318B6"/>
    <w:rsid w:val="09FD6E02"/>
    <w:rsid w:val="0A1A74F5"/>
    <w:rsid w:val="0A1D73FF"/>
    <w:rsid w:val="0A305586"/>
    <w:rsid w:val="0A35590A"/>
    <w:rsid w:val="0A53531D"/>
    <w:rsid w:val="0A750F68"/>
    <w:rsid w:val="0AEC356E"/>
    <w:rsid w:val="0B110D70"/>
    <w:rsid w:val="0B545B44"/>
    <w:rsid w:val="0C4A196E"/>
    <w:rsid w:val="0CBA1583"/>
    <w:rsid w:val="0CBC415D"/>
    <w:rsid w:val="0CD249CC"/>
    <w:rsid w:val="0D81562A"/>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7969D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F32BCE"/>
    <w:rsid w:val="18FF4ABB"/>
    <w:rsid w:val="19343406"/>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BD093F"/>
    <w:rsid w:val="1CC83450"/>
    <w:rsid w:val="1CE21C50"/>
    <w:rsid w:val="1D235F66"/>
    <w:rsid w:val="1D340984"/>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3552489"/>
    <w:rsid w:val="2418652F"/>
    <w:rsid w:val="241B4523"/>
    <w:rsid w:val="245A1846"/>
    <w:rsid w:val="248512BD"/>
    <w:rsid w:val="24E51B39"/>
    <w:rsid w:val="25173A41"/>
    <w:rsid w:val="252D5DCC"/>
    <w:rsid w:val="255B75CB"/>
    <w:rsid w:val="25A45302"/>
    <w:rsid w:val="25A94E88"/>
    <w:rsid w:val="25E135DF"/>
    <w:rsid w:val="261E413F"/>
    <w:rsid w:val="263E633F"/>
    <w:rsid w:val="267E599C"/>
    <w:rsid w:val="26C17FC8"/>
    <w:rsid w:val="273C6E20"/>
    <w:rsid w:val="27B132D6"/>
    <w:rsid w:val="27FF1FDA"/>
    <w:rsid w:val="28BC7E56"/>
    <w:rsid w:val="29095102"/>
    <w:rsid w:val="293E1B9C"/>
    <w:rsid w:val="29B32846"/>
    <w:rsid w:val="29ED63D5"/>
    <w:rsid w:val="2A275682"/>
    <w:rsid w:val="2A275D46"/>
    <w:rsid w:val="2AA14025"/>
    <w:rsid w:val="2B2348E2"/>
    <w:rsid w:val="2B5D0645"/>
    <w:rsid w:val="2B6E4D8F"/>
    <w:rsid w:val="2B907720"/>
    <w:rsid w:val="2BCD0751"/>
    <w:rsid w:val="2C7F2EA6"/>
    <w:rsid w:val="2C8E4E6A"/>
    <w:rsid w:val="2C9927E7"/>
    <w:rsid w:val="2CA56F60"/>
    <w:rsid w:val="2CAF2767"/>
    <w:rsid w:val="2CFB59F1"/>
    <w:rsid w:val="2D125EB2"/>
    <w:rsid w:val="2D1E05D5"/>
    <w:rsid w:val="2D5627A8"/>
    <w:rsid w:val="2D9A6090"/>
    <w:rsid w:val="2DBD4FAF"/>
    <w:rsid w:val="2E09336F"/>
    <w:rsid w:val="2E8E2E39"/>
    <w:rsid w:val="2EC27772"/>
    <w:rsid w:val="2F263E1B"/>
    <w:rsid w:val="2F337D9E"/>
    <w:rsid w:val="3003631E"/>
    <w:rsid w:val="30745F5B"/>
    <w:rsid w:val="3078124A"/>
    <w:rsid w:val="3090209F"/>
    <w:rsid w:val="31623402"/>
    <w:rsid w:val="31EB4942"/>
    <w:rsid w:val="32187B45"/>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42096B"/>
    <w:rsid w:val="366043F8"/>
    <w:rsid w:val="366626F2"/>
    <w:rsid w:val="371D2E2E"/>
    <w:rsid w:val="374F6194"/>
    <w:rsid w:val="377F6041"/>
    <w:rsid w:val="37BC7D72"/>
    <w:rsid w:val="37E15A1B"/>
    <w:rsid w:val="382E42A6"/>
    <w:rsid w:val="38A75F14"/>
    <w:rsid w:val="38BD2C6C"/>
    <w:rsid w:val="38FA0996"/>
    <w:rsid w:val="396E02FE"/>
    <w:rsid w:val="3982272C"/>
    <w:rsid w:val="399648C1"/>
    <w:rsid w:val="3A156CE0"/>
    <w:rsid w:val="3A2D66D3"/>
    <w:rsid w:val="3A891A0E"/>
    <w:rsid w:val="3A9620D1"/>
    <w:rsid w:val="3AA102E5"/>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66441"/>
    <w:rsid w:val="3E9F10BF"/>
    <w:rsid w:val="3EC40624"/>
    <w:rsid w:val="3F0875E3"/>
    <w:rsid w:val="3F09726C"/>
    <w:rsid w:val="3F1F25CF"/>
    <w:rsid w:val="3F5B21D1"/>
    <w:rsid w:val="3FBD74AC"/>
    <w:rsid w:val="402F7D1A"/>
    <w:rsid w:val="4091411C"/>
    <w:rsid w:val="411531A3"/>
    <w:rsid w:val="414B0A93"/>
    <w:rsid w:val="415723A1"/>
    <w:rsid w:val="41643432"/>
    <w:rsid w:val="421B0E01"/>
    <w:rsid w:val="42481B2A"/>
    <w:rsid w:val="437906BF"/>
    <w:rsid w:val="43945CC5"/>
    <w:rsid w:val="43CE3BC6"/>
    <w:rsid w:val="43FB5AF0"/>
    <w:rsid w:val="440B4BBE"/>
    <w:rsid w:val="44152BFC"/>
    <w:rsid w:val="44211E9A"/>
    <w:rsid w:val="446A1C8A"/>
    <w:rsid w:val="44C70D28"/>
    <w:rsid w:val="44EE2D37"/>
    <w:rsid w:val="45465A74"/>
    <w:rsid w:val="45661347"/>
    <w:rsid w:val="457210D8"/>
    <w:rsid w:val="45AD01DD"/>
    <w:rsid w:val="45E30915"/>
    <w:rsid w:val="45E40321"/>
    <w:rsid w:val="4625557D"/>
    <w:rsid w:val="465173C0"/>
    <w:rsid w:val="467E3F9B"/>
    <w:rsid w:val="46825B05"/>
    <w:rsid w:val="4684656F"/>
    <w:rsid w:val="46CC7A0B"/>
    <w:rsid w:val="47047ED5"/>
    <w:rsid w:val="470D32F9"/>
    <w:rsid w:val="473D266B"/>
    <w:rsid w:val="47B952BD"/>
    <w:rsid w:val="47FE7D60"/>
    <w:rsid w:val="48110BF4"/>
    <w:rsid w:val="48200D75"/>
    <w:rsid w:val="48283643"/>
    <w:rsid w:val="48516D40"/>
    <w:rsid w:val="486A5C7B"/>
    <w:rsid w:val="48893356"/>
    <w:rsid w:val="48BB3F94"/>
    <w:rsid w:val="48E03D9C"/>
    <w:rsid w:val="49374149"/>
    <w:rsid w:val="49613924"/>
    <w:rsid w:val="496D0F3E"/>
    <w:rsid w:val="49912F7C"/>
    <w:rsid w:val="49E12571"/>
    <w:rsid w:val="49E378C6"/>
    <w:rsid w:val="4A24091A"/>
    <w:rsid w:val="4A834EBE"/>
    <w:rsid w:val="4B3040AF"/>
    <w:rsid w:val="4B55574A"/>
    <w:rsid w:val="4BA90131"/>
    <w:rsid w:val="4BB36285"/>
    <w:rsid w:val="4BD35EC5"/>
    <w:rsid w:val="4C1B3C0A"/>
    <w:rsid w:val="4C4846F9"/>
    <w:rsid w:val="4CBC728A"/>
    <w:rsid w:val="4CFB69A6"/>
    <w:rsid w:val="4D2316EA"/>
    <w:rsid w:val="4D267491"/>
    <w:rsid w:val="4D830955"/>
    <w:rsid w:val="4E3E017D"/>
    <w:rsid w:val="4E5F59DA"/>
    <w:rsid w:val="4E6C5B26"/>
    <w:rsid w:val="4EA44C2A"/>
    <w:rsid w:val="4F2941D5"/>
    <w:rsid w:val="4F5D7263"/>
    <w:rsid w:val="4FFC0A94"/>
    <w:rsid w:val="50081059"/>
    <w:rsid w:val="50F36CD9"/>
    <w:rsid w:val="512E641B"/>
    <w:rsid w:val="517D0435"/>
    <w:rsid w:val="517D059D"/>
    <w:rsid w:val="51FA56D9"/>
    <w:rsid w:val="521C5BE2"/>
    <w:rsid w:val="523F7F97"/>
    <w:rsid w:val="53016455"/>
    <w:rsid w:val="53047529"/>
    <w:rsid w:val="54107975"/>
    <w:rsid w:val="5451551D"/>
    <w:rsid w:val="548C2C0D"/>
    <w:rsid w:val="54D6790A"/>
    <w:rsid w:val="54FE7DD7"/>
    <w:rsid w:val="553A4CBA"/>
    <w:rsid w:val="55790C1B"/>
    <w:rsid w:val="557E6857"/>
    <w:rsid w:val="55E15918"/>
    <w:rsid w:val="55E65C45"/>
    <w:rsid w:val="563A460F"/>
    <w:rsid w:val="566B6C45"/>
    <w:rsid w:val="56975E59"/>
    <w:rsid w:val="569C350B"/>
    <w:rsid w:val="56BF0EA2"/>
    <w:rsid w:val="56EA3918"/>
    <w:rsid w:val="572949D6"/>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0110A"/>
    <w:rsid w:val="5B3C55BF"/>
    <w:rsid w:val="5B63756F"/>
    <w:rsid w:val="5B725B6B"/>
    <w:rsid w:val="5BBE026D"/>
    <w:rsid w:val="5BD439A7"/>
    <w:rsid w:val="5BDF3319"/>
    <w:rsid w:val="5C991133"/>
    <w:rsid w:val="5C995E25"/>
    <w:rsid w:val="5CBF1007"/>
    <w:rsid w:val="5D5144C0"/>
    <w:rsid w:val="5E2A7858"/>
    <w:rsid w:val="5E790BE8"/>
    <w:rsid w:val="5E973039"/>
    <w:rsid w:val="5EA87B0A"/>
    <w:rsid w:val="5EB119EE"/>
    <w:rsid w:val="5EEF7AA9"/>
    <w:rsid w:val="5F3E2940"/>
    <w:rsid w:val="5F4945D9"/>
    <w:rsid w:val="5F4E4F30"/>
    <w:rsid w:val="5F543805"/>
    <w:rsid w:val="5F825446"/>
    <w:rsid w:val="5FAE4FA2"/>
    <w:rsid w:val="5FBE69BB"/>
    <w:rsid w:val="5FC74F96"/>
    <w:rsid w:val="5FCB4192"/>
    <w:rsid w:val="601A7A49"/>
    <w:rsid w:val="602F4794"/>
    <w:rsid w:val="607F4912"/>
    <w:rsid w:val="60881A7C"/>
    <w:rsid w:val="609751E5"/>
    <w:rsid w:val="60C10976"/>
    <w:rsid w:val="61C16E82"/>
    <w:rsid w:val="61D81A5C"/>
    <w:rsid w:val="61DB30DC"/>
    <w:rsid w:val="620D1678"/>
    <w:rsid w:val="62B8321C"/>
    <w:rsid w:val="630962B4"/>
    <w:rsid w:val="637579AD"/>
    <w:rsid w:val="63766DF5"/>
    <w:rsid w:val="63BE6B4B"/>
    <w:rsid w:val="63E41E32"/>
    <w:rsid w:val="643636FB"/>
    <w:rsid w:val="64522BD2"/>
    <w:rsid w:val="646766DC"/>
    <w:rsid w:val="64D47642"/>
    <w:rsid w:val="64E010F2"/>
    <w:rsid w:val="6503009D"/>
    <w:rsid w:val="651A4E9C"/>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9DF5FC8"/>
    <w:rsid w:val="6A2F1F48"/>
    <w:rsid w:val="6A9B47A1"/>
    <w:rsid w:val="6AFF14C0"/>
    <w:rsid w:val="6B0E13E7"/>
    <w:rsid w:val="6B1301B0"/>
    <w:rsid w:val="6B29781B"/>
    <w:rsid w:val="6B5068BA"/>
    <w:rsid w:val="6BFF0085"/>
    <w:rsid w:val="6D17028B"/>
    <w:rsid w:val="6D2552D8"/>
    <w:rsid w:val="6D302D5D"/>
    <w:rsid w:val="6D3C235D"/>
    <w:rsid w:val="6D6A2457"/>
    <w:rsid w:val="6D935AB0"/>
    <w:rsid w:val="6DA62403"/>
    <w:rsid w:val="6E087119"/>
    <w:rsid w:val="6E0A3A07"/>
    <w:rsid w:val="6E372360"/>
    <w:rsid w:val="6E4F724A"/>
    <w:rsid w:val="6E60770D"/>
    <w:rsid w:val="6F037853"/>
    <w:rsid w:val="6F7B3028"/>
    <w:rsid w:val="6FA027BC"/>
    <w:rsid w:val="6FC55DFE"/>
    <w:rsid w:val="70020A66"/>
    <w:rsid w:val="701A03F2"/>
    <w:rsid w:val="701B6FD8"/>
    <w:rsid w:val="704266E6"/>
    <w:rsid w:val="70475750"/>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4D0362"/>
    <w:rsid w:val="74796ABE"/>
    <w:rsid w:val="74837C33"/>
    <w:rsid w:val="74A87093"/>
    <w:rsid w:val="74C80433"/>
    <w:rsid w:val="74E229B4"/>
    <w:rsid w:val="74E9694C"/>
    <w:rsid w:val="74EC26A7"/>
    <w:rsid w:val="75034CF7"/>
    <w:rsid w:val="75DF32A0"/>
    <w:rsid w:val="760A43BF"/>
    <w:rsid w:val="761321E0"/>
    <w:rsid w:val="761450E8"/>
    <w:rsid w:val="76210F20"/>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F7674"/>
    <w:rsid w:val="7E1F6225"/>
    <w:rsid w:val="7E5940F2"/>
    <w:rsid w:val="7E5B35FF"/>
    <w:rsid w:val="7E620ACE"/>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BECB0-574F-4425-95C4-8E30CBEFA81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845</Words>
  <Characters>4821</Characters>
  <Lines>40</Lines>
  <Paragraphs>11</Paragraphs>
  <TotalTime>1</TotalTime>
  <ScaleCrop>false</ScaleCrop>
  <LinksUpToDate>false</LinksUpToDate>
  <CharactersWithSpaces>5655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2020-10-22T07:54:00Z</dcterms:created>
  <dc:creator>10033860</dc:creator>
  <cp:lastModifiedBy>ZTE_Liu Yansheng</cp:lastModifiedBy>
  <cp:lastPrinted>2113-01-01T00:00:00Z</cp:lastPrinted>
  <dcterms:modified xsi:type="dcterms:W3CDTF">2021-01-15T06:26:28Z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