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54ED"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52BDDDAA"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58EDAD3B" w14:textId="77777777" w:rsidR="00E90E49" w:rsidRPr="00CE0424" w:rsidRDefault="00E90E49" w:rsidP="00357380">
      <w:pPr>
        <w:pStyle w:val="3GPPHeader"/>
      </w:pPr>
    </w:p>
    <w:p w14:paraId="311B8E8B" w14:textId="7777777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8F7DF7">
        <w:rPr>
          <w:sz w:val="22"/>
          <w:szCs w:val="22"/>
        </w:rPr>
        <w:t>9.1.3</w:t>
      </w:r>
    </w:p>
    <w:p w14:paraId="093849BC"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F715F9A" w14:textId="77777777" w:rsidR="00E90E49" w:rsidRPr="00CE0424" w:rsidRDefault="003D3C45" w:rsidP="00311702">
      <w:pPr>
        <w:pStyle w:val="3GPPHeader"/>
        <w:rPr>
          <w:sz w:val="22"/>
          <w:szCs w:val="22"/>
        </w:rPr>
      </w:pPr>
      <w:r>
        <w:rPr>
          <w:sz w:val="22"/>
          <w:szCs w:val="22"/>
        </w:rPr>
        <w:t>Title:</w:t>
      </w:r>
      <w:r w:rsidR="00E90E49" w:rsidRPr="00CE0424">
        <w:rPr>
          <w:sz w:val="22"/>
          <w:szCs w:val="22"/>
        </w:rPr>
        <w:tab/>
      </w:r>
      <w:r w:rsidR="008F7DF7">
        <w:rPr>
          <w:sz w:val="22"/>
          <w:szCs w:val="22"/>
        </w:rPr>
        <w:t>[</w:t>
      </w:r>
      <w:r w:rsidR="008F7DF7">
        <w:t>AT112-e][</w:t>
      </w:r>
      <w:proofErr w:type="gramStart"/>
      <w:r w:rsidR="008F7DF7">
        <w:t>302][</w:t>
      </w:r>
      <w:proofErr w:type="gramEnd"/>
      <w:r w:rsidR="008F7DF7">
        <w:t xml:space="preserve">NBIOT R17] </w:t>
      </w:r>
      <w:bookmarkStart w:id="0" w:name="_GoBack"/>
      <w:r w:rsidR="008F7DF7">
        <w:t xml:space="preserve">Carrier selection </w:t>
      </w:r>
      <w:bookmarkEnd w:id="0"/>
      <w:r w:rsidR="008F7DF7">
        <w:t>(Ericsson)</w:t>
      </w:r>
    </w:p>
    <w:p w14:paraId="4B6D7A8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F7DF7">
        <w:rPr>
          <w:sz w:val="22"/>
          <w:szCs w:val="22"/>
        </w:rPr>
        <w:t>Discussion, Decision</w:t>
      </w:r>
    </w:p>
    <w:p w14:paraId="42024FE1" w14:textId="77777777" w:rsidR="00E90E49" w:rsidRPr="00CE0424" w:rsidRDefault="00E90E49" w:rsidP="00E90E49"/>
    <w:p w14:paraId="6DBF4579" w14:textId="77777777" w:rsidR="00E90E49" w:rsidRPr="00CE0424" w:rsidRDefault="00230D18" w:rsidP="00CE0424">
      <w:pPr>
        <w:pStyle w:val="Heading1"/>
      </w:pPr>
      <w:r>
        <w:t>1</w:t>
      </w:r>
      <w:r>
        <w:tab/>
      </w:r>
      <w:r w:rsidR="00E90E49" w:rsidRPr="00CE0424">
        <w:t>Introduction</w:t>
      </w:r>
    </w:p>
    <w:p w14:paraId="5DD931E2" w14:textId="0FC97143" w:rsidR="00477768" w:rsidRDefault="008F7DF7" w:rsidP="00CE0424">
      <w:pPr>
        <w:pStyle w:val="BodyText"/>
      </w:pPr>
      <w:r>
        <w:t xml:space="preserve">The document aims to collect the </w:t>
      </w:r>
      <w:r w:rsidR="00AC0D72">
        <w:t>views</w:t>
      </w:r>
      <w:r>
        <w:t xml:space="preserve"> for below email discussion</w:t>
      </w:r>
      <w:r w:rsidR="00AC0D72">
        <w:t xml:space="preserve"> and to provide summary</w:t>
      </w:r>
    </w:p>
    <w:p w14:paraId="705B9FEA" w14:textId="77777777" w:rsidR="008F7DF7" w:rsidRDefault="008F7DF7" w:rsidP="008F7DF7">
      <w:pPr>
        <w:pStyle w:val="Doc-text2"/>
        <w:rPr>
          <w:lang w:eastAsia="en-GB"/>
        </w:rPr>
      </w:pPr>
    </w:p>
    <w:p w14:paraId="0612B4AB" w14:textId="77777777" w:rsidR="008F7DF7" w:rsidRDefault="008F7DF7" w:rsidP="008F7DF7">
      <w:pPr>
        <w:pStyle w:val="EmailDiscussion"/>
        <w:numPr>
          <w:ilvl w:val="0"/>
          <w:numId w:val="23"/>
        </w:numPr>
        <w:overflowPunct/>
        <w:autoSpaceDE/>
        <w:autoSpaceDN/>
        <w:adjustRightInd/>
        <w:textAlignment w:val="auto"/>
      </w:pPr>
      <w:r>
        <w:t>[AT112-e][</w:t>
      </w:r>
      <w:proofErr w:type="gramStart"/>
      <w:r>
        <w:t>302][</w:t>
      </w:r>
      <w:proofErr w:type="gramEnd"/>
      <w:r>
        <w:t>NBIOT R17] Carrier selection (Ericsson)</w:t>
      </w:r>
    </w:p>
    <w:p w14:paraId="16A9C3E3" w14:textId="77777777" w:rsidR="008F7DF7" w:rsidRDefault="008F7DF7" w:rsidP="008F7DF7">
      <w:pPr>
        <w:pStyle w:val="EmailDiscussion2"/>
      </w:pPr>
      <w:r>
        <w:tab/>
        <w:t>Scope: Discuss what coverage information to use and whether DRX information can be used.</w:t>
      </w:r>
    </w:p>
    <w:p w14:paraId="09CCA50C" w14:textId="77777777" w:rsidR="008F7DF7" w:rsidRDefault="008F7DF7" w:rsidP="008F7DF7">
      <w:pPr>
        <w:pStyle w:val="EmailDiscussion2"/>
      </w:pPr>
      <w:r>
        <w:tab/>
        <w:t>Intended outcome: Report in R2-2010906</w:t>
      </w:r>
    </w:p>
    <w:p w14:paraId="0AE47F13" w14:textId="77777777" w:rsidR="008F7DF7" w:rsidRDefault="008F7DF7" w:rsidP="008F7DF7">
      <w:pPr>
        <w:pStyle w:val="EmailDiscussion2"/>
      </w:pPr>
      <w:r>
        <w:tab/>
        <w:t>Deadline: Tuesday 10</w:t>
      </w:r>
      <w:r>
        <w:rPr>
          <w:vertAlign w:val="superscript"/>
        </w:rPr>
        <w:t>th</w:t>
      </w:r>
      <w:r>
        <w:t xml:space="preserve"> 1200 UTC</w:t>
      </w:r>
    </w:p>
    <w:p w14:paraId="7AEBBAD7" w14:textId="77777777" w:rsidR="008F7DF7" w:rsidRPr="00CE0424" w:rsidRDefault="008F7DF7" w:rsidP="00CE0424">
      <w:pPr>
        <w:pStyle w:val="BodyText"/>
      </w:pPr>
    </w:p>
    <w:p w14:paraId="406BBA20" w14:textId="77777777" w:rsidR="004000E8" w:rsidRDefault="00230D18" w:rsidP="00CE0424">
      <w:pPr>
        <w:pStyle w:val="Heading1"/>
      </w:pPr>
      <w:bookmarkStart w:id="1" w:name="_Ref178064866"/>
      <w:r>
        <w:t>2</w:t>
      </w:r>
      <w:r>
        <w:tab/>
      </w:r>
      <w:r w:rsidR="004000E8" w:rsidRPr="00CE0424">
        <w:t>Discussion</w:t>
      </w:r>
      <w:bookmarkEnd w:id="1"/>
    </w:p>
    <w:p w14:paraId="2EBD5E0F" w14:textId="23477CD4" w:rsidR="00AC0D72" w:rsidRPr="00675E82" w:rsidRDefault="00AC0D72" w:rsidP="00AC0D72">
      <w:pPr>
        <w:rPr>
          <w:rFonts w:ascii="Times New Roman" w:hAnsi="Times New Roman" w:cs="Times New Roman"/>
          <w:sz w:val="20"/>
          <w:szCs w:val="20"/>
        </w:rPr>
      </w:pPr>
      <w:r w:rsidRPr="00675E82">
        <w:rPr>
          <w:rFonts w:ascii="Times New Roman" w:hAnsi="Times New Roman" w:cs="Times New Roman"/>
          <w:sz w:val="20"/>
          <w:szCs w:val="20"/>
        </w:rPr>
        <w:t>In Rel-17 one of the objectives in the WID is:</w:t>
      </w:r>
    </w:p>
    <w:p w14:paraId="31CE1F25" w14:textId="77777777" w:rsidR="00AC0D72" w:rsidRPr="00675E82" w:rsidRDefault="00AC0D72" w:rsidP="00AC0D72">
      <w:pPr>
        <w:widowControl w:val="0"/>
        <w:numPr>
          <w:ilvl w:val="0"/>
          <w:numId w:val="24"/>
        </w:numPr>
        <w:spacing w:line="360" w:lineRule="auto"/>
        <w:ind w:right="283"/>
        <w:contextualSpacing/>
        <w:jc w:val="both"/>
        <w:rPr>
          <w:rFonts w:ascii="Times New Roman" w:eastAsia="DengXian" w:hAnsi="Times New Roman" w:cs="Times New Roman"/>
          <w:sz w:val="20"/>
          <w:szCs w:val="20"/>
          <w:lang w:val="en-US" w:eastAsia="zh-CN"/>
        </w:rPr>
      </w:pPr>
      <w:r w:rsidRPr="00675E82">
        <w:rPr>
          <w:rFonts w:ascii="Times New Roman" w:eastAsia="DengXian" w:hAnsi="Times New Roman" w:cs="Times New Roman"/>
          <w:sz w:val="20"/>
          <w:szCs w:val="20"/>
          <w:lang w:val="en-US" w:eastAsia="zh-CN"/>
        </w:rPr>
        <w:t>Introduce support for NB-IoT carrier selection based on the coverage level, and associated carrier specific configuration (e.g. maximum repetitions UL/DL, DRX configurations, etc.). [NB-IoT] [RAN2, RAN3]</w:t>
      </w:r>
    </w:p>
    <w:p w14:paraId="4B8DA309" w14:textId="77777777" w:rsidR="00AC0D72" w:rsidRPr="00675E82" w:rsidRDefault="00AC0D72" w:rsidP="00AC0D72">
      <w:pPr>
        <w:rPr>
          <w:rFonts w:ascii="Times New Roman" w:hAnsi="Times New Roman" w:cs="Times New Roman"/>
          <w:b/>
          <w:bCs/>
          <w:sz w:val="20"/>
          <w:szCs w:val="20"/>
          <w:u w:val="single"/>
          <w:lang w:eastAsia="en-GB"/>
        </w:rPr>
      </w:pPr>
    </w:p>
    <w:p w14:paraId="13B46CE2" w14:textId="77777777" w:rsidR="00AC0D72" w:rsidRPr="00675E82" w:rsidRDefault="00AC0D72" w:rsidP="00AC0D72">
      <w:pPr>
        <w:rPr>
          <w:rFonts w:ascii="Times New Roman" w:hAnsi="Times New Roman" w:cs="Times New Roman"/>
          <w:sz w:val="20"/>
          <w:szCs w:val="20"/>
          <w:lang w:eastAsia="zh-CN"/>
        </w:rPr>
      </w:pPr>
      <w:r w:rsidRPr="00675E82">
        <w:rPr>
          <w:rFonts w:ascii="Times New Roman" w:hAnsi="Times New Roman" w:cs="Times New Roman"/>
          <w:sz w:val="20"/>
          <w:szCs w:val="20"/>
          <w:lang w:eastAsia="zh-CN"/>
        </w:rPr>
        <w:t>In RAN2-111e it was decided that the scope or focus area is as below:</w:t>
      </w:r>
    </w:p>
    <w:p w14:paraId="0BC1E110" w14:textId="77777777" w:rsidR="00AC0D72" w:rsidRPr="00675E82" w:rsidRDefault="00AC0D72" w:rsidP="00AC0D72">
      <w:pPr>
        <w:pStyle w:val="Doc-text2"/>
        <w:ind w:left="360" w:firstLine="0"/>
        <w:rPr>
          <w:rFonts w:ascii="Times New Roman" w:hAnsi="Times New Roman"/>
          <w:szCs w:val="20"/>
          <w:lang w:eastAsia="en-GB"/>
        </w:rPr>
      </w:pPr>
      <w:r w:rsidRPr="00675E82">
        <w:rPr>
          <w:rFonts w:ascii="Times New Roman" w:hAnsi="Times New Roman"/>
          <w:szCs w:val="20"/>
        </w:rPr>
        <w:t>Agreements</w:t>
      </w:r>
    </w:p>
    <w:p w14:paraId="27E3D6D1" w14:textId="77777777" w:rsidR="00AC0D72" w:rsidRPr="00675E82" w:rsidRDefault="00AC0D72" w:rsidP="00AC0D72">
      <w:pPr>
        <w:pStyle w:val="Doc-text2"/>
        <w:ind w:left="360" w:firstLine="0"/>
        <w:rPr>
          <w:rFonts w:ascii="Times New Roman" w:hAnsi="Times New Roman"/>
          <w:szCs w:val="20"/>
        </w:rPr>
      </w:pPr>
    </w:p>
    <w:p w14:paraId="6AB4C5A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CE level is considered</w:t>
      </w:r>
    </w:p>
    <w:p w14:paraId="340F5436"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based on DRX cycle may be considered</w:t>
      </w:r>
    </w:p>
    <w:p w14:paraId="4B1E6C77" w14:textId="77777777" w:rsidR="00AC0D72" w:rsidRPr="00675E82" w:rsidRDefault="00AC0D72" w:rsidP="00AC0D72">
      <w:pPr>
        <w:pStyle w:val="Doc-text2"/>
        <w:numPr>
          <w:ilvl w:val="1"/>
          <w:numId w:val="25"/>
        </w:numPr>
        <w:overflowPunct/>
        <w:autoSpaceDE/>
        <w:autoSpaceDN/>
        <w:adjustRightInd/>
        <w:ind w:left="1800"/>
        <w:textAlignment w:val="auto"/>
        <w:rPr>
          <w:rFonts w:ascii="Times New Roman" w:hAnsi="Times New Roman"/>
          <w:szCs w:val="20"/>
        </w:rPr>
      </w:pPr>
      <w:r w:rsidRPr="00675E82">
        <w:rPr>
          <w:rFonts w:ascii="Times New Roman" w:hAnsi="Times New Roman"/>
          <w:szCs w:val="20"/>
        </w:rPr>
        <w:t>whether DRX cycle is considered as part of CE level (Rmax) or can be also considered separately</w:t>
      </w:r>
    </w:p>
    <w:p w14:paraId="6933EAB1"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Enhancements for NPRACH Carrier selection carrier may be considered</w:t>
      </w:r>
    </w:p>
    <w:p w14:paraId="07BF83DC" w14:textId="77777777" w:rsidR="00AC0D72" w:rsidRPr="00675E82" w:rsidRDefault="00AC0D72" w:rsidP="00AC0D72">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Paging carrier selection Improvements solely based on WUS or GWUS is not considered</w:t>
      </w:r>
    </w:p>
    <w:p w14:paraId="30C8F89B" w14:textId="07559CE1" w:rsidR="00E577AE" w:rsidRPr="00675E82" w:rsidRDefault="00AC0D72" w:rsidP="00E577AE">
      <w:pPr>
        <w:pStyle w:val="Doc-text2"/>
        <w:numPr>
          <w:ilvl w:val="0"/>
          <w:numId w:val="25"/>
        </w:numPr>
        <w:overflowPunct/>
        <w:autoSpaceDE/>
        <w:autoSpaceDN/>
        <w:adjustRightInd/>
        <w:ind w:left="1080"/>
        <w:textAlignment w:val="auto"/>
        <w:rPr>
          <w:rFonts w:ascii="Times New Roman" w:hAnsi="Times New Roman"/>
          <w:szCs w:val="20"/>
        </w:rPr>
      </w:pPr>
      <w:r w:rsidRPr="00675E82">
        <w:rPr>
          <w:rFonts w:ascii="Times New Roman" w:hAnsi="Times New Roman"/>
          <w:szCs w:val="20"/>
        </w:rPr>
        <w:t>FFS service based</w:t>
      </w:r>
    </w:p>
    <w:p w14:paraId="423A88C6" w14:textId="77777777" w:rsidR="00E577AE" w:rsidRPr="00675E82" w:rsidRDefault="00E577AE" w:rsidP="00E577AE">
      <w:pPr>
        <w:rPr>
          <w:rFonts w:ascii="Times New Roman" w:hAnsi="Times New Roman" w:cs="Times New Roman"/>
          <w:sz w:val="20"/>
          <w:szCs w:val="20"/>
        </w:rPr>
      </w:pPr>
    </w:p>
    <w:p w14:paraId="65624DF5" w14:textId="6FFDCE76" w:rsidR="00E577AE" w:rsidRPr="00675E82" w:rsidRDefault="00E577AE" w:rsidP="00E577AE">
      <w:pPr>
        <w:rPr>
          <w:rFonts w:ascii="Times New Roman" w:hAnsi="Times New Roman" w:cs="Times New Roman"/>
          <w:sz w:val="20"/>
          <w:szCs w:val="20"/>
        </w:rPr>
      </w:pPr>
      <w:r w:rsidRPr="00675E82">
        <w:rPr>
          <w:rFonts w:ascii="Times New Roman" w:hAnsi="Times New Roman" w:cs="Times New Roman"/>
          <w:sz w:val="20"/>
          <w:szCs w:val="20"/>
        </w:rPr>
        <w:t>In RAN2-112e companies briefly discussed that the term CE level terminology as such is coverage level and not directly related to NPRACH CE level.</w:t>
      </w:r>
    </w:p>
    <w:p w14:paraId="6F5D3F63" w14:textId="0DDCA994" w:rsidR="00F63950" w:rsidRDefault="00230D18" w:rsidP="00F63950">
      <w:pPr>
        <w:pStyle w:val="Heading2"/>
      </w:pPr>
      <w:r>
        <w:t>2.1</w:t>
      </w:r>
      <w:r>
        <w:tab/>
      </w:r>
      <w:r w:rsidR="00AC0D72">
        <w:t>Coverage Information</w:t>
      </w:r>
    </w:p>
    <w:p w14:paraId="38A50ABC" w14:textId="0E8965FF" w:rsidR="00E577AE" w:rsidRPr="00675E82" w:rsidRDefault="00AC0D72" w:rsidP="00AC0D72">
      <w:pPr>
        <w:rPr>
          <w:rFonts w:ascii="Times New Roman" w:hAnsi="Times New Roman" w:cs="Times New Roman"/>
          <w:sz w:val="20"/>
          <w:szCs w:val="20"/>
          <w:lang w:eastAsia="en-GB"/>
        </w:rPr>
      </w:pPr>
      <w:r w:rsidRPr="00675E82">
        <w:rPr>
          <w:rFonts w:ascii="Times New Roman" w:hAnsi="Times New Roman" w:cs="Times New Roman"/>
          <w:sz w:val="20"/>
          <w:szCs w:val="20"/>
        </w:rPr>
        <w:t xml:space="preserve">In order to support paging improvements based upon coverage level information, RAN2 need to first decide on what metric the coverage should be based upon. The UE coverage level is a dynamic attribute, and this may change if NRSRP changes. </w:t>
      </w:r>
      <w:r w:rsidRPr="00675E82">
        <w:rPr>
          <w:rFonts w:ascii="Times New Roman" w:hAnsi="Times New Roman" w:cs="Times New Roman"/>
          <w:sz w:val="20"/>
          <w:szCs w:val="20"/>
          <w:lang w:eastAsia="en-GB"/>
        </w:rPr>
        <w:t xml:space="preserve">How the UE should detect the intra-cell coverage condition change and </w:t>
      </w:r>
      <w:r w:rsidR="00E577AE" w:rsidRPr="00675E82">
        <w:rPr>
          <w:rFonts w:ascii="Times New Roman" w:hAnsi="Times New Roman" w:cs="Times New Roman"/>
          <w:sz w:val="20"/>
          <w:szCs w:val="20"/>
          <w:lang w:eastAsia="en-GB"/>
        </w:rPr>
        <w:t xml:space="preserve">how to decide </w:t>
      </w:r>
      <w:r w:rsidRPr="00675E82">
        <w:rPr>
          <w:rFonts w:ascii="Times New Roman" w:hAnsi="Times New Roman" w:cs="Times New Roman"/>
          <w:sz w:val="20"/>
          <w:szCs w:val="20"/>
          <w:lang w:eastAsia="en-GB"/>
        </w:rPr>
        <w:t xml:space="preserve">if the </w:t>
      </w:r>
      <w:r w:rsidR="00E577AE" w:rsidRPr="00675E82">
        <w:rPr>
          <w:rFonts w:ascii="Times New Roman" w:hAnsi="Times New Roman" w:cs="Times New Roman"/>
          <w:sz w:val="20"/>
          <w:szCs w:val="20"/>
          <w:lang w:eastAsia="en-GB"/>
        </w:rPr>
        <w:t xml:space="preserve">current </w:t>
      </w:r>
      <w:r w:rsidRPr="00675E82">
        <w:rPr>
          <w:rFonts w:ascii="Times New Roman" w:hAnsi="Times New Roman" w:cs="Times New Roman"/>
          <w:sz w:val="20"/>
          <w:szCs w:val="20"/>
          <w:lang w:eastAsia="en-GB"/>
        </w:rPr>
        <w:t>paging carrier is no longer good enough and needs to be changed</w:t>
      </w:r>
      <w:r w:rsidR="00E577AE" w:rsidRPr="00675E82">
        <w:rPr>
          <w:rFonts w:ascii="Times New Roman" w:hAnsi="Times New Roman" w:cs="Times New Roman"/>
          <w:sz w:val="20"/>
          <w:szCs w:val="20"/>
          <w:lang w:eastAsia="en-GB"/>
        </w:rPr>
        <w:t>. How the coverage level is judged? This should be discussed. There may be number of alternatives for example:</w:t>
      </w:r>
    </w:p>
    <w:p w14:paraId="7645B9D2" w14:textId="3A22478E" w:rsidR="00E577AE" w:rsidRPr="00675E82" w:rsidRDefault="00E577AE" w:rsidP="00E577AE">
      <w:pPr>
        <w:pStyle w:val="ListParagraph"/>
        <w:numPr>
          <w:ilvl w:val="0"/>
          <w:numId w:val="26"/>
        </w:numPr>
        <w:rPr>
          <w:rFonts w:ascii="Times New Roman" w:hAnsi="Times New Roman"/>
          <w:sz w:val="20"/>
          <w:szCs w:val="20"/>
          <w:lang w:eastAsia="en-GB"/>
        </w:rPr>
      </w:pPr>
      <w:r w:rsidRPr="00675E82">
        <w:rPr>
          <w:rFonts w:ascii="Times New Roman" w:hAnsi="Times New Roman"/>
          <w:sz w:val="20"/>
          <w:szCs w:val="20"/>
          <w:lang w:eastAsia="en-GB"/>
        </w:rPr>
        <w:t xml:space="preserve">based on NRSRP </w:t>
      </w:r>
    </w:p>
    <w:p w14:paraId="338F66EA" w14:textId="7DED8D13" w:rsidR="00530C2A" w:rsidRPr="00675E82" w:rsidRDefault="00530C2A" w:rsidP="00530C2A">
      <w:pPr>
        <w:pStyle w:val="ListParagraph"/>
        <w:numPr>
          <w:ilvl w:val="0"/>
          <w:numId w:val="26"/>
        </w:numPr>
        <w:rPr>
          <w:rFonts w:ascii="Times New Roman" w:hAnsi="Times New Roman"/>
          <w:sz w:val="20"/>
          <w:szCs w:val="20"/>
          <w:lang w:val="en-GB"/>
        </w:rPr>
      </w:pPr>
      <w:r w:rsidRPr="00675E82">
        <w:rPr>
          <w:rFonts w:ascii="Times New Roman" w:hAnsi="Times New Roman"/>
          <w:iCs/>
          <w:sz w:val="20"/>
          <w:szCs w:val="20"/>
          <w:lang w:val="en-US" w:eastAsia="en-GB"/>
        </w:rPr>
        <w:t xml:space="preserve">an estimated BLER for decoding NPDCCH considering a certain paging </w:t>
      </w:r>
      <w:proofErr w:type="spellStart"/>
      <w:r w:rsidRPr="00675E82">
        <w:rPr>
          <w:rFonts w:ascii="Times New Roman" w:hAnsi="Times New Roman"/>
          <w:iCs/>
          <w:sz w:val="20"/>
          <w:szCs w:val="20"/>
          <w:lang w:val="en-US" w:eastAsia="en-GB"/>
        </w:rPr>
        <w:t>Rmax</w:t>
      </w:r>
      <w:proofErr w:type="spellEnd"/>
      <w:r w:rsidRPr="00675E82">
        <w:rPr>
          <w:rFonts w:ascii="Times New Roman" w:hAnsi="Times New Roman"/>
          <w:iCs/>
          <w:sz w:val="20"/>
          <w:szCs w:val="20"/>
          <w:lang w:val="en-US" w:eastAsia="en-GB"/>
        </w:rPr>
        <w:t xml:space="preserve"> being above a certain percentage threshold, e.g. 1 or 10%, similar to what is already done for Msg3 CQI reporting.</w:t>
      </w:r>
    </w:p>
    <w:p w14:paraId="21390250" w14:textId="77777777" w:rsidR="0065394A" w:rsidRPr="00675E82" w:rsidRDefault="0065394A" w:rsidP="00AC0D72">
      <w:pPr>
        <w:rPr>
          <w:rFonts w:ascii="Times New Roman" w:hAnsi="Times New Roman" w:cs="Times New Roman"/>
          <w:sz w:val="20"/>
          <w:szCs w:val="20"/>
        </w:rPr>
      </w:pPr>
    </w:p>
    <w:p w14:paraId="312FCBF6" w14:textId="709DC117" w:rsidR="00E577AE" w:rsidRDefault="00953682" w:rsidP="00AC0D72">
      <w:pPr>
        <w:rPr>
          <w:rFonts w:ascii="Times New Roman" w:hAnsi="Times New Roman" w:cs="Times New Roman"/>
          <w:sz w:val="20"/>
          <w:szCs w:val="20"/>
        </w:rPr>
      </w:pPr>
      <w:r w:rsidRPr="00675E82">
        <w:rPr>
          <w:rFonts w:ascii="Times New Roman" w:hAnsi="Times New Roman" w:cs="Times New Roman"/>
          <w:sz w:val="20"/>
          <w:szCs w:val="20"/>
        </w:rPr>
        <w:t xml:space="preserve">Companies are invited to provide their view on </w:t>
      </w:r>
      <w:r w:rsidR="00425B72" w:rsidRPr="00675E82">
        <w:rPr>
          <w:rFonts w:ascii="Times New Roman" w:hAnsi="Times New Roman" w:cs="Times New Roman"/>
          <w:sz w:val="20"/>
          <w:szCs w:val="20"/>
        </w:rPr>
        <w:t>coverage level definition.</w:t>
      </w:r>
    </w:p>
    <w:p w14:paraId="6F05799A" w14:textId="77777777" w:rsidR="00675E82" w:rsidRPr="00675E82" w:rsidRDefault="00675E82" w:rsidP="00AC0D7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00"/>
        <w:gridCol w:w="7722"/>
      </w:tblGrid>
      <w:tr w:rsidR="00CF1CCB" w14:paraId="1762A4A1" w14:textId="77777777" w:rsidTr="0015541C">
        <w:tc>
          <w:tcPr>
            <w:tcW w:w="1600" w:type="dxa"/>
            <w:shd w:val="clear" w:color="auto" w:fill="BFBFBF" w:themeFill="background1" w:themeFillShade="BF"/>
          </w:tcPr>
          <w:p w14:paraId="217E7DD7" w14:textId="77777777" w:rsidR="00CF1CCB" w:rsidRDefault="00CF1CCB" w:rsidP="0015541C">
            <w:pPr>
              <w:pStyle w:val="BodyText"/>
            </w:pPr>
            <w:r>
              <w:t>Company</w:t>
            </w:r>
          </w:p>
        </w:tc>
        <w:tc>
          <w:tcPr>
            <w:tcW w:w="7722" w:type="dxa"/>
            <w:shd w:val="clear" w:color="auto" w:fill="BFBFBF" w:themeFill="background1" w:themeFillShade="BF"/>
          </w:tcPr>
          <w:p w14:paraId="0CAE5795" w14:textId="77777777" w:rsidR="00CF1CCB" w:rsidRDefault="00CF1CCB" w:rsidP="0015541C">
            <w:pPr>
              <w:pStyle w:val="BodyText"/>
              <w:jc w:val="center"/>
            </w:pPr>
            <w:r>
              <w:t>Comments</w:t>
            </w:r>
          </w:p>
        </w:tc>
      </w:tr>
      <w:tr w:rsidR="00CF1CCB" w:rsidRPr="00716CAF" w14:paraId="7CF0F619" w14:textId="77777777" w:rsidTr="0015541C">
        <w:tc>
          <w:tcPr>
            <w:tcW w:w="1600" w:type="dxa"/>
          </w:tcPr>
          <w:p w14:paraId="3E52827D" w14:textId="77777777" w:rsidR="00CF1CCB" w:rsidRDefault="00CF1CCB" w:rsidP="0015541C"/>
        </w:tc>
        <w:tc>
          <w:tcPr>
            <w:tcW w:w="7722" w:type="dxa"/>
          </w:tcPr>
          <w:p w14:paraId="7E64D29E" w14:textId="77777777" w:rsidR="00CF1CCB" w:rsidRPr="00716CAF" w:rsidRDefault="00CF1CCB" w:rsidP="0015541C"/>
        </w:tc>
      </w:tr>
      <w:tr w:rsidR="00CF1CCB" w:rsidRPr="00716CAF" w14:paraId="00936751" w14:textId="77777777" w:rsidTr="0015541C">
        <w:tc>
          <w:tcPr>
            <w:tcW w:w="1600" w:type="dxa"/>
          </w:tcPr>
          <w:p w14:paraId="431E2347" w14:textId="77777777" w:rsidR="00CF1CCB" w:rsidRDefault="00CF1CCB" w:rsidP="0015541C"/>
        </w:tc>
        <w:tc>
          <w:tcPr>
            <w:tcW w:w="7722" w:type="dxa"/>
          </w:tcPr>
          <w:p w14:paraId="763C40EB" w14:textId="77777777" w:rsidR="00CF1CCB" w:rsidRPr="00716CAF" w:rsidRDefault="00CF1CCB" w:rsidP="0015541C"/>
        </w:tc>
      </w:tr>
      <w:tr w:rsidR="00CF1CCB" w:rsidRPr="00716CAF" w14:paraId="4D6690B4" w14:textId="77777777" w:rsidTr="0015541C">
        <w:tc>
          <w:tcPr>
            <w:tcW w:w="1600" w:type="dxa"/>
          </w:tcPr>
          <w:p w14:paraId="1868824A" w14:textId="77777777" w:rsidR="00CF1CCB" w:rsidRDefault="00CF1CCB" w:rsidP="0015541C"/>
        </w:tc>
        <w:tc>
          <w:tcPr>
            <w:tcW w:w="7722" w:type="dxa"/>
          </w:tcPr>
          <w:p w14:paraId="7C5B15F7" w14:textId="77777777" w:rsidR="00CF1CCB" w:rsidRPr="00716CAF" w:rsidRDefault="00CF1CCB" w:rsidP="0015541C"/>
        </w:tc>
      </w:tr>
    </w:tbl>
    <w:p w14:paraId="6CEF52BF" w14:textId="4E40B0EB" w:rsidR="00CF1CCB" w:rsidRDefault="00CF1CCB" w:rsidP="00AC0D72"/>
    <w:p w14:paraId="20864965" w14:textId="38DE8D66" w:rsidR="00CF1CCB" w:rsidRDefault="00CF1CCB" w:rsidP="00CF1CCB">
      <w:pPr>
        <w:pStyle w:val="Heading2"/>
      </w:pPr>
      <w:r>
        <w:t>2.2</w:t>
      </w:r>
      <w:r>
        <w:tab/>
        <w:t>DRX Information for Paging</w:t>
      </w:r>
    </w:p>
    <w:p w14:paraId="4CE35586" w14:textId="38D61E4A" w:rsidR="00CF1CCB" w:rsidRPr="00FE7BF3" w:rsidRDefault="003E17B7" w:rsidP="00BF3149">
      <w:pPr>
        <w:jc w:val="both"/>
        <w:rPr>
          <w:rFonts w:ascii="Times New Roman" w:hAnsi="Times New Roman" w:cs="Times New Roman"/>
          <w:iCs/>
          <w:sz w:val="20"/>
          <w:szCs w:val="20"/>
        </w:rPr>
      </w:pPr>
      <w:r w:rsidRPr="00FE7BF3">
        <w:rPr>
          <w:rFonts w:ascii="Times New Roman" w:hAnsi="Times New Roman" w:cs="Times New Roman"/>
          <w:sz w:val="20"/>
          <w:szCs w:val="20"/>
        </w:rPr>
        <w:t xml:space="preserve">There has been suggestion to </w:t>
      </w:r>
      <w:r w:rsidR="00FE7BF3">
        <w:rPr>
          <w:rFonts w:ascii="Times New Roman" w:hAnsi="Times New Roman" w:cs="Times New Roman"/>
          <w:sz w:val="20"/>
          <w:szCs w:val="20"/>
        </w:rPr>
        <w:t xml:space="preserve">make use of </w:t>
      </w:r>
      <w:r w:rsidR="00FE7BF3" w:rsidRPr="00FE7BF3">
        <w:rPr>
          <w:rFonts w:ascii="Times New Roman" w:hAnsi="Times New Roman" w:cs="Times New Roman"/>
          <w:sz w:val="20"/>
          <w:szCs w:val="20"/>
          <w:lang w:val="en-GB"/>
        </w:rPr>
        <w:t xml:space="preserve">the DRX cycle that the UE is supposed to use </w:t>
      </w:r>
      <w:r w:rsidR="00C91D87" w:rsidRPr="00FE7BF3">
        <w:rPr>
          <w:rFonts w:ascii="Times New Roman" w:hAnsi="Times New Roman" w:cs="Times New Roman"/>
          <w:sz w:val="20"/>
          <w:szCs w:val="20"/>
        </w:rPr>
        <w:t>for Paging</w:t>
      </w:r>
      <w:r w:rsidR="00FE7BF3">
        <w:rPr>
          <w:rFonts w:ascii="Times New Roman" w:hAnsi="Times New Roman" w:cs="Times New Roman"/>
          <w:sz w:val="20"/>
          <w:szCs w:val="20"/>
        </w:rPr>
        <w:t xml:space="preserve"> carrier selection</w:t>
      </w:r>
      <w:r w:rsidR="00902D2C" w:rsidRPr="00FE7BF3">
        <w:rPr>
          <w:rFonts w:ascii="Times New Roman" w:hAnsi="Times New Roman" w:cs="Times New Roman"/>
          <w:sz w:val="20"/>
          <w:szCs w:val="20"/>
        </w:rPr>
        <w:t xml:space="preserve"> [1,2</w:t>
      </w:r>
      <w:r w:rsidR="001B35F3" w:rsidRPr="00FE7BF3">
        <w:rPr>
          <w:rFonts w:ascii="Times New Roman" w:hAnsi="Times New Roman" w:cs="Times New Roman"/>
          <w:sz w:val="20"/>
          <w:szCs w:val="20"/>
        </w:rPr>
        <w:t>, 5, 6</w:t>
      </w:r>
      <w:r w:rsidR="00902D2C" w:rsidRPr="00FE7BF3">
        <w:rPr>
          <w:rFonts w:ascii="Times New Roman" w:hAnsi="Times New Roman" w:cs="Times New Roman"/>
          <w:sz w:val="20"/>
          <w:szCs w:val="20"/>
        </w:rPr>
        <w:t>]</w:t>
      </w:r>
      <w:r w:rsidR="00C91D87" w:rsidRPr="00FE7BF3">
        <w:rPr>
          <w:rFonts w:ascii="Times New Roman" w:hAnsi="Times New Roman" w:cs="Times New Roman"/>
          <w:sz w:val="20"/>
          <w:szCs w:val="20"/>
        </w:rPr>
        <w:t xml:space="preserve">. Considering an example; for a paging carrier supporting normal coverage level or power boosted carrier where the Rmax is configured with small </w:t>
      </w:r>
      <w:proofErr w:type="spellStart"/>
      <w:r w:rsidR="00C91D87" w:rsidRPr="00FE7BF3">
        <w:rPr>
          <w:rFonts w:ascii="Times New Roman" w:hAnsi="Times New Roman" w:cs="Times New Roman"/>
          <w:i/>
          <w:iCs/>
          <w:sz w:val="20"/>
          <w:szCs w:val="20"/>
        </w:rPr>
        <w:t>NumRepetitionPaging</w:t>
      </w:r>
      <w:proofErr w:type="spellEnd"/>
      <w:r w:rsidR="00C91D87" w:rsidRPr="00FE7BF3">
        <w:rPr>
          <w:rFonts w:ascii="Times New Roman" w:hAnsi="Times New Roman" w:cs="Times New Roman"/>
          <w:i/>
          <w:iCs/>
          <w:sz w:val="20"/>
          <w:szCs w:val="20"/>
        </w:rPr>
        <w:t xml:space="preserve">, </w:t>
      </w:r>
      <w:r w:rsidR="00C91D87" w:rsidRPr="00FE7BF3">
        <w:rPr>
          <w:rFonts w:ascii="Times New Roman" w:hAnsi="Times New Roman" w:cs="Times New Roman"/>
          <w:iCs/>
          <w:sz w:val="20"/>
          <w:szCs w:val="20"/>
        </w:rPr>
        <w:t>in such case</w:t>
      </w:r>
      <w:r w:rsidR="00C91D87" w:rsidRPr="00FE7BF3">
        <w:rPr>
          <w:rFonts w:ascii="Times New Roman" w:hAnsi="Times New Roman" w:cs="Times New Roman"/>
          <w:i/>
          <w:iCs/>
          <w:sz w:val="20"/>
          <w:szCs w:val="20"/>
        </w:rPr>
        <w:t xml:space="preserve"> </w:t>
      </w:r>
      <w:r w:rsidR="00C91D87" w:rsidRPr="00FE7BF3">
        <w:rPr>
          <w:rFonts w:ascii="Times New Roman" w:hAnsi="Times New Roman" w:cs="Times New Roman"/>
          <w:sz w:val="20"/>
          <w:szCs w:val="20"/>
        </w:rPr>
        <w:t xml:space="preserve">the UE with short UE specific DRX cycle can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such carrier. Similarly, UEs th</w:t>
      </w:r>
      <w:r w:rsidR="00AF055C" w:rsidRPr="00FE7BF3">
        <w:rPr>
          <w:rFonts w:ascii="Times New Roman" w:hAnsi="Times New Roman" w:cs="Times New Roman"/>
          <w:sz w:val="20"/>
          <w:szCs w:val="20"/>
        </w:rPr>
        <w:t>at</w:t>
      </w:r>
      <w:r w:rsidR="00C91D87" w:rsidRPr="00FE7BF3">
        <w:rPr>
          <w:rFonts w:ascii="Times New Roman" w:hAnsi="Times New Roman" w:cs="Times New Roman"/>
          <w:sz w:val="20"/>
          <w:szCs w:val="20"/>
        </w:rPr>
        <w:t xml:space="preserve"> do not support short DRX cycle may be </w:t>
      </w:r>
      <w:r w:rsidR="00BF3149" w:rsidRPr="00FE7BF3">
        <w:rPr>
          <w:rFonts w:ascii="Times New Roman" w:hAnsi="Times New Roman" w:cs="Times New Roman"/>
          <w:sz w:val="20"/>
          <w:szCs w:val="20"/>
        </w:rPr>
        <w:t>configured or UE may select</w:t>
      </w:r>
      <w:r w:rsidR="00C91D87" w:rsidRPr="00FE7BF3">
        <w:rPr>
          <w:rFonts w:ascii="Times New Roman" w:hAnsi="Times New Roman" w:cs="Times New Roman"/>
          <w:sz w:val="20"/>
          <w:szCs w:val="20"/>
        </w:rPr>
        <w:t xml:space="preserve"> </w:t>
      </w:r>
      <w:r w:rsidR="00BF3149" w:rsidRPr="00FE7BF3">
        <w:rPr>
          <w:rFonts w:ascii="Times New Roman" w:hAnsi="Times New Roman" w:cs="Times New Roman"/>
          <w:sz w:val="20"/>
          <w:szCs w:val="20"/>
        </w:rPr>
        <w:t>the</w:t>
      </w:r>
      <w:r w:rsidR="00C91D87" w:rsidRPr="00FE7BF3">
        <w:rPr>
          <w:rFonts w:ascii="Times New Roman" w:hAnsi="Times New Roman" w:cs="Times New Roman"/>
          <w:sz w:val="20"/>
          <w:szCs w:val="20"/>
        </w:rPr>
        <w:t xml:space="preserve"> paging carrier supporting extended coverage level configured with large </w:t>
      </w:r>
      <w:proofErr w:type="spellStart"/>
      <w:r w:rsidR="00C91D87" w:rsidRPr="00FE7BF3">
        <w:rPr>
          <w:rFonts w:ascii="Times New Roman" w:hAnsi="Times New Roman" w:cs="Times New Roman"/>
          <w:i/>
          <w:iCs/>
          <w:sz w:val="20"/>
          <w:szCs w:val="20"/>
        </w:rPr>
        <w:t>NumRepetitionPaging</w:t>
      </w:r>
      <w:proofErr w:type="spellEnd"/>
      <w:r w:rsidR="00C91D87" w:rsidRPr="00FE7BF3">
        <w:rPr>
          <w:rFonts w:ascii="Times New Roman" w:hAnsi="Times New Roman" w:cs="Times New Roman"/>
          <w:iCs/>
          <w:sz w:val="20"/>
          <w:szCs w:val="20"/>
        </w:rPr>
        <w:t>.</w:t>
      </w:r>
    </w:p>
    <w:p w14:paraId="34DEA989" w14:textId="77777777" w:rsidR="00B423CF" w:rsidRDefault="00B423CF" w:rsidP="00BF3149">
      <w:pPr>
        <w:rPr>
          <w:rFonts w:ascii="Times New Roman" w:hAnsi="Times New Roman" w:cs="Times New Roman"/>
          <w:iCs/>
          <w:sz w:val="20"/>
          <w:szCs w:val="20"/>
        </w:rPr>
      </w:pPr>
    </w:p>
    <w:p w14:paraId="4257E484" w14:textId="6AB4CB0D" w:rsidR="00BF3149" w:rsidRPr="00FE7BF3" w:rsidRDefault="00BF3149" w:rsidP="00BF3149">
      <w:pPr>
        <w:rPr>
          <w:rFonts w:ascii="Times New Roman" w:hAnsi="Times New Roman" w:cs="Times New Roman"/>
          <w:sz w:val="20"/>
          <w:szCs w:val="20"/>
          <w:lang w:val="en-US"/>
        </w:rPr>
      </w:pPr>
      <w:r w:rsidRPr="00FE7BF3">
        <w:rPr>
          <w:rFonts w:ascii="Times New Roman" w:hAnsi="Times New Roman" w:cs="Times New Roman"/>
          <w:iCs/>
          <w:sz w:val="20"/>
          <w:szCs w:val="20"/>
        </w:rPr>
        <w:t xml:space="preserve">Further, observation has been provided that </w:t>
      </w:r>
      <w:r w:rsidRPr="00FE7BF3">
        <w:rPr>
          <w:rFonts w:ascii="Times New Roman" w:hAnsi="Times New Roman" w:cs="Times New Roman"/>
          <w:sz w:val="20"/>
          <w:szCs w:val="20"/>
          <w:lang w:val="en-US"/>
        </w:rPr>
        <w:t xml:space="preserve">the benefits may be marginal for UE already in </w:t>
      </w:r>
      <w:proofErr w:type="spellStart"/>
      <w:r w:rsidRPr="00FE7BF3">
        <w:rPr>
          <w:rFonts w:ascii="Times New Roman" w:hAnsi="Times New Roman" w:cs="Times New Roman"/>
          <w:sz w:val="20"/>
          <w:szCs w:val="20"/>
          <w:lang w:val="en-US"/>
        </w:rPr>
        <w:t>eDRX</w:t>
      </w:r>
      <w:proofErr w:type="spellEnd"/>
      <w:r w:rsidRPr="00FE7BF3">
        <w:rPr>
          <w:rFonts w:ascii="Times New Roman" w:hAnsi="Times New Roman" w:cs="Times New Roman"/>
          <w:sz w:val="20"/>
          <w:szCs w:val="20"/>
          <w:lang w:val="en-US"/>
        </w:rPr>
        <w:t xml:space="preserve"> configuration which achieves the major power saving due to deep sleep for longer duration</w:t>
      </w:r>
      <w:r w:rsidR="002C2F71" w:rsidRPr="00FE7BF3">
        <w:rPr>
          <w:rFonts w:ascii="Times New Roman" w:hAnsi="Times New Roman" w:cs="Times New Roman"/>
          <w:sz w:val="20"/>
          <w:szCs w:val="20"/>
          <w:lang w:val="en-US"/>
        </w:rPr>
        <w:t xml:space="preserve"> [</w:t>
      </w:r>
      <w:r w:rsidR="00575581" w:rsidRPr="00FE7BF3">
        <w:rPr>
          <w:rFonts w:ascii="Times New Roman" w:hAnsi="Times New Roman" w:cs="Times New Roman"/>
          <w:sz w:val="20"/>
          <w:szCs w:val="20"/>
          <w:lang w:val="en-US"/>
        </w:rPr>
        <w:t>4</w:t>
      </w:r>
      <w:r w:rsidR="002C2F71" w:rsidRPr="00FE7BF3">
        <w:rPr>
          <w:rFonts w:ascii="Times New Roman" w:hAnsi="Times New Roman" w:cs="Times New Roman"/>
          <w:sz w:val="20"/>
          <w:szCs w:val="20"/>
          <w:lang w:val="en-US"/>
        </w:rPr>
        <w:t>]</w:t>
      </w:r>
      <w:r w:rsidRPr="00FE7BF3">
        <w:rPr>
          <w:rFonts w:ascii="Times New Roman" w:hAnsi="Times New Roman" w:cs="Times New Roman"/>
          <w:sz w:val="20"/>
          <w:szCs w:val="20"/>
          <w:lang w:val="en-US"/>
        </w:rPr>
        <w:t>.</w:t>
      </w:r>
      <w:r w:rsidR="002C2F71" w:rsidRPr="00FE7BF3">
        <w:rPr>
          <w:rFonts w:ascii="Times New Roman" w:hAnsi="Times New Roman" w:cs="Times New Roman"/>
          <w:sz w:val="20"/>
          <w:szCs w:val="20"/>
          <w:lang w:val="en-US"/>
        </w:rPr>
        <w:t xml:space="preserve"> It has also been observed that paging carrier solely based upon DRX cycle may not be appropriate and </w:t>
      </w:r>
      <w:proofErr w:type="spellStart"/>
      <w:r w:rsidR="00060E8A" w:rsidRPr="00FE7BF3">
        <w:rPr>
          <w:rFonts w:ascii="Times New Roman" w:hAnsi="Times New Roman" w:cs="Times New Roman"/>
          <w:sz w:val="20"/>
          <w:szCs w:val="20"/>
          <w:lang w:val="en-US"/>
        </w:rPr>
        <w:t>Rmax</w:t>
      </w:r>
      <w:proofErr w:type="spellEnd"/>
      <w:r w:rsidR="00060E8A" w:rsidRPr="00FE7BF3">
        <w:rPr>
          <w:rFonts w:ascii="Times New Roman" w:hAnsi="Times New Roman" w:cs="Times New Roman"/>
          <w:sz w:val="20"/>
          <w:szCs w:val="20"/>
          <w:lang w:val="en-US"/>
        </w:rPr>
        <w:t xml:space="preserve"> or coverage level should be considered [2</w:t>
      </w:r>
      <w:r w:rsidR="00654D46" w:rsidRPr="00FE7BF3">
        <w:rPr>
          <w:rFonts w:ascii="Times New Roman" w:hAnsi="Times New Roman" w:cs="Times New Roman"/>
          <w:sz w:val="20"/>
          <w:szCs w:val="20"/>
          <w:lang w:val="en-US"/>
        </w:rPr>
        <w:t>, 3</w:t>
      </w:r>
      <w:r w:rsidR="00060E8A" w:rsidRPr="00FE7BF3">
        <w:rPr>
          <w:rFonts w:ascii="Times New Roman" w:hAnsi="Times New Roman" w:cs="Times New Roman"/>
          <w:sz w:val="20"/>
          <w:szCs w:val="20"/>
          <w:lang w:val="en-US"/>
        </w:rPr>
        <w:t>].</w:t>
      </w:r>
    </w:p>
    <w:p w14:paraId="6669BB5E" w14:textId="77777777" w:rsidR="00675E82" w:rsidRPr="00675E82" w:rsidRDefault="00675E82" w:rsidP="00BF3149">
      <w:pPr>
        <w:rPr>
          <w:rFonts w:ascii="Times New Roman" w:hAnsi="Times New Roman" w:cs="Times New Roman"/>
          <w:sz w:val="20"/>
          <w:szCs w:val="20"/>
          <w:lang w:val="en-US"/>
        </w:rPr>
      </w:pPr>
    </w:p>
    <w:p w14:paraId="1678A6C5" w14:textId="7EED3F61" w:rsidR="00575629" w:rsidRPr="00675E82" w:rsidRDefault="00575629" w:rsidP="00FE7BF3">
      <w:pPr>
        <w:pStyle w:val="NO"/>
        <w:rPr>
          <w:iCs/>
        </w:rPr>
      </w:pPr>
      <w:r w:rsidRPr="00675E82">
        <w:t>Note: RAN2 have not yet discussed whether eNB will assign paging carrier or UE will select. This is not part of current email discussion. It is just to gather input on DRX usage for paging.</w:t>
      </w:r>
    </w:p>
    <w:p w14:paraId="4348D152" w14:textId="77777777" w:rsidR="00FE7BF3" w:rsidRDefault="003E17B7" w:rsidP="001B35F3">
      <w:pPr>
        <w:rPr>
          <w:rFonts w:ascii="Times New Roman" w:hAnsi="Times New Roman" w:cs="Times New Roman"/>
          <w:sz w:val="20"/>
          <w:szCs w:val="20"/>
        </w:rPr>
      </w:pPr>
      <w:r w:rsidRPr="00675E82">
        <w:rPr>
          <w:rFonts w:ascii="Times New Roman" w:hAnsi="Times New Roman" w:cs="Times New Roman"/>
          <w:sz w:val="20"/>
          <w:szCs w:val="20"/>
        </w:rPr>
        <w:t>Companies are invited to provide their view on DRX Information for Paging</w:t>
      </w:r>
      <w:r w:rsidR="001B35F3" w:rsidRPr="00675E82">
        <w:rPr>
          <w:rFonts w:ascii="Times New Roman" w:hAnsi="Times New Roman" w:cs="Times New Roman"/>
          <w:sz w:val="20"/>
          <w:szCs w:val="20"/>
        </w:rPr>
        <w:t>; whether UE specific DRX information should</w:t>
      </w:r>
      <w:r w:rsidR="00FE7BF3">
        <w:rPr>
          <w:rFonts w:ascii="Times New Roman" w:hAnsi="Times New Roman" w:cs="Times New Roman"/>
          <w:sz w:val="20"/>
          <w:szCs w:val="20"/>
        </w:rPr>
        <w:t>/can</w:t>
      </w:r>
      <w:r w:rsidR="001B35F3" w:rsidRPr="00675E82">
        <w:rPr>
          <w:rFonts w:ascii="Times New Roman" w:hAnsi="Times New Roman" w:cs="Times New Roman"/>
          <w:sz w:val="20"/>
          <w:szCs w:val="20"/>
        </w:rPr>
        <w:t xml:space="preserve"> be used or not. Further, can solely based upon DRX cycle the paging carrier be decided</w:t>
      </w:r>
      <w:r w:rsidR="00392C2C" w:rsidRPr="00675E82">
        <w:rPr>
          <w:rFonts w:ascii="Times New Roman" w:hAnsi="Times New Roman" w:cs="Times New Roman"/>
          <w:sz w:val="20"/>
          <w:szCs w:val="20"/>
        </w:rPr>
        <w:t xml:space="preserve"> i.e</w:t>
      </w:r>
      <w:r w:rsidR="001B35F3" w:rsidRPr="00675E82">
        <w:rPr>
          <w:rFonts w:ascii="Times New Roman" w:hAnsi="Times New Roman" w:cs="Times New Roman"/>
          <w:sz w:val="20"/>
          <w:szCs w:val="20"/>
        </w:rPr>
        <w:t xml:space="preserve"> </w:t>
      </w:r>
    </w:p>
    <w:p w14:paraId="420FC11B" w14:textId="77777777" w:rsid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whether DRX cycle is considered </w:t>
      </w:r>
      <w:r w:rsidR="00392C2C" w:rsidRPr="00FE7BF3">
        <w:rPr>
          <w:rFonts w:ascii="Times New Roman" w:hAnsi="Times New Roman"/>
          <w:sz w:val="20"/>
          <w:szCs w:val="20"/>
        </w:rPr>
        <w:t>in</w:t>
      </w:r>
      <w:r w:rsidRPr="00FE7BF3">
        <w:rPr>
          <w:rFonts w:ascii="Times New Roman" w:hAnsi="Times New Roman"/>
          <w:sz w:val="20"/>
          <w:szCs w:val="20"/>
        </w:rPr>
        <w:t xml:space="preserve"> addition to coverage level (Rmax) or</w:t>
      </w:r>
    </w:p>
    <w:p w14:paraId="066D9BC1" w14:textId="663FADB5" w:rsidR="001B35F3" w:rsidRPr="00FE7BF3" w:rsidRDefault="001B35F3" w:rsidP="00FE7BF3">
      <w:pPr>
        <w:pStyle w:val="ListParagraph"/>
        <w:numPr>
          <w:ilvl w:val="0"/>
          <w:numId w:val="27"/>
        </w:numPr>
        <w:rPr>
          <w:rFonts w:ascii="Times New Roman" w:hAnsi="Times New Roman"/>
          <w:sz w:val="20"/>
          <w:szCs w:val="20"/>
        </w:rPr>
      </w:pPr>
      <w:r w:rsidRPr="00FE7BF3">
        <w:rPr>
          <w:rFonts w:ascii="Times New Roman" w:hAnsi="Times New Roman"/>
          <w:sz w:val="20"/>
          <w:szCs w:val="20"/>
        </w:rPr>
        <w:t xml:space="preserve">can be considered </w:t>
      </w:r>
      <w:r w:rsidR="00FE7BF3">
        <w:rPr>
          <w:rFonts w:ascii="Times New Roman" w:hAnsi="Times New Roman"/>
          <w:sz w:val="20"/>
          <w:szCs w:val="20"/>
          <w:lang w:val="sv-SE"/>
        </w:rPr>
        <w:t>indepenednt of Rmax</w:t>
      </w:r>
    </w:p>
    <w:p w14:paraId="1EBF4A9D" w14:textId="77777777" w:rsidR="00913DD6" w:rsidRDefault="00913DD6" w:rsidP="003E17B7"/>
    <w:tbl>
      <w:tblPr>
        <w:tblStyle w:val="TableGrid"/>
        <w:tblW w:w="0" w:type="auto"/>
        <w:tblLook w:val="04A0" w:firstRow="1" w:lastRow="0" w:firstColumn="1" w:lastColumn="0" w:noHBand="0" w:noVBand="1"/>
      </w:tblPr>
      <w:tblGrid>
        <w:gridCol w:w="1600"/>
        <w:gridCol w:w="7722"/>
      </w:tblGrid>
      <w:tr w:rsidR="003E17B7" w14:paraId="2F832601" w14:textId="77777777" w:rsidTr="0015541C">
        <w:tc>
          <w:tcPr>
            <w:tcW w:w="1600" w:type="dxa"/>
            <w:shd w:val="clear" w:color="auto" w:fill="BFBFBF" w:themeFill="background1" w:themeFillShade="BF"/>
          </w:tcPr>
          <w:p w14:paraId="26CB6D6A" w14:textId="77777777" w:rsidR="003E17B7" w:rsidRDefault="003E17B7" w:rsidP="0015541C">
            <w:pPr>
              <w:pStyle w:val="BodyText"/>
            </w:pPr>
            <w:r>
              <w:t>Company</w:t>
            </w:r>
          </w:p>
        </w:tc>
        <w:tc>
          <w:tcPr>
            <w:tcW w:w="7722" w:type="dxa"/>
            <w:shd w:val="clear" w:color="auto" w:fill="BFBFBF" w:themeFill="background1" w:themeFillShade="BF"/>
          </w:tcPr>
          <w:p w14:paraId="65314DD1" w14:textId="77777777" w:rsidR="003E17B7" w:rsidRDefault="003E17B7" w:rsidP="0015541C">
            <w:pPr>
              <w:pStyle w:val="BodyText"/>
              <w:jc w:val="center"/>
            </w:pPr>
            <w:r>
              <w:t>Comments</w:t>
            </w:r>
          </w:p>
        </w:tc>
      </w:tr>
      <w:tr w:rsidR="003E17B7" w:rsidRPr="00716CAF" w14:paraId="754A09D3" w14:textId="77777777" w:rsidTr="0015541C">
        <w:tc>
          <w:tcPr>
            <w:tcW w:w="1600" w:type="dxa"/>
          </w:tcPr>
          <w:p w14:paraId="5555B2B4" w14:textId="77777777" w:rsidR="003E17B7" w:rsidRDefault="003E17B7" w:rsidP="0015541C"/>
        </w:tc>
        <w:tc>
          <w:tcPr>
            <w:tcW w:w="7722" w:type="dxa"/>
          </w:tcPr>
          <w:p w14:paraId="53B58206" w14:textId="77777777" w:rsidR="003E17B7" w:rsidRPr="00716CAF" w:rsidRDefault="003E17B7" w:rsidP="0015541C"/>
        </w:tc>
      </w:tr>
      <w:tr w:rsidR="003E17B7" w:rsidRPr="00716CAF" w14:paraId="71FB0059" w14:textId="77777777" w:rsidTr="0015541C">
        <w:tc>
          <w:tcPr>
            <w:tcW w:w="1600" w:type="dxa"/>
          </w:tcPr>
          <w:p w14:paraId="3467E834" w14:textId="77777777" w:rsidR="003E17B7" w:rsidRDefault="003E17B7" w:rsidP="0015541C"/>
        </w:tc>
        <w:tc>
          <w:tcPr>
            <w:tcW w:w="7722" w:type="dxa"/>
          </w:tcPr>
          <w:p w14:paraId="1143D2CF" w14:textId="77777777" w:rsidR="003E17B7" w:rsidRPr="00716CAF" w:rsidRDefault="003E17B7" w:rsidP="0015541C"/>
        </w:tc>
      </w:tr>
      <w:tr w:rsidR="003E17B7" w:rsidRPr="00716CAF" w14:paraId="14879A91" w14:textId="77777777" w:rsidTr="0015541C">
        <w:tc>
          <w:tcPr>
            <w:tcW w:w="1600" w:type="dxa"/>
          </w:tcPr>
          <w:p w14:paraId="45495C87" w14:textId="77777777" w:rsidR="003E17B7" w:rsidRDefault="003E17B7" w:rsidP="0015541C"/>
        </w:tc>
        <w:tc>
          <w:tcPr>
            <w:tcW w:w="7722" w:type="dxa"/>
          </w:tcPr>
          <w:p w14:paraId="2A6F8D2C" w14:textId="77777777" w:rsidR="003E17B7" w:rsidRPr="00716CAF" w:rsidRDefault="003E17B7" w:rsidP="0015541C"/>
        </w:tc>
      </w:tr>
    </w:tbl>
    <w:p w14:paraId="22CFFF6A" w14:textId="77777777" w:rsidR="00CF1CCB" w:rsidRDefault="00CF1CCB" w:rsidP="00AC0D72"/>
    <w:p w14:paraId="24F13B09" w14:textId="77777777" w:rsidR="00C473A5" w:rsidRDefault="00C473A5" w:rsidP="00CE0424">
      <w:pPr>
        <w:pStyle w:val="Heading1"/>
        <w:sectPr w:rsidR="00C473A5" w:rsidSect="003E17B7">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55729FDC" w14:textId="77777777" w:rsidR="00C01F33" w:rsidRPr="00CE0424" w:rsidRDefault="00C01F33" w:rsidP="00CE0424">
      <w:pPr>
        <w:pStyle w:val="Heading1"/>
      </w:pPr>
      <w:r w:rsidRPr="00CE0424">
        <w:lastRenderedPageBreak/>
        <w:t>Conclusion</w:t>
      </w:r>
    </w:p>
    <w:p w14:paraId="48C649F8" w14:textId="77777777" w:rsidR="008E065E" w:rsidRPr="00CE0424" w:rsidRDefault="008E065E" w:rsidP="008E065E">
      <w:pPr>
        <w:rPr>
          <w:b/>
          <w:bCs/>
        </w:rPr>
      </w:pPr>
    </w:p>
    <w:p w14:paraId="7A10901F" w14:textId="77777777" w:rsidR="008E065E" w:rsidRPr="00CE0424" w:rsidRDefault="008E065E" w:rsidP="008E065E">
      <w:pPr>
        <w:rPr>
          <w:b/>
          <w:bCs/>
        </w:rPr>
      </w:pPr>
    </w:p>
    <w:p w14:paraId="6875FE14" w14:textId="77777777" w:rsidR="00AB0BC8" w:rsidRPr="00CE0424" w:rsidRDefault="00AB0BC8" w:rsidP="00A04F49">
      <w:pPr>
        <w:rPr>
          <w:b/>
          <w:bCs/>
        </w:rPr>
      </w:pPr>
    </w:p>
    <w:p w14:paraId="11A1392F" w14:textId="77777777" w:rsidR="00311702" w:rsidRPr="00CE0424" w:rsidRDefault="00311702" w:rsidP="00AB0BC8"/>
    <w:p w14:paraId="711B7379" w14:textId="77777777" w:rsidR="00C01F33" w:rsidRPr="00CE0424" w:rsidRDefault="00C01F33" w:rsidP="006E062C"/>
    <w:p w14:paraId="4529DA06" w14:textId="77777777" w:rsidR="00F507D1" w:rsidRPr="00CE0424" w:rsidRDefault="00F507D1" w:rsidP="00CE0424">
      <w:pPr>
        <w:pStyle w:val="Heading1"/>
      </w:pPr>
      <w:bookmarkStart w:id="2" w:name="_In-sequence_SDU_delivery"/>
      <w:bookmarkEnd w:id="2"/>
      <w:r w:rsidRPr="00CE0424">
        <w:t>References</w:t>
      </w:r>
    </w:p>
    <w:p w14:paraId="24C60DF0" w14:textId="5492286F" w:rsidR="009D0DF6" w:rsidRDefault="002C2F71" w:rsidP="00CE0424">
      <w:pPr>
        <w:pStyle w:val="BodyText"/>
      </w:pPr>
      <w:r>
        <w:t>[</w:t>
      </w:r>
      <w:r w:rsidR="009D0DF6">
        <w:t>1</w:t>
      </w:r>
      <w:r>
        <w:t xml:space="preserve">] </w:t>
      </w:r>
      <w:hyperlink r:id="rId13" w:tooltip="https://www.3gpp.org/ftp/tsg_ran/WG2_RL2/TSGR2_112-e/Docs/R2-2010470.zip" w:history="1">
        <w:r w:rsidR="009D0DF6">
          <w:rPr>
            <w:rStyle w:val="Hyperlink"/>
          </w:rPr>
          <w:t>R2-2010470</w:t>
        </w:r>
      </w:hyperlink>
      <w:r w:rsidR="009D0DF6">
        <w:tab/>
        <w:t>Carrier selection enhancement</w:t>
      </w:r>
      <w:r w:rsidR="009D0DF6">
        <w:tab/>
        <w:t>MediaTek Inc.</w:t>
      </w:r>
    </w:p>
    <w:p w14:paraId="5B00F255" w14:textId="6FB60C06" w:rsidR="003A7EF3" w:rsidRDefault="009D0DF6" w:rsidP="00CE0424">
      <w:pPr>
        <w:pStyle w:val="BodyText"/>
      </w:pPr>
      <w:r>
        <w:t xml:space="preserve">[2] </w:t>
      </w:r>
      <w:hyperlink r:id="rId14" w:tooltip="https://www.3gpp.org/ftp/tsg_ran/WG2_RL2/TSGR2_112-e/Docs/R2-2009059.zip" w:history="1">
        <w:r w:rsidR="002C2F71">
          <w:rPr>
            <w:rStyle w:val="Hyperlink"/>
          </w:rPr>
          <w:t>R2-2009059</w:t>
        </w:r>
      </w:hyperlink>
      <w:r w:rsidR="002C2F71">
        <w:tab/>
        <w:t xml:space="preserve">Further consideration on multi carriers configuration and selection ZTE Corporation, </w:t>
      </w:r>
      <w:r w:rsidR="002C2F71">
        <w:tab/>
      </w:r>
      <w:r w:rsidR="002C2F71">
        <w:tab/>
      </w:r>
      <w:r w:rsidR="002C2F71">
        <w:tab/>
      </w:r>
      <w:r w:rsidR="002C2F71">
        <w:tab/>
      </w:r>
      <w:proofErr w:type="spellStart"/>
      <w:r w:rsidR="002C2F71">
        <w:t>Sanechips</w:t>
      </w:r>
      <w:proofErr w:type="spellEnd"/>
    </w:p>
    <w:p w14:paraId="7534011C" w14:textId="5CE63EDB" w:rsidR="002C2F71" w:rsidRDefault="002C2F71" w:rsidP="00CE0424">
      <w:pPr>
        <w:pStyle w:val="BodyText"/>
      </w:pPr>
      <w:r>
        <w:t>[3]</w:t>
      </w:r>
      <w:r w:rsidR="00654D46" w:rsidRPr="00654D46">
        <w:t xml:space="preserve"> </w:t>
      </w:r>
      <w:hyperlink r:id="rId15" w:tooltip="https://www.3gpp.org/ftp/tsg_ran/WG2_RL2/TSGR2_112-e/Docs/R2-2009147.zip" w:history="1">
        <w:r w:rsidR="00654D46">
          <w:rPr>
            <w:rStyle w:val="Hyperlink"/>
          </w:rPr>
          <w:t>R2-2009147</w:t>
        </w:r>
      </w:hyperlink>
      <w:r w:rsidR="00654D46">
        <w:tab/>
        <w:t>Discussion on enhanced paging carrier selection and multi carrier configuration</w:t>
      </w:r>
      <w:r w:rsidR="00654D46">
        <w:tab/>
      </w:r>
      <w:r w:rsidR="009D0DF6">
        <w:tab/>
      </w:r>
      <w:r w:rsidR="009D0DF6">
        <w:tab/>
      </w:r>
      <w:r w:rsidR="009D0DF6">
        <w:tab/>
      </w:r>
      <w:proofErr w:type="spellStart"/>
      <w:r w:rsidR="00654D46">
        <w:t>Spreadtrum</w:t>
      </w:r>
      <w:proofErr w:type="spellEnd"/>
      <w:r w:rsidR="00654D46">
        <w:t xml:space="preserve"> Communications</w:t>
      </w:r>
    </w:p>
    <w:p w14:paraId="0D9A1597" w14:textId="0806476E" w:rsidR="007303C9" w:rsidRDefault="007303C9" w:rsidP="00CE0424">
      <w:pPr>
        <w:pStyle w:val="BodyText"/>
      </w:pPr>
      <w:r>
        <w:t xml:space="preserve">[4]  </w:t>
      </w:r>
      <w:hyperlink r:id="rId16" w:tooltip="https://www.3gpp.org/ftp/tsg_ran/WG2_RL2/TSGR2_112-e/Docs/R2-2009269.zip" w:history="1">
        <w:r>
          <w:rPr>
            <w:rStyle w:val="Hyperlink"/>
          </w:rPr>
          <w:t>R2-2009269</w:t>
        </w:r>
      </w:hyperlink>
      <w:r>
        <w:tab/>
        <w:t>Analysis on carrier selection options for NB-IoT</w:t>
      </w:r>
      <w:r>
        <w:tab/>
        <w:t>Nokia, Nokia Shanghai Bell</w:t>
      </w:r>
    </w:p>
    <w:p w14:paraId="6E35D939" w14:textId="4BAFB8D2" w:rsidR="001B35F3" w:rsidRDefault="001B35F3" w:rsidP="00CE0424">
      <w:pPr>
        <w:pStyle w:val="BodyText"/>
      </w:pPr>
      <w:r>
        <w:t xml:space="preserve">[5] </w:t>
      </w:r>
      <w:hyperlink r:id="rId17" w:tooltip="https://www.3gpp.org/ftp/tsg_ran/WG2_RL2/TSGR2_112-e/Docs/R2-2009732.zip" w:history="1">
        <w:r>
          <w:rPr>
            <w:rStyle w:val="Hyperlink"/>
          </w:rPr>
          <w:t>R2-2009732</w:t>
        </w:r>
      </w:hyperlink>
      <w:r>
        <w:tab/>
        <w:t>Paging carrier selection based on CEL and on DRX</w:t>
      </w:r>
      <w:r w:rsidR="009D0DF6">
        <w:t xml:space="preserve">   </w:t>
      </w:r>
      <w:r>
        <w:t>Huawei, HiSilicon</w:t>
      </w:r>
      <w:r>
        <w:tab/>
        <w:t>discussion</w:t>
      </w:r>
    </w:p>
    <w:p w14:paraId="2364A5AA" w14:textId="38CE1163" w:rsidR="001B35F3" w:rsidRDefault="001B35F3" w:rsidP="00CE0424">
      <w:pPr>
        <w:pStyle w:val="BodyText"/>
      </w:pPr>
      <w:r>
        <w:t xml:space="preserve">[6] </w:t>
      </w:r>
      <w:hyperlink r:id="rId18" w:tooltip="https://www.3gpp.org/ftp/tsg_ran/WG2_RL2/TSGR2_112-e/Docs/R2-2009790.zip" w:history="1">
        <w:r>
          <w:rPr>
            <w:rStyle w:val="Hyperlink"/>
          </w:rPr>
          <w:t>R2-2009790</w:t>
        </w:r>
      </w:hyperlink>
      <w:r>
        <w:tab/>
        <w:t>Support for NB-IoT carrier selection based on the coverage level</w:t>
      </w:r>
      <w:r w:rsidR="009D0DF6">
        <w:t xml:space="preserve"> </w:t>
      </w:r>
      <w:r>
        <w:t>Qualcomm Incorporated</w:t>
      </w:r>
    </w:p>
    <w:p w14:paraId="547DE0ED" w14:textId="6F8FAB0A" w:rsidR="00392C2C" w:rsidRPr="00CE0424" w:rsidRDefault="00392C2C" w:rsidP="00CE0424">
      <w:pPr>
        <w:pStyle w:val="BodyText"/>
      </w:pPr>
      <w:r>
        <w:t xml:space="preserve">[7] </w:t>
      </w:r>
      <w:hyperlink r:id="rId19" w:tooltip="https://www.3gpp.org/ftp/tsg_ran/WG2_RL2/TSGR2_112-e/Docs/R2-2009180.zip" w:history="1">
        <w:r>
          <w:rPr>
            <w:rStyle w:val="Hyperlink"/>
          </w:rPr>
          <w:t>R2-2009180</w:t>
        </w:r>
      </w:hyperlink>
      <w:r>
        <w:tab/>
        <w:t>NB-IoT carrier selection and configuration based on coverage level</w:t>
      </w:r>
      <w:r>
        <w:tab/>
        <w:t>Ericsson</w:t>
      </w:r>
    </w:p>
    <w:sectPr w:rsidR="00392C2C"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40F1D" w14:textId="77777777" w:rsidR="00CE3670" w:rsidRDefault="00CE3670">
      <w:r>
        <w:separator/>
      </w:r>
    </w:p>
  </w:endnote>
  <w:endnote w:type="continuationSeparator" w:id="0">
    <w:p w14:paraId="06E77A80" w14:textId="77777777" w:rsidR="00CE3670" w:rsidRDefault="00CE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8E7"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0470" w14:textId="77777777" w:rsidR="00CE3670" w:rsidRDefault="00CE3670">
      <w:r>
        <w:separator/>
      </w:r>
    </w:p>
  </w:footnote>
  <w:footnote w:type="continuationSeparator" w:id="0">
    <w:p w14:paraId="2FADEC99" w14:textId="77777777" w:rsidR="00CE3670" w:rsidRDefault="00CE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3D78"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E0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D40E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AE45014"/>
    <w:multiLevelType w:val="hybridMultilevel"/>
    <w:tmpl w:val="B45E1D0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E0E4C"/>
    <w:multiLevelType w:val="hybridMultilevel"/>
    <w:tmpl w:val="6C348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9235DC"/>
    <w:multiLevelType w:val="hybridMultilevel"/>
    <w:tmpl w:val="0B76F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10"/>
  </w:num>
  <w:num w:numId="6">
    <w:abstractNumId w:val="16"/>
  </w:num>
  <w:num w:numId="7">
    <w:abstractNumId w:val="20"/>
  </w:num>
  <w:num w:numId="8">
    <w:abstractNumId w:val="11"/>
  </w:num>
  <w:num w:numId="9">
    <w:abstractNumId w:val="9"/>
  </w:num>
  <w:num w:numId="10">
    <w:abstractNumId w:val="2"/>
  </w:num>
  <w:num w:numId="11">
    <w:abstractNumId w:val="1"/>
  </w:num>
  <w:num w:numId="12">
    <w:abstractNumId w:val="0"/>
  </w:num>
  <w:num w:numId="13">
    <w:abstractNumId w:val="18"/>
  </w:num>
  <w:num w:numId="14">
    <w:abstractNumId w:val="19"/>
  </w:num>
  <w:num w:numId="15">
    <w:abstractNumId w:val="15"/>
  </w:num>
  <w:num w:numId="16">
    <w:abstractNumId w:val="23"/>
  </w:num>
  <w:num w:numId="17">
    <w:abstractNumId w:val="6"/>
  </w:num>
  <w:num w:numId="18">
    <w:abstractNumId w:val="7"/>
  </w:num>
  <w:num w:numId="19">
    <w:abstractNumId w:val="4"/>
  </w:num>
  <w:num w:numId="20">
    <w:abstractNumId w:val="25"/>
  </w:num>
  <w:num w:numId="21">
    <w:abstractNumId w:val="12"/>
  </w:num>
  <w:num w:numId="22">
    <w:abstractNumId w:val="24"/>
  </w:num>
  <w:num w:numId="23">
    <w:abstractNumId w:val="19"/>
  </w:num>
  <w:num w:numId="24">
    <w:abstractNumId w:val="5"/>
  </w:num>
  <w:num w:numId="25">
    <w:abstractNumId w:val="8"/>
  </w:num>
  <w:num w:numId="26">
    <w:abstractNumId w:val="21"/>
  </w:num>
  <w:num w:numId="2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F7"/>
    <w:rsid w:val="000006E1"/>
    <w:rsid w:val="00002A37"/>
    <w:rsid w:val="0000564C"/>
    <w:rsid w:val="00006446"/>
    <w:rsid w:val="00006896"/>
    <w:rsid w:val="00007CDC"/>
    <w:rsid w:val="00011B28"/>
    <w:rsid w:val="00013D29"/>
    <w:rsid w:val="00015D15"/>
    <w:rsid w:val="0002564D"/>
    <w:rsid w:val="00025ECA"/>
    <w:rsid w:val="000325B8"/>
    <w:rsid w:val="00034C15"/>
    <w:rsid w:val="00036BA1"/>
    <w:rsid w:val="000422E2"/>
    <w:rsid w:val="00042F22"/>
    <w:rsid w:val="000444EF"/>
    <w:rsid w:val="00052A07"/>
    <w:rsid w:val="000534E3"/>
    <w:rsid w:val="0005606A"/>
    <w:rsid w:val="00057117"/>
    <w:rsid w:val="00060E8A"/>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6B5"/>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35F3"/>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2F71"/>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2C2C"/>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16B4"/>
    <w:rsid w:val="003C2702"/>
    <w:rsid w:val="003C7806"/>
    <w:rsid w:val="003D109F"/>
    <w:rsid w:val="003D2478"/>
    <w:rsid w:val="003D3C45"/>
    <w:rsid w:val="003D5B1F"/>
    <w:rsid w:val="003E15FA"/>
    <w:rsid w:val="003E17B7"/>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5B72"/>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0C2A"/>
    <w:rsid w:val="00534B59"/>
    <w:rsid w:val="00536759"/>
    <w:rsid w:val="00537C62"/>
    <w:rsid w:val="00546970"/>
    <w:rsid w:val="00554E19"/>
    <w:rsid w:val="0056121F"/>
    <w:rsid w:val="00572505"/>
    <w:rsid w:val="00575581"/>
    <w:rsid w:val="00575629"/>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394A"/>
    <w:rsid w:val="00654D46"/>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E8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03C9"/>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7DF7"/>
    <w:rsid w:val="00902350"/>
    <w:rsid w:val="00902D2C"/>
    <w:rsid w:val="0090336B"/>
    <w:rsid w:val="009053AA"/>
    <w:rsid w:val="00906939"/>
    <w:rsid w:val="00910B7D"/>
    <w:rsid w:val="00911DFB"/>
    <w:rsid w:val="009139D9"/>
    <w:rsid w:val="00913DD6"/>
    <w:rsid w:val="00914AD8"/>
    <w:rsid w:val="00916079"/>
    <w:rsid w:val="00917CE9"/>
    <w:rsid w:val="00920BF2"/>
    <w:rsid w:val="00922010"/>
    <w:rsid w:val="00931BD9"/>
    <w:rsid w:val="009368F3"/>
    <w:rsid w:val="00941636"/>
    <w:rsid w:val="00943742"/>
    <w:rsid w:val="00945C05"/>
    <w:rsid w:val="00946945"/>
    <w:rsid w:val="00947713"/>
    <w:rsid w:val="00950DE7"/>
    <w:rsid w:val="00953682"/>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26E6"/>
    <w:rsid w:val="009C403E"/>
    <w:rsid w:val="009D0DF6"/>
    <w:rsid w:val="009D4FF0"/>
    <w:rsid w:val="009D703C"/>
    <w:rsid w:val="009D718F"/>
    <w:rsid w:val="009E068F"/>
    <w:rsid w:val="009E14E0"/>
    <w:rsid w:val="009E35DB"/>
    <w:rsid w:val="009E47A3"/>
    <w:rsid w:val="009E7E2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39DE"/>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0D72"/>
    <w:rsid w:val="00AC2ECD"/>
    <w:rsid w:val="00AC3119"/>
    <w:rsid w:val="00AC49FB"/>
    <w:rsid w:val="00AC5A10"/>
    <w:rsid w:val="00AD0AA3"/>
    <w:rsid w:val="00AD3F94"/>
    <w:rsid w:val="00AD4A5A"/>
    <w:rsid w:val="00AE27AC"/>
    <w:rsid w:val="00AE40E0"/>
    <w:rsid w:val="00AE4DBA"/>
    <w:rsid w:val="00AE4F07"/>
    <w:rsid w:val="00AF055C"/>
    <w:rsid w:val="00AF1C5D"/>
    <w:rsid w:val="00AF42D7"/>
    <w:rsid w:val="00B006FE"/>
    <w:rsid w:val="00B007CB"/>
    <w:rsid w:val="00B02AA9"/>
    <w:rsid w:val="00B02FA3"/>
    <w:rsid w:val="00B05084"/>
    <w:rsid w:val="00B157F9"/>
    <w:rsid w:val="00B20256"/>
    <w:rsid w:val="00B20D09"/>
    <w:rsid w:val="00B2763F"/>
    <w:rsid w:val="00B27AAC"/>
    <w:rsid w:val="00B30929"/>
    <w:rsid w:val="00B311EA"/>
    <w:rsid w:val="00B372AA"/>
    <w:rsid w:val="00B40445"/>
    <w:rsid w:val="00B409E0"/>
    <w:rsid w:val="00B41888"/>
    <w:rsid w:val="00B423CF"/>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149"/>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1D87"/>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3670"/>
    <w:rsid w:val="00CE7561"/>
    <w:rsid w:val="00CF1354"/>
    <w:rsid w:val="00CF1CCB"/>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577AE"/>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F92"/>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26E4"/>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E7BF3"/>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962E9"/>
  <w15:chartTrackingRefBased/>
  <w15:docId w15:val="{AE4BC1C6-37E0-4070-9A95-28E8E89D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0C2A"/>
    <w:rPr>
      <w:rFonts w:ascii="Calibri" w:eastAsiaTheme="minorHAnsi" w:hAnsi="Calibri" w:cs="Calibri"/>
      <w:sz w:val="22"/>
      <w:szCs w:val="22"/>
      <w:lang w:val="sv-SE"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qFormat/>
    <w:rsid w:val="008D00A5"/>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val="en-GB"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styleId="DocumentMap">
    <w:name w:val="Document Map"/>
    <w:basedOn w:val="Normal"/>
    <w:link w:val="DocumentMapChar"/>
    <w:rsid w:val="008D00A5"/>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val="en-GB" w:eastAsia="ja-JP"/>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val="en-GB" w:eastAsia="ja-JP"/>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val="en-GB" w:eastAsia="ja-JP"/>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overflowPunct w:val="0"/>
      <w:autoSpaceDE w:val="0"/>
      <w:autoSpaceDN w:val="0"/>
      <w:adjustRightInd w:val="0"/>
      <w:textAlignment w:val="baseline"/>
    </w:pPr>
    <w:rPr>
      <w:rFonts w:ascii="Segoe UI" w:eastAsia="Times New Roman" w:hAnsi="Segoe UI" w:cs="Segoe UI"/>
      <w:sz w:val="18"/>
      <w:szCs w:val="18"/>
      <w:lang w:val="en-GB" w:eastAsia="ja-JP"/>
    </w:rPr>
  </w:style>
  <w:style w:type="character" w:styleId="PageNumber">
    <w:name w:val="page number"/>
    <w:basedOn w:val="DefaultParagraphFont"/>
    <w:rsid w:val="008D00A5"/>
  </w:style>
  <w:style w:type="paragraph" w:styleId="BodyText">
    <w:name w:val="Body Text"/>
    <w:basedOn w:val="Normal"/>
    <w:link w:val="BodyTextChar"/>
    <w:rsid w:val="008D00A5"/>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val="en-GB" w:eastAsia="ja-JP"/>
    </w:r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overflowPunct w:val="0"/>
      <w:autoSpaceDE w:val="0"/>
      <w:autoSpaceDN w:val="0"/>
      <w:adjustRightInd w:val="0"/>
      <w:textAlignment w:val="baseline"/>
    </w:pPr>
    <w:rPr>
      <w:rFonts w:ascii="Times New Roman" w:eastAsia="Times New Roman" w:hAnsi="Times New Roman" w:cs="Times New Roman"/>
      <w:sz w:val="20"/>
      <w:szCs w:val="20"/>
      <w:lang w:val="en-GB"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cs="Times New Roman"/>
      <w:sz w:val="20"/>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en-GB"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cs="Times New Roman"/>
      <w:b/>
      <w:sz w:val="20"/>
      <w:szCs w:val="24"/>
      <w:lang w:val="en-GB"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val="en-GB"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overflowPunct w:val="0"/>
      <w:autoSpaceDE w:val="0"/>
      <w:autoSpaceDN w:val="0"/>
      <w:adjustRightInd w:val="0"/>
      <w:ind w:left="720"/>
      <w:textAlignment w:val="baseline"/>
    </w:pPr>
    <w:rPr>
      <w:rFonts w:eastAsia="Calibri" w:cs="Times New Roman"/>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3A70A4"/>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locked/>
    <w:rsid w:val="008F7DF7"/>
    <w:rPr>
      <w:rFonts w:ascii="Arial" w:eastAsia="MS Mincho" w:hAnsi="Arial"/>
      <w:b/>
      <w:szCs w:val="24"/>
    </w:rPr>
  </w:style>
  <w:style w:type="paragraph" w:customStyle="1" w:styleId="EmailDiscussion2">
    <w:name w:val="EmailDiscussion2"/>
    <w:basedOn w:val="Doc-text2"/>
    <w:uiPriority w:val="99"/>
    <w:qFormat/>
    <w:rsid w:val="008F7DF7"/>
    <w:pPr>
      <w:overflowPunct/>
      <w:autoSpaceDE/>
      <w:autoSpaceDN/>
      <w:adjustRightInd/>
      <w:textAlignment w:val="auto"/>
    </w:pPr>
    <w:rPr>
      <w:rFonts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435941">
      <w:bodyDiv w:val="1"/>
      <w:marLeft w:val="0"/>
      <w:marRight w:val="0"/>
      <w:marTop w:val="0"/>
      <w:marBottom w:val="0"/>
      <w:divBdr>
        <w:top w:val="none" w:sz="0" w:space="0" w:color="auto"/>
        <w:left w:val="none" w:sz="0" w:space="0" w:color="auto"/>
        <w:bottom w:val="none" w:sz="0" w:space="0" w:color="auto"/>
        <w:right w:val="none" w:sz="0" w:space="0" w:color="auto"/>
      </w:divBdr>
    </w:div>
    <w:div w:id="19852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10470.zip" TargetMode="External"/><Relationship Id="rId18" Type="http://schemas.openxmlformats.org/officeDocument/2006/relationships/hyperlink" Target="https://www.3gpp.org/ftp/tsg_ran/WG2_RL2/TSGR2_112-e/Docs/R2-2009790.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3gpp.org/ftp/tsg_ran/WG2_RL2/TSGR2_112-e/Docs/R2-2009732.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0926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2-e/Docs/R2-2009147.zip" TargetMode="External"/><Relationship Id="rId10" Type="http://schemas.openxmlformats.org/officeDocument/2006/relationships/endnotes" Target="endnotes.xml"/><Relationship Id="rId19" Type="http://schemas.openxmlformats.org/officeDocument/2006/relationships/hyperlink" Target="https://www.3gpp.org/ftp/tsg_ran/WG2_RL2/TSGR2_112-e/Docs/R2-200918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090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cuments\Submission%20RAN112\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FDA56-287E-4954-8026-736500EA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TotalTime>
  <Pages>3</Pages>
  <Words>899</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5653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Ericsson2</dc:creator>
  <cp:keywords>3GPP; Ericsson; TDoc</cp:keywords>
  <dc:description/>
  <cp:lastModifiedBy>Ericsson2</cp:lastModifiedBy>
  <cp:revision>2</cp:revision>
  <cp:lastPrinted>2008-01-31T07:09:00Z</cp:lastPrinted>
  <dcterms:created xsi:type="dcterms:W3CDTF">2020-11-05T11:40:00Z</dcterms:created>
  <dcterms:modified xsi:type="dcterms:W3CDTF">2020-11-05T11:40:00Z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