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#112-e</w:t>
      </w:r>
      <w:r>
        <w:rPr>
          <w:bCs/>
          <w:sz w:val="24"/>
          <w:szCs w:val="24"/>
        </w:rPr>
        <w:tab/>
      </w:r>
      <w:r>
        <w:rPr>
          <w:rStyle w:val="32"/>
          <w:bCs/>
          <w:sz w:val="24"/>
          <w:szCs w:val="24"/>
        </w:rPr>
        <w:t>R2-2011095</w:t>
      </w:r>
    </w:p>
    <w:p>
      <w:pPr>
        <w:pStyle w:val="25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Online, 2 – 13 November 2020</w:t>
      </w:r>
      <w:r>
        <w:rPr>
          <w:rFonts w:eastAsia="宋体"/>
          <w:sz w:val="24"/>
          <w:szCs w:val="24"/>
          <w:lang w:eastAsia="zh-CN"/>
        </w:rPr>
        <w:tab/>
      </w:r>
    </w:p>
    <w:p>
      <w:pPr>
        <w:pStyle w:val="25"/>
        <w:rPr>
          <w:bCs/>
          <w:sz w:val="24"/>
        </w:rPr>
      </w:pPr>
    </w:p>
    <w:p>
      <w:pPr>
        <w:pStyle w:val="25"/>
        <w:rPr>
          <w:bCs/>
          <w:sz w:val="24"/>
        </w:rPr>
      </w:pPr>
    </w:p>
    <w:p>
      <w:pPr>
        <w:pStyle w:val="70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6.7.2</w:t>
      </w:r>
    </w:p>
    <w:p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 (RAN2 Vice-chair )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Summary of [AT112-e][216][MOB] Check CHO-related parts of R2-2010229 (RAN2 VC)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</w:pPr>
      <w:r>
        <w:t>1</w:t>
      </w:r>
      <w:r>
        <w:tab/>
      </w:r>
      <w:r>
        <w:t>Brief scope of the contributions</w:t>
      </w:r>
    </w:p>
    <w:p>
      <w:r>
        <w:t>This document contains the summary of email discussion [216] as per below:</w:t>
      </w:r>
    </w:p>
    <w:p>
      <w:pPr>
        <w:pStyle w:val="90"/>
      </w:pPr>
      <w:bookmarkStart w:id="0" w:name="_Hlk55931407"/>
      <w:r>
        <w:t xml:space="preserve">[AT112-e][216][MOB] Check CHO-related parts of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</w:rPr>
        <w:t>R2-2010229</w:t>
      </w:r>
      <w:r>
        <w:rPr>
          <w:rStyle w:val="32"/>
        </w:rPr>
        <w:fldChar w:fldCharType="end"/>
      </w:r>
      <w:r>
        <w:t xml:space="preserve"> (RAN2 VC)</w:t>
      </w:r>
    </w:p>
    <w:p>
      <w:pPr>
        <w:pStyle w:val="91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>
      <w:pPr>
        <w:pStyle w:val="91"/>
        <w:numPr>
          <w:ilvl w:val="2"/>
          <w:numId w:val="3"/>
        </w:numPr>
        <w:ind w:left="1980"/>
      </w:pPr>
      <w:r>
        <w:t xml:space="preserve">Check whether the CHO-related parts of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</w:rPr>
        <w:t>R2-2010229</w:t>
      </w:r>
      <w:r>
        <w:rPr>
          <w:rStyle w:val="32"/>
        </w:rPr>
        <w:fldChar w:fldCharType="end"/>
      </w:r>
      <w:r>
        <w:t xml:space="preserve"> are agreeable.</w:t>
      </w:r>
    </w:p>
    <w:p>
      <w:pPr>
        <w:pStyle w:val="91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>
      <w:pPr>
        <w:pStyle w:val="91"/>
        <w:numPr>
          <w:ilvl w:val="2"/>
          <w:numId w:val="3"/>
        </w:numPr>
        <w:ind w:left="1980"/>
      </w:pPr>
      <w:r>
        <w:t>Discussion summary in R2-2011095 (by email rapporteur).</w:t>
      </w:r>
    </w:p>
    <w:p>
      <w:pPr>
        <w:pStyle w:val="91"/>
        <w:rPr>
          <w:u w:val="single"/>
        </w:rPr>
      </w:pPr>
      <w:r>
        <w:tab/>
      </w:r>
      <w:r>
        <w:rPr>
          <w:u w:val="single"/>
        </w:rPr>
        <w:t xml:space="preserve">Deadline for providing comments, for rapporteur inputs, conclusions and CR finalization:  </w:t>
      </w:r>
    </w:p>
    <w:p>
      <w:pPr>
        <w:pStyle w:val="91"/>
        <w:numPr>
          <w:ilvl w:val="2"/>
          <w:numId w:val="3"/>
        </w:numPr>
        <w:ind w:left="198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Initial deadline (for companies' feedback):  2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week Thu, UTC 15:00 </w:t>
      </w:r>
    </w:p>
    <w:p>
      <w:pPr>
        <w:pStyle w:val="91"/>
        <w:numPr>
          <w:ilvl w:val="2"/>
          <w:numId w:val="3"/>
        </w:numPr>
        <w:ind w:left="198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Initial deadline (for rapporteur's summary in </w:t>
      </w:r>
      <w:r>
        <w:t>R2-2011095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):  2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week Fri, UTC 05:00</w:t>
      </w:r>
    </w:p>
    <w:bookmarkEnd w:id="0"/>
    <w:p/>
    <w:p>
      <w:pPr>
        <w:pStyle w:val="88"/>
        <w:rPr>
          <w:lang w:val="fi-FI"/>
        </w:rPr>
      </w:pPr>
      <w:r>
        <w:t>By Email [216]</w:t>
      </w:r>
    </w:p>
    <w:p>
      <w:pPr>
        <w:pStyle w:val="85"/>
      </w:pPr>
      <w:r>
        <w:t>Editorials:</w:t>
      </w:r>
    </w:p>
    <w:p>
      <w:pPr>
        <w:pStyle w:val="81"/>
      </w:pP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</w:rPr>
        <w:t>R2-2010229</w:t>
      </w:r>
      <w:r>
        <w:rPr>
          <w:rStyle w:val="32"/>
        </w:rPr>
        <w:fldChar w:fldCharType="end"/>
      </w:r>
      <w:r>
        <w:tab/>
      </w:r>
      <w:r>
        <w:t>Support of Rel-16 features for SCG in EN-DC and NR-DC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16.2.0</w:t>
      </w:r>
      <w:r>
        <w:tab/>
      </w:r>
      <w:r>
        <w:t>2192</w:t>
      </w:r>
      <w:r>
        <w:tab/>
      </w:r>
      <w:r>
        <w:t>-</w:t>
      </w:r>
      <w:r>
        <w:tab/>
      </w:r>
      <w:r>
        <w:t>F</w:t>
      </w:r>
      <w:r>
        <w:tab/>
      </w:r>
      <w:r>
        <w:t>NR_IAB-Core, NR_Mob_enh-Core</w:t>
      </w:r>
    </w:p>
    <w:p>
      <w:pPr>
        <w:pStyle w:val="96"/>
      </w:pPr>
      <w:r>
        <w:t>Moved from 6.1.3 to 6.2.4, then Moved from 6.2.4 to here</w:t>
      </w:r>
    </w:p>
    <w:p>
      <w:pPr>
        <w:pStyle w:val="87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>
      <w:pPr>
        <w:pStyle w:val="87"/>
        <w:rPr>
          <w:highlight w:val="yellow"/>
        </w:rPr>
      </w:pPr>
      <w:r>
        <w:rPr>
          <w:highlight w:val="yellow"/>
        </w:rPr>
        <w:t>Offline [216]</w:t>
      </w:r>
    </w:p>
    <w:p>
      <w:pPr>
        <w:pStyle w:val="82"/>
      </w:pPr>
    </w:p>
    <w:p>
      <w:pPr>
        <w:pStyle w:val="82"/>
      </w:pPr>
    </w:p>
    <w:p>
      <w:r>
        <w:t>Hence, there is only one document to check in this discussion, and only the CHO-related parts in the document.</w:t>
      </w:r>
    </w:p>
    <w:p>
      <w:pPr>
        <w:pStyle w:val="2"/>
      </w:pPr>
      <w:r>
        <w:t>2</w:t>
      </w:r>
      <w:r>
        <w:tab/>
      </w:r>
      <w:r>
        <w:t xml:space="preserve">CHO-related parts of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</w:rPr>
        <w:t>R2-2010229</w:t>
      </w:r>
      <w:r>
        <w:rPr>
          <w:rStyle w:val="32"/>
        </w:rPr>
        <w:fldChar w:fldCharType="end"/>
      </w:r>
    </w:p>
    <w:p>
      <w:r>
        <w:t xml:space="preserve">There are two changes aspects related to CHO in the CR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</w:rPr>
        <w:t>R2-2010229</w:t>
      </w:r>
      <w:r>
        <w:rPr>
          <w:rStyle w:val="32"/>
        </w:rPr>
        <w:fldChar w:fldCharType="end"/>
      </w:r>
      <w:r>
        <w:t>:</w:t>
      </w:r>
    </w:p>
    <w:p>
      <w:pPr>
        <w:pStyle w:val="74"/>
        <w:numPr>
          <w:ilvl w:val="0"/>
          <w:numId w:val="4"/>
        </w:numPr>
      </w:pPr>
      <w:r>
        <w:t>When MR-DC is released, CPC commands are also released autonomously by UE (as part of the MR-DC context)</w:t>
      </w:r>
    </w:p>
    <w:p>
      <w:pPr>
        <w:pStyle w:val="74"/>
        <w:numPr>
          <w:ilvl w:val="0"/>
          <w:numId w:val="4"/>
        </w:numPr>
      </w:pPr>
      <w:r>
        <w:t xml:space="preserve">Clarifying that SCG CG information in CG-Config inter-node message can also contain the field </w:t>
      </w:r>
      <w:r>
        <w:rPr>
          <w:i/>
          <w:iCs/>
        </w:rPr>
        <w:t>conditionalReconfiguration</w:t>
      </w:r>
      <w:r>
        <w:t xml:space="preserve"> (i.e. CPC command can be included in the SCG configuration to UE)</w:t>
      </w:r>
    </w:p>
    <w:p/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 w:eastAsia="Times New Roman"/>
                <w:sz w:val="24"/>
                <w:lang w:eastAsia="ja-JP"/>
              </w:rPr>
            </w:pPr>
            <w:bookmarkStart w:id="1" w:name="_Toc46444001"/>
            <w:bookmarkStart w:id="2" w:name="_Toc52836640"/>
            <w:bookmarkStart w:id="3" w:name="_Toc46439164"/>
            <w:bookmarkStart w:id="4" w:name="_Toc52837648"/>
            <w:bookmarkStart w:id="5" w:name="_Toc46486762"/>
            <w:bookmarkStart w:id="6" w:name="_Toc53006288"/>
            <w:r>
              <w:rPr>
                <w:rFonts w:ascii="Arial" w:hAnsi="Arial" w:eastAsia="MS Mincho"/>
                <w:sz w:val="24"/>
                <w:lang w:eastAsia="ja-JP"/>
              </w:rPr>
              <w:t>5.3.5.10</w:t>
            </w:r>
            <w:r>
              <w:rPr>
                <w:rFonts w:ascii="Arial" w:hAnsi="Arial" w:eastAsia="MS Mincho"/>
                <w:sz w:val="24"/>
                <w:lang w:eastAsia="ja-JP"/>
              </w:rPr>
              <w:tab/>
            </w:r>
            <w:r>
              <w:rPr>
                <w:rFonts w:ascii="Arial" w:hAnsi="Arial" w:eastAsia="MS Mincho"/>
                <w:sz w:val="24"/>
                <w:lang w:eastAsia="ja-JP"/>
              </w:rPr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The UE shall: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1&gt;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as a result of MR-DC release triggered by E-UTRA or NR: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release SRB3</w:t>
            </w:r>
            <w:r>
              <w:rPr>
                <w:rFonts w:eastAsia="Times New Roman"/>
                <w:lang w:eastAsia="ja-JP"/>
              </w:rPr>
              <w:t>, if established, as specified in 5.3.5.6.2</w:t>
            </w:r>
            <w:r>
              <w:rPr>
                <w:lang w:eastAsia="ko-KR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2&gt;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release </w:t>
            </w:r>
            <w:r>
              <w:rPr>
                <w:rFonts w:eastAsia="Times New Roman"/>
                <w:i/>
                <w:lang w:eastAsia="ko-KR"/>
              </w:rPr>
              <w:t>measConfig</w:t>
            </w:r>
            <w:r>
              <w:rPr>
                <w:rFonts w:eastAsia="Times New Roman"/>
                <w:lang w:eastAsia="ko-KR"/>
              </w:rPr>
              <w:t xml:space="preserve"> associated with SCG;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if the UE is configured with NR SCG: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release the SCG configuration as specified in clause 5.3.5.4;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release </w:t>
            </w:r>
            <w:r>
              <w:rPr>
                <w:rFonts w:eastAsia="Times New Roman"/>
                <w:i/>
                <w:lang w:eastAsia="ja-JP"/>
              </w:rPr>
              <w:t>otherConfig</w:t>
            </w:r>
            <w:r>
              <w:rPr>
                <w:rFonts w:eastAsia="Times New Roman"/>
                <w:lang w:eastAsia="ja-JP"/>
              </w:rPr>
              <w:t xml:space="preserve"> associated with the SCG;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0" w:author="Huawei" w:date="2020-10-22T14:14:00Z"/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stop timers T346a, T346b, T346c, T346d and T346e associated with the SCG, if running;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" w:author="Huawei" w:date="2020-10-22T14:14:00Z"/>
                <w:rFonts w:eastAsia="Times New Roman"/>
                <w:lang w:eastAsia="ja-JP"/>
              </w:rPr>
            </w:pPr>
            <w:ins w:id="2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</w:ins>
            <w:ins w:id="3" w:author="Huawei" w:date="2020-10-22T14:14:00Z">
              <w:r>
                <w:rPr>
                  <w:rFonts w:eastAsia="Times New Roman"/>
                  <w:i/>
                  <w:lang w:eastAsia="ja-JP"/>
                </w:rPr>
                <w:t>bap-Config</w:t>
              </w:r>
            </w:ins>
            <w:ins w:id="4" w:author="Huawei" w:date="2020-10-22T14:14:00Z"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5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6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5:00Z"/>
                <w:rFonts w:eastAsia="Times New Roman"/>
                <w:lang w:eastAsia="ja-JP"/>
              </w:rPr>
            </w:pPr>
            <w:ins w:id="8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</w:ins>
            <w:ins w:id="9" w:author="Huawei" w:date="2020-10-22T14:14:00Z"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0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</w:ins>
            <w:ins w:id="11" w:author="Huawei" w:date="2020-10-22T14:15:00Z"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2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3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4" w:author="Huawei" w:date="2020-10-22T14:15:00Z">
              <w:r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</w:ins>
            <w:ins w:id="15" w:author="Huawei" w:date="2020-10-22T14:15:00Z">
              <w:r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</w:ins>
            <w:ins w:id="16" w:author="Huawei" w:date="2020-10-22T14:15:00Z">
              <w:r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>
      <w:pPr>
        <w:pStyle w:val="19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1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#1 in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  <w:b/>
          <w:bCs/>
          <w:i w:val="0"/>
          <w:iCs w:val="0"/>
        </w:rPr>
        <w:t>R2-2010229</w:t>
      </w:r>
      <w:r>
        <w:rPr>
          <w:rStyle w:val="32"/>
          <w:b/>
          <w:bCs/>
          <w:i w:val="0"/>
          <w:iCs w:val="0"/>
        </w:rPr>
        <w:fldChar w:fldCharType="end"/>
      </w:r>
    </w:p>
    <w:p/>
    <w:tbl>
      <w:tblPr>
        <w:tblStyle w:val="28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b/>
                <w:i/>
                <w:sz w:val="18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lang w:eastAsia="sv-SE"/>
              </w:rPr>
              <w:t>scg-CellGroupConfig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sv-SE"/>
              </w:rPr>
            </w:pPr>
            <w:r>
              <w:rPr>
                <w:rFonts w:ascii="Arial" w:hAnsi="Arial" w:eastAsia="Times New Roman"/>
                <w:sz w:val="18"/>
                <w:lang w:eastAsia="sv-SE"/>
              </w:rPr>
              <w:t xml:space="preserve">Contains the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RRCReconfiguration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 message (containing only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secondaryCellGroup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 and/or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measConfig</w:t>
            </w:r>
            <w:r>
              <w:rPr>
                <w:rFonts w:ascii="Arial" w:hAnsi="Arial" w:eastAsia="Times New Roman"/>
                <w:sz w:val="18"/>
                <w:lang w:eastAsia="ja-JP"/>
              </w:rPr>
              <w:t xml:space="preserve"> and/or </w:t>
            </w:r>
            <w:r>
              <w:rPr>
                <w:rFonts w:ascii="Arial" w:hAnsi="Arial" w:eastAsia="Times New Roman"/>
                <w:i/>
                <w:sz w:val="18"/>
                <w:lang w:eastAsia="ja-JP"/>
              </w:rPr>
              <w:t>otherConfig</w:t>
            </w:r>
            <w:ins w:id="17" w:author="Huawei" w:date="2020-10-22T14:12:00Z">
              <w:r>
                <w:rPr>
                  <w:rFonts w:ascii="Arial" w:hAnsi="Arial" w:eastAsia="Times New Roman"/>
                  <w:sz w:val="18"/>
                  <w:lang w:eastAsia="ja-JP"/>
                </w:rPr>
                <w:t xml:space="preserve"> and/or </w:t>
              </w:r>
            </w:ins>
            <w:ins w:id="18" w:author="Huawei" w:date="2020-10-22T14:13:00Z">
              <w:r>
                <w:rPr>
                  <w:rFonts w:ascii="Arial" w:hAnsi="Arial" w:eastAsia="Times New Roman"/>
                  <w:i/>
                  <w:sz w:val="18"/>
                  <w:lang w:eastAsia="ja-JP"/>
                </w:rPr>
                <w:t>bap-Config</w:t>
              </w:r>
            </w:ins>
            <w:ins w:id="19" w:author="Huawei" w:date="2020-10-22T14:13:00Z">
              <w:r>
                <w:rPr>
                  <w:rFonts w:ascii="Arial" w:hAnsi="Arial" w:eastAsia="Times New Roman"/>
                  <w:sz w:val="18"/>
                  <w:lang w:eastAsia="ja-JP"/>
                </w:rPr>
                <w:t xml:space="preserve"> and/or </w:t>
              </w:r>
            </w:ins>
            <w:ins w:id="20" w:author="Huawei" w:date="2020-10-22T14:13:00Z">
              <w:r>
                <w:rPr>
                  <w:rFonts w:ascii="Arial" w:hAnsi="Arial" w:eastAsia="Times New Roman"/>
                  <w:i/>
                  <w:sz w:val="18"/>
                  <w:lang w:eastAsia="ja-JP"/>
                </w:rPr>
                <w:t>iab-IP-AddressConfigurationList</w:t>
              </w:r>
            </w:ins>
            <w:ins w:id="21" w:author="Huawei" w:date="2020-10-22T14:13:00Z">
              <w:r>
                <w:rPr>
                  <w:rFonts w:ascii="Arial" w:hAnsi="Arial" w:eastAsia="Times New Roman"/>
                  <w:sz w:val="18"/>
                  <w:lang w:eastAsia="ja-JP"/>
                </w:rPr>
                <w:t xml:space="preserve"> </w:t>
              </w:r>
            </w:ins>
            <w:ins w:id="22" w:author="Huawei" w:date="2020-10-22T14:13:00Z">
              <w:r>
                <w:rPr>
                  <w:rFonts w:ascii="Arial" w:hAnsi="Arial" w:eastAsia="Times New Roman"/>
                  <w:sz w:val="18"/>
                  <w:highlight w:val="yellow"/>
                  <w:lang w:eastAsia="ja-JP"/>
                </w:rPr>
                <w:t xml:space="preserve">and/or </w:t>
              </w:r>
            </w:ins>
            <w:ins w:id="23" w:author="Huawei" w:date="2020-10-22T14:13:00Z">
              <w:r>
                <w:rPr>
                  <w:rFonts w:ascii="Arial" w:hAnsi="Arial" w:eastAsia="Times New Roman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>
              <w:rPr>
                <w:rFonts w:ascii="Arial" w:hAnsi="Arial" w:eastAsia="Times New Roman"/>
                <w:iCs/>
                <w:sz w:val="18"/>
                <w:lang w:eastAsia="ja-JP"/>
              </w:rPr>
              <w:t>)</w:t>
            </w:r>
            <w:r>
              <w:rPr>
                <w:rFonts w:ascii="Arial" w:hAnsi="Arial" w:eastAsia="Times New Roman"/>
                <w:sz w:val="18"/>
                <w:lang w:eastAsia="sv-SE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sv-SE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ab/>
            </w: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 xml:space="preserve">to be sent to the UE, used upon SCG establishment or modification, as generated (entirely) by the (target) SgNB. In this case, the SN sets the </w:t>
            </w:r>
            <w:r>
              <w:rPr>
                <w:rFonts w:ascii="Arial" w:hAnsi="Arial" w:eastAsia="Times New Roman" w:cs="Arial"/>
                <w:i/>
                <w:sz w:val="18"/>
                <w:szCs w:val="18"/>
                <w:lang w:eastAsia="sv-SE"/>
              </w:rPr>
              <w:t>RRCReconfiguration</w:t>
            </w: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>
              <w:rPr>
                <w:rFonts w:ascii="Arial" w:hAnsi="Arial" w:eastAsia="Yu Mincho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 xml:space="preserve"> or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sv-SE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ab/>
            </w: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>
              <w:rPr>
                <w:rFonts w:ascii="Arial" w:hAnsi="Arial" w:eastAsia="Times New Roman" w:cs="Arial"/>
                <w:i/>
                <w:sz w:val="18"/>
                <w:szCs w:val="18"/>
                <w:lang w:eastAsia="sv-SE"/>
              </w:rPr>
              <w:t>RRCReconfiguration</w:t>
            </w:r>
            <w:r>
              <w:rPr>
                <w:rFonts w:ascii="Arial" w:hAnsi="Arial" w:eastAsia="Times New Roman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hAnsi="Arial" w:eastAsia="Times New Roman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>
      <w:pPr>
        <w:pStyle w:val="19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#2 in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  <w:b/>
          <w:bCs/>
          <w:i w:val="0"/>
          <w:iCs w:val="0"/>
        </w:rPr>
        <w:t>R2-2010229</w:t>
      </w:r>
      <w:r>
        <w:rPr>
          <w:rStyle w:val="32"/>
          <w:b/>
          <w:bCs/>
          <w:i w:val="0"/>
          <w:iCs w:val="0"/>
        </w:rPr>
        <w:fldChar w:fldCharType="end"/>
      </w:r>
    </w:p>
    <w:p/>
    <w:p>
      <w:r>
        <w:t>Company comments are invited to each in the table below.</w:t>
      </w:r>
    </w:p>
    <w:p/>
    <w:tbl>
      <w:tblPr>
        <w:tblStyle w:val="2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t>Intel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>
            <w:pPr>
              <w:pStyle w:val="82"/>
              <w:ind w:left="1259" w:firstLine="0"/>
            </w:pPr>
            <w:r>
              <w:t xml:space="preserve">The first change in 5.3.5.10 on release of CPC configuration is not needed since it has been covered by 5.3.5.4. </w:t>
            </w:r>
          </w:p>
          <w:p>
            <w:pPr>
              <w:pStyle w:val="5"/>
            </w:pPr>
            <w:bookmarkStart w:id="7" w:name="_Toc53006263"/>
            <w:bookmarkStart w:id="8" w:name="_Toc46439139"/>
            <w:bookmarkStart w:id="9" w:name="_Toc52837623"/>
            <w:bookmarkStart w:id="10" w:name="_Toc52836615"/>
            <w:bookmarkStart w:id="11" w:name="_Toc46486737"/>
            <w:bookmarkStart w:id="12" w:name="_Toc46443976"/>
            <w:r>
              <w:t>5.3.5.4</w:t>
            </w:r>
            <w:r>
              <w:tab/>
            </w:r>
            <w:r>
              <w:t>Secondary cell group release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  <w:p>
            <w:r>
              <w:t>The UE shall:</w:t>
            </w:r>
          </w:p>
          <w:p>
            <w:pPr>
              <w:pStyle w:val="50"/>
            </w:pPr>
            <w:r>
              <w:t>1&gt;</w:t>
            </w:r>
            <w:r>
              <w:tab/>
            </w:r>
            <w:r>
              <w:t>as a result of SCG release triggered by E-UTRA (i.e. (NG)EN-DC case) or NR (i.e. NR-DC case):</w:t>
            </w:r>
          </w:p>
          <w:p>
            <w:pPr>
              <w:pStyle w:val="61"/>
            </w:pPr>
            <w:r>
              <w:t>2&gt;</w:t>
            </w:r>
            <w:r>
              <w:tab/>
            </w:r>
            <w:r>
              <w:t>reset SCG MAC, if configured;</w:t>
            </w:r>
          </w:p>
          <w:p>
            <w:pPr>
              <w:pStyle w:val="61"/>
            </w:pPr>
            <w:r>
              <w:t>2&gt;</w:t>
            </w:r>
            <w:r>
              <w:tab/>
            </w:r>
            <w:r>
              <w:t>for each RLC bearer that is part of the SCG configuration:</w:t>
            </w:r>
          </w:p>
          <w:p>
            <w:pPr>
              <w:pStyle w:val="62"/>
            </w:pPr>
            <w:r>
              <w:t>3&gt;</w:t>
            </w:r>
            <w:r>
              <w:tab/>
            </w:r>
            <w:r>
              <w:t>perform RLC bearer release procedure as specified in 5.3.5.5.3;</w:t>
            </w:r>
          </w:p>
          <w:p>
            <w:pPr>
              <w:pStyle w:val="61"/>
            </w:pPr>
            <w:r>
              <w:t>2&gt;</w:t>
            </w:r>
            <w:r>
              <w:tab/>
            </w:r>
            <w:r>
              <w:t>release the SCG configuration;</w:t>
            </w:r>
          </w:p>
          <w:p>
            <w:pPr>
              <w:pStyle w:val="61"/>
            </w:pPr>
            <w:r>
              <w:t>2&gt;</w:t>
            </w:r>
            <w:r>
              <w:tab/>
            </w:r>
            <w:r>
              <w:t>if CPC was configured,</w:t>
            </w:r>
          </w:p>
          <w:p>
            <w:pPr>
              <w:pStyle w:val="62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 xml:space="preserve">remove all the entries within </w:t>
            </w:r>
            <w:r>
              <w:rPr>
                <w:i/>
                <w:highlight w:val="yellow"/>
              </w:rPr>
              <w:t>VarConditionalReconfig</w:t>
            </w:r>
            <w:r>
              <w:rPr>
                <w:highlight w:val="yellow"/>
              </w:rPr>
              <w:t>, if any;</w:t>
            </w:r>
          </w:p>
          <w:p>
            <w:pPr>
              <w:pStyle w:val="82"/>
            </w:pPr>
          </w:p>
          <w:p>
            <w:pPr>
              <w:pStyle w:val="82"/>
            </w:pPr>
            <w:r>
              <w:t xml:space="preserve">Last change on CPC has been covered by Google’s CR in the email discussion 211. 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6520" w:type="dxa"/>
          </w:tcPr>
          <w:p>
            <w:r>
              <w:t>It seems to be already addressed by the step: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Theme="minorEastAsia"/>
                <w:lang w:eastAsia="ja-JP"/>
              </w:rPr>
            </w:pPr>
            <w:r>
              <w:t xml:space="preserve"> </w:t>
            </w: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release the SCG configuration as specified in clause 5.3.5.4;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hint="eastAsia" w:eastAsia="Malgun Gothic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Sharp</w:t>
            </w:r>
          </w:p>
        </w:tc>
        <w:tc>
          <w:tcPr>
            <w:tcW w:w="1276" w:type="dxa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>
            <w:r>
              <w:t xml:space="preserve">This change is not needed since it has been covered by current spec in 5.3.5.4. 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Share the same view with Intel</w:t>
            </w:r>
            <w:bookmarkStart w:id="14" w:name="_GoBack"/>
            <w:bookmarkEnd w:id="14"/>
            <w:r>
              <w:rPr>
                <w:rFonts w:hint="eastAsia" w:eastAsia="宋体"/>
                <w:b/>
                <w:bCs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pStyle w:val="19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. Comments to the change#1 in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  <w:b/>
          <w:bCs/>
          <w:i w:val="0"/>
          <w:iCs w:val="0"/>
        </w:rPr>
        <w:t>R2-2010229</w:t>
      </w:r>
      <w:r>
        <w:rPr>
          <w:rStyle w:val="32"/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 </w:t>
      </w:r>
    </w:p>
    <w:p>
      <w:pPr>
        <w:rPr>
          <w:b/>
          <w:bCs/>
        </w:rPr>
      </w:pPr>
    </w:p>
    <w:p/>
    <w:tbl>
      <w:tblPr>
        <w:tblStyle w:val="2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rFonts w:hint="eastAsia" w:eastAsia="Malgun Gothic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Sharp</w:t>
            </w:r>
          </w:p>
        </w:tc>
        <w:tc>
          <w:tcPr>
            <w:tcW w:w="1276" w:type="dxa"/>
          </w:tcPr>
          <w:p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 w:eastAsia="Malgun Gothic"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>
            <w:pPr>
              <w:rPr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pStyle w:val="19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. Comments to the change#2 in </w:t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  <w:b/>
          <w:bCs/>
          <w:i w:val="0"/>
          <w:iCs w:val="0"/>
        </w:rPr>
        <w:t>R2-2010229</w:t>
      </w:r>
      <w:r>
        <w:rPr>
          <w:rStyle w:val="32"/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 </w:t>
      </w:r>
    </w:p>
    <w:p/>
    <w:p>
      <w:pPr>
        <w:pStyle w:val="2"/>
      </w:pPr>
      <w:r>
        <w:t>3</w:t>
      </w:r>
      <w:r>
        <w:tab/>
      </w:r>
      <w:r>
        <w:t>Conclusions</w:t>
      </w:r>
    </w:p>
    <w:p>
      <w:pPr>
        <w:rPr>
          <w:b/>
          <w:u w:val="single"/>
        </w:rPr>
      </w:pPr>
      <w:bookmarkStart w:id="13" w:name="_Hlk38892258"/>
      <w:r>
        <w:rPr>
          <w:b/>
          <w:u w:val="single"/>
        </w:rPr>
        <w:t>Conclusions:</w:t>
      </w:r>
    </w:p>
    <w:p>
      <w:pPr>
        <w:rPr>
          <w:b/>
          <w:u w:val="single"/>
        </w:rPr>
      </w:pPr>
      <w:r>
        <w:rPr>
          <w:b/>
          <w:u w:val="single"/>
        </w:rPr>
        <w:t>TBA</w:t>
      </w:r>
    </w:p>
    <w:bookmarkEnd w:id="13"/>
    <w:p>
      <w:pPr>
        <w:pStyle w:val="2"/>
      </w:pPr>
      <w:r>
        <w:t>4</w:t>
      </w:r>
      <w:r>
        <w:tab/>
      </w:r>
      <w:r>
        <w:t xml:space="preserve">List of referenced documents </w:t>
      </w:r>
    </w:p>
    <w:p>
      <w:pPr>
        <w:pStyle w:val="81"/>
      </w:pPr>
      <w:r>
        <w:t>[1]</w:t>
      </w:r>
      <w:r>
        <w:tab/>
      </w:r>
      <w:r>
        <w:fldChar w:fldCharType="begin"/>
      </w:r>
      <w:r>
        <w:instrText xml:space="preserve"> HYPERLINK "file:///C:\\Users\\terhentt\\Documents\\Tdocs\\RAN2\\RAN2_112-e\\R2-2010229.zip" </w:instrText>
      </w:r>
      <w:r>
        <w:fldChar w:fldCharType="separate"/>
      </w:r>
      <w:r>
        <w:rPr>
          <w:rStyle w:val="32"/>
        </w:rPr>
        <w:t>R2-2010229</w:t>
      </w:r>
      <w:r>
        <w:rPr>
          <w:rStyle w:val="32"/>
        </w:rPr>
        <w:fldChar w:fldCharType="end"/>
      </w:r>
      <w:r>
        <w:tab/>
      </w:r>
      <w:r>
        <w:t>Support of Rel-16 features for SCG in EN-DC and NR-DC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16.2.0</w:t>
      </w:r>
      <w:r>
        <w:tab/>
      </w:r>
      <w:r>
        <w:t>2192</w:t>
      </w:r>
      <w:r>
        <w:tab/>
      </w:r>
      <w:r>
        <w:t>-</w:t>
      </w:r>
      <w:r>
        <w:tab/>
      </w:r>
      <w:r>
        <w:t>F</w:t>
      </w:r>
      <w:r>
        <w:tab/>
      </w:r>
      <w:r>
        <w:t>NR_IAB-Core, NR_Mob_enh-Core</w:t>
      </w: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E51"/>
    <w:multiLevelType w:val="multilevel"/>
    <w:tmpl w:val="1EDE5E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9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87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40D7298"/>
    <w:multiLevelType w:val="multilevel"/>
    <w:tmpl w:val="740D729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qgUAFn12Xy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44138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313D0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078BF"/>
    <w:rsid w:val="00310393"/>
    <w:rsid w:val="00311B17"/>
    <w:rsid w:val="003172DC"/>
    <w:rsid w:val="00325AE3"/>
    <w:rsid w:val="00326069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08F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183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874EA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  <w:rsid w:val="6CA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19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0">
    <w:name w:val="Document Map"/>
    <w:basedOn w:val="1"/>
    <w:link w:val="71"/>
    <w:qFormat/>
    <w:uiPriority w:val="0"/>
    <w:pPr>
      <w:spacing w:after="0"/>
    </w:pPr>
    <w:rPr>
      <w:sz w:val="24"/>
      <w:szCs w:val="24"/>
    </w:rPr>
  </w:style>
  <w:style w:type="paragraph" w:styleId="21">
    <w:name w:val="annotation text"/>
    <w:basedOn w:val="1"/>
    <w:link w:val="75"/>
    <w:qFormat/>
    <w:uiPriority w:val="0"/>
  </w:style>
  <w:style w:type="paragraph" w:styleId="22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3">
    <w:name w:val="Balloon Text"/>
    <w:basedOn w:val="1"/>
    <w:link w:val="72"/>
    <w:qFormat/>
    <w:uiPriority w:val="0"/>
    <w:pPr>
      <w:spacing w:after="0"/>
    </w:pPr>
    <w:rPr>
      <w:rFonts w:ascii="Helvetica" w:hAnsi="Helvetica"/>
      <w:sz w:val="18"/>
      <w:szCs w:val="18"/>
    </w:rPr>
  </w:style>
  <w:style w:type="paragraph" w:styleId="24">
    <w:name w:val="footer"/>
    <w:basedOn w:val="25"/>
    <w:qFormat/>
    <w:uiPriority w:val="0"/>
    <w:pPr>
      <w:jc w:val="center"/>
    </w:pPr>
    <w:rPr>
      <w:i/>
    </w:rPr>
  </w:style>
  <w:style w:type="paragraph" w:styleId="25">
    <w:name w:val="header"/>
    <w:link w:val="6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Batang" w:cs="Times New Roman"/>
      <w:b/>
      <w:sz w:val="18"/>
      <w:lang w:val="en-GB" w:eastAsia="ja-JP" w:bidi="ar-SA"/>
    </w:rPr>
  </w:style>
  <w:style w:type="paragraph" w:styleId="26">
    <w:name w:val="toc 9"/>
    <w:basedOn w:val="22"/>
    <w:next w:val="1"/>
    <w:semiHidden/>
    <w:uiPriority w:val="0"/>
    <w:pPr>
      <w:ind w:left="1418" w:hanging="1418"/>
    </w:pPr>
  </w:style>
  <w:style w:type="paragraph" w:styleId="27">
    <w:name w:val="annotation subject"/>
    <w:basedOn w:val="21"/>
    <w:next w:val="21"/>
    <w:link w:val="76"/>
    <w:semiHidden/>
    <w:unhideWhenUsed/>
    <w:qFormat/>
    <w:uiPriority w:val="0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qFormat/>
    <w:uiPriority w:val="99"/>
    <w:rPr>
      <w:color w:val="0000FF"/>
      <w:u w:val="single"/>
    </w:rPr>
  </w:style>
  <w:style w:type="character" w:styleId="33">
    <w:name w:val="annotation reference"/>
    <w:basedOn w:val="30"/>
    <w:qFormat/>
    <w:uiPriority w:val="0"/>
    <w:rPr>
      <w:sz w:val="16"/>
      <w:szCs w:val="16"/>
    </w:rPr>
  </w:style>
  <w:style w:type="paragraph" w:customStyle="1" w:styleId="3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5">
    <w:name w:val="ZGSM"/>
    <w:qFormat/>
    <w:uiPriority w:val="0"/>
  </w:style>
  <w:style w:type="paragraph" w:customStyle="1" w:styleId="3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37">
    <w:name w:val="TT"/>
    <w:basedOn w:val="2"/>
    <w:next w:val="1"/>
    <w:qFormat/>
    <w:uiPriority w:val="0"/>
    <w:pPr>
      <w:outlineLvl w:val="9"/>
    </w:pPr>
  </w:style>
  <w:style w:type="paragraph" w:customStyle="1" w:styleId="38">
    <w:name w:val="NF"/>
    <w:basedOn w:val="3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9">
    <w:name w:val="NO"/>
    <w:basedOn w:val="1"/>
    <w:qFormat/>
    <w:uiPriority w:val="0"/>
    <w:pPr>
      <w:keepLines/>
      <w:ind w:left="1135" w:hanging="851"/>
    </w:pPr>
  </w:style>
  <w:style w:type="paragraph" w:customStyle="1" w:styleId="40">
    <w:name w:val="PL"/>
    <w:link w:val="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41">
    <w:name w:val="TAR"/>
    <w:basedOn w:val="42"/>
    <w:qFormat/>
    <w:uiPriority w:val="0"/>
    <w:pPr>
      <w:jc w:val="right"/>
    </w:pPr>
  </w:style>
  <w:style w:type="paragraph" w:customStyle="1" w:styleId="4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3">
    <w:name w:val="TAH"/>
    <w:basedOn w:val="44"/>
    <w:qFormat/>
    <w:uiPriority w:val="0"/>
    <w:rPr>
      <w:b/>
    </w:rPr>
  </w:style>
  <w:style w:type="paragraph" w:customStyle="1" w:styleId="44">
    <w:name w:val="TAC"/>
    <w:basedOn w:val="42"/>
    <w:qFormat/>
    <w:uiPriority w:val="0"/>
    <w:pPr>
      <w:jc w:val="center"/>
    </w:pPr>
  </w:style>
  <w:style w:type="paragraph" w:customStyle="1" w:styleId="45">
    <w:name w:val="LD"/>
    <w:qFormat/>
    <w:uiPriority w:val="0"/>
    <w:pPr>
      <w:keepNext/>
      <w:keepLines/>
      <w:spacing w:line="180" w:lineRule="exact"/>
    </w:pPr>
    <w:rPr>
      <w:rFonts w:ascii="Courier New" w:hAnsi="Courier New" w:eastAsia="Batang" w:cs="Times New Roman"/>
      <w:lang w:val="en-GB" w:eastAsia="en-US" w:bidi="ar-SA"/>
    </w:rPr>
  </w:style>
  <w:style w:type="paragraph" w:customStyle="1" w:styleId="46">
    <w:name w:val="EX"/>
    <w:basedOn w:val="1"/>
    <w:qFormat/>
    <w:uiPriority w:val="0"/>
    <w:pPr>
      <w:keepLines/>
      <w:ind w:left="1702" w:hanging="1418"/>
    </w:pPr>
  </w:style>
  <w:style w:type="paragraph" w:customStyle="1" w:styleId="47">
    <w:name w:val="FP"/>
    <w:basedOn w:val="1"/>
    <w:qFormat/>
    <w:uiPriority w:val="0"/>
    <w:pPr>
      <w:spacing w:after="0"/>
    </w:pPr>
  </w:style>
  <w:style w:type="paragraph" w:customStyle="1" w:styleId="48">
    <w:name w:val="NW"/>
    <w:basedOn w:val="39"/>
    <w:qFormat/>
    <w:uiPriority w:val="0"/>
    <w:pPr>
      <w:spacing w:after="0"/>
    </w:pPr>
  </w:style>
  <w:style w:type="paragraph" w:customStyle="1" w:styleId="49">
    <w:name w:val="EW"/>
    <w:basedOn w:val="46"/>
    <w:qFormat/>
    <w:uiPriority w:val="0"/>
    <w:pPr>
      <w:spacing w:after="0"/>
    </w:pPr>
  </w:style>
  <w:style w:type="paragraph" w:customStyle="1" w:styleId="50">
    <w:name w:val="B1"/>
    <w:basedOn w:val="1"/>
    <w:link w:val="93"/>
    <w:qFormat/>
    <w:uiPriority w:val="0"/>
    <w:pPr>
      <w:ind w:left="568" w:hanging="284"/>
    </w:pPr>
  </w:style>
  <w:style w:type="paragraph" w:customStyle="1" w:styleId="51">
    <w:name w:val="Editor's Note"/>
    <w:basedOn w:val="39"/>
    <w:qFormat/>
    <w:uiPriority w:val="0"/>
    <w:rPr>
      <w:color w:val="FF0000"/>
    </w:rPr>
  </w:style>
  <w:style w:type="paragraph" w:customStyle="1" w:styleId="5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5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57">
    <w:name w:val="TAN"/>
    <w:basedOn w:val="42"/>
    <w:qFormat/>
    <w:uiPriority w:val="0"/>
    <w:pPr>
      <w:ind w:left="851" w:hanging="851"/>
    </w:p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9">
    <w:name w:val="TF"/>
    <w:basedOn w:val="52"/>
    <w:qFormat/>
    <w:uiPriority w:val="0"/>
    <w:pPr>
      <w:keepNext w:val="0"/>
      <w:spacing w:before="0" w:after="240"/>
    </w:pPr>
  </w:style>
  <w:style w:type="paragraph" w:customStyle="1" w:styleId="6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61">
    <w:name w:val="B2"/>
    <w:basedOn w:val="1"/>
    <w:link w:val="94"/>
    <w:qFormat/>
    <w:uiPriority w:val="0"/>
    <w:pPr>
      <w:ind w:left="851" w:hanging="284"/>
    </w:pPr>
  </w:style>
  <w:style w:type="paragraph" w:customStyle="1" w:styleId="62">
    <w:name w:val="B3"/>
    <w:basedOn w:val="1"/>
    <w:link w:val="97"/>
    <w:qFormat/>
    <w:uiPriority w:val="0"/>
    <w:pPr>
      <w:ind w:left="1135" w:hanging="284"/>
    </w:pPr>
  </w:style>
  <w:style w:type="paragraph" w:customStyle="1" w:styleId="63">
    <w:name w:val="B4"/>
    <w:basedOn w:val="1"/>
    <w:qFormat/>
    <w:uiPriority w:val="0"/>
    <w:pPr>
      <w:ind w:left="1418" w:hanging="284"/>
    </w:pPr>
  </w:style>
  <w:style w:type="paragraph" w:customStyle="1" w:styleId="64">
    <w:name w:val="B5"/>
    <w:basedOn w:val="1"/>
    <w:qFormat/>
    <w:uiPriority w:val="0"/>
    <w:pPr>
      <w:ind w:left="1702" w:hanging="284"/>
    </w:pPr>
  </w:style>
  <w:style w:type="paragraph" w:customStyle="1" w:styleId="65">
    <w:name w:val="ZTD"/>
    <w:basedOn w:val="54"/>
    <w:qFormat/>
    <w:uiPriority w:val="0"/>
    <w:pPr>
      <w:framePr w:hRule="auto" w:y="852"/>
    </w:pPr>
    <w:rPr>
      <w:i w:val="0"/>
      <w:sz w:val="40"/>
    </w:rPr>
  </w:style>
  <w:style w:type="paragraph" w:customStyle="1" w:styleId="66">
    <w:name w:val="ZV"/>
    <w:basedOn w:val="56"/>
    <w:qFormat/>
    <w:uiPriority w:val="0"/>
    <w:pPr>
      <w:framePr w:y="16161"/>
    </w:pPr>
  </w:style>
  <w:style w:type="paragraph" w:customStyle="1" w:styleId="67">
    <w:name w:val="TAJ"/>
    <w:basedOn w:val="52"/>
    <w:qFormat/>
    <w:uiPriority w:val="0"/>
  </w:style>
  <w:style w:type="paragraph" w:customStyle="1" w:styleId="68">
    <w:name w:val="Guidance"/>
    <w:basedOn w:val="1"/>
    <w:qFormat/>
    <w:uiPriority w:val="0"/>
    <w:rPr>
      <w:i/>
      <w:color w:val="0000FF"/>
    </w:rPr>
  </w:style>
  <w:style w:type="character" w:customStyle="1" w:styleId="69">
    <w:name w:val="页眉 Char"/>
    <w:link w:val="25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7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71">
    <w:name w:val="文档结构图 Char"/>
    <w:basedOn w:val="30"/>
    <w:link w:val="20"/>
    <w:qFormat/>
    <w:uiPriority w:val="0"/>
    <w:rPr>
      <w:sz w:val="24"/>
      <w:szCs w:val="24"/>
      <w:lang w:eastAsia="en-US"/>
    </w:rPr>
  </w:style>
  <w:style w:type="character" w:customStyle="1" w:styleId="72">
    <w:name w:val="批注框文本 Char"/>
    <w:basedOn w:val="30"/>
    <w:link w:val="23"/>
    <w:qFormat/>
    <w:uiPriority w:val="0"/>
    <w:rPr>
      <w:rFonts w:ascii="Helvetica" w:hAnsi="Helvetica"/>
      <w:sz w:val="18"/>
      <w:szCs w:val="18"/>
      <w:lang w:eastAsia="en-US"/>
    </w:rPr>
  </w:style>
  <w:style w:type="character" w:customStyle="1" w:styleId="73">
    <w:name w:val="Unresolved Mention1"/>
    <w:basedOn w:val="30"/>
    <w:qFormat/>
    <w:uiPriority w:val="0"/>
    <w:rPr>
      <w:color w:val="605E5C"/>
      <w:shd w:val="clear" w:color="auto" w:fill="E1DFDD"/>
    </w:rPr>
  </w:style>
  <w:style w:type="paragraph" w:styleId="74">
    <w:name w:val="List Paragraph"/>
    <w:basedOn w:val="1"/>
    <w:qFormat/>
    <w:uiPriority w:val="34"/>
    <w:pPr>
      <w:ind w:left="720"/>
      <w:contextualSpacing/>
    </w:pPr>
  </w:style>
  <w:style w:type="character" w:customStyle="1" w:styleId="75">
    <w:name w:val="批注文字 Char"/>
    <w:basedOn w:val="30"/>
    <w:link w:val="21"/>
    <w:qFormat/>
    <w:uiPriority w:val="0"/>
    <w:rPr>
      <w:lang w:eastAsia="en-US"/>
    </w:rPr>
  </w:style>
  <w:style w:type="character" w:customStyle="1" w:styleId="76">
    <w:name w:val="批注主题 Char"/>
    <w:basedOn w:val="75"/>
    <w:link w:val="27"/>
    <w:semiHidden/>
    <w:qFormat/>
    <w:uiPriority w:val="0"/>
    <w:rPr>
      <w:b/>
      <w:bCs/>
      <w:lang w:eastAsia="en-US"/>
    </w:rPr>
  </w:style>
  <w:style w:type="character" w:customStyle="1" w:styleId="77">
    <w:name w:val="Unresolved Mention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8">
    <w:name w:val="PL Char"/>
    <w:link w:val="40"/>
    <w:qFormat/>
    <w:uiPriority w:val="0"/>
    <w:rPr>
      <w:rFonts w:ascii="Courier New" w:hAnsi="Courier New"/>
      <w:sz w:val="16"/>
      <w:lang w:eastAsia="en-US"/>
    </w:rPr>
  </w:style>
  <w:style w:type="paragraph" w:customStyle="1" w:styleId="79">
    <w:name w:val="Revision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80">
    <w:name w:val="Unresolved Mention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1">
    <w:name w:val="Doc-title"/>
    <w:basedOn w:val="1"/>
    <w:next w:val="82"/>
    <w:link w:val="84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paragraph" w:customStyle="1" w:styleId="82">
    <w:name w:val="Doc-text2"/>
    <w:basedOn w:val="1"/>
    <w:link w:val="8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83">
    <w:name w:val="Doc-text2 Char"/>
    <w:link w:val="82"/>
    <w:qFormat/>
    <w:uiPriority w:val="0"/>
    <w:rPr>
      <w:rFonts w:ascii="Arial" w:hAnsi="Arial" w:eastAsia="MS Mincho"/>
      <w:szCs w:val="24"/>
    </w:rPr>
  </w:style>
  <w:style w:type="character" w:customStyle="1" w:styleId="84">
    <w:name w:val="Doc-title Char"/>
    <w:link w:val="81"/>
    <w:qFormat/>
    <w:uiPriority w:val="0"/>
    <w:rPr>
      <w:rFonts w:ascii="Arial" w:hAnsi="Arial" w:eastAsia="MS Mincho"/>
      <w:szCs w:val="24"/>
    </w:rPr>
  </w:style>
  <w:style w:type="paragraph" w:customStyle="1" w:styleId="85">
    <w:name w:val="Comments"/>
    <w:basedOn w:val="1"/>
    <w:link w:val="86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86">
    <w:name w:val="Comments Char"/>
    <w:link w:val="85"/>
    <w:qFormat/>
    <w:uiPriority w:val="0"/>
    <w:rPr>
      <w:rFonts w:ascii="Arial" w:hAnsi="Arial" w:eastAsia="MS Mincho"/>
      <w:i/>
      <w:sz w:val="18"/>
      <w:szCs w:val="24"/>
    </w:rPr>
  </w:style>
  <w:style w:type="paragraph" w:customStyle="1" w:styleId="87">
    <w:name w:val="Agreement"/>
    <w:basedOn w:val="1"/>
    <w:next w:val="82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88">
    <w:name w:val="Bold Comments"/>
    <w:basedOn w:val="1"/>
    <w:link w:val="89"/>
    <w:qFormat/>
    <w:uiPriority w:val="0"/>
    <w:pPr>
      <w:spacing w:before="240" w:after="60"/>
      <w:outlineLvl w:val="8"/>
    </w:pPr>
    <w:rPr>
      <w:rFonts w:ascii="Arial" w:hAnsi="Arial" w:eastAsia="MS Mincho"/>
      <w:b/>
      <w:szCs w:val="24"/>
      <w:lang w:eastAsia="en-GB"/>
    </w:rPr>
  </w:style>
  <w:style w:type="character" w:customStyle="1" w:styleId="89">
    <w:name w:val="Bold Comments Char"/>
    <w:link w:val="88"/>
    <w:qFormat/>
    <w:uiPriority w:val="0"/>
    <w:rPr>
      <w:rFonts w:ascii="Arial" w:hAnsi="Arial" w:eastAsia="MS Mincho"/>
      <w:b/>
      <w:szCs w:val="24"/>
    </w:rPr>
  </w:style>
  <w:style w:type="paragraph" w:customStyle="1" w:styleId="90">
    <w:name w:val="EmailDiscussion"/>
    <w:basedOn w:val="1"/>
    <w:next w:val="91"/>
    <w:link w:val="92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91">
    <w:name w:val="EmailDiscussion2"/>
    <w:basedOn w:val="82"/>
    <w:qFormat/>
    <w:uiPriority w:val="0"/>
  </w:style>
  <w:style w:type="character" w:customStyle="1" w:styleId="92">
    <w:name w:val="EmailDiscussion Char"/>
    <w:link w:val="90"/>
    <w:qFormat/>
    <w:uiPriority w:val="0"/>
    <w:rPr>
      <w:rFonts w:ascii="Arial" w:hAnsi="Arial" w:eastAsia="MS Mincho"/>
      <w:b/>
      <w:szCs w:val="24"/>
    </w:rPr>
  </w:style>
  <w:style w:type="character" w:customStyle="1" w:styleId="93">
    <w:name w:val="B1 Char1"/>
    <w:link w:val="50"/>
    <w:qFormat/>
    <w:locked/>
    <w:uiPriority w:val="0"/>
    <w:rPr>
      <w:lang w:eastAsia="en-US"/>
    </w:rPr>
  </w:style>
  <w:style w:type="character" w:customStyle="1" w:styleId="94">
    <w:name w:val="B2 Char"/>
    <w:link w:val="61"/>
    <w:qFormat/>
    <w:locked/>
    <w:uiPriority w:val="0"/>
    <w:rPr>
      <w:lang w:eastAsia="en-US"/>
    </w:rPr>
  </w:style>
  <w:style w:type="character" w:customStyle="1" w:styleId="95">
    <w:name w:val="Unresolved Mention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6">
    <w:name w:val="Doc-comment"/>
    <w:basedOn w:val="1"/>
    <w:next w:val="82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character" w:customStyle="1" w:styleId="97">
    <w:name w:val="B3 Char2"/>
    <w:link w:val="62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61CC7-546A-4FF7-B405-F94936B0468A}">
  <ds:schemaRefs/>
</ds:datastoreItem>
</file>

<file path=customXml/itemProps3.xml><?xml version="1.0" encoding="utf-8"?>
<ds:datastoreItem xmlns:ds="http://schemas.openxmlformats.org/officeDocument/2006/customXml" ds:itemID="{8ED1FF41-9130-4FBF-B742-64100F73850B}">
  <ds:schemaRefs/>
</ds:datastoreItem>
</file>

<file path=customXml/itemProps4.xml><?xml version="1.0" encoding="utf-8"?>
<ds:datastoreItem xmlns:ds="http://schemas.openxmlformats.org/officeDocument/2006/customXml" ds:itemID="{82A9E171-399D-4767-AB5E-FFDE0C66C49E}">
  <ds:schemaRefs/>
</ds:datastoreItem>
</file>

<file path=customXml/itemProps5.xml><?xml version="1.0" encoding="utf-8"?>
<ds:datastoreItem xmlns:ds="http://schemas.openxmlformats.org/officeDocument/2006/customXml" ds:itemID="{5E4A2579-CA76-4AD3-ABC4-496EFA140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Company>Nokia</Company>
  <Pages>4</Pages>
  <Words>757</Words>
  <Characters>5208</Characters>
  <Lines>43</Lines>
  <Paragraphs>11</Paragraphs>
  <TotalTime>1</TotalTime>
  <ScaleCrop>false</ScaleCrop>
  <LinksUpToDate>false</LinksUpToDate>
  <CharactersWithSpaces>5954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2020-11-12T01:28:00Z</dcterms:created>
  <dc:creator>Henttonen, Tero (Nokia - FI/Espoo)</dc:creator>
  <cp:lastModifiedBy>ZTE</cp:lastModifiedBy>
  <dcterms:modified xsi:type="dcterms:W3CDTF">2020-11-12T02:49:55Z</dcterms:modified>
  <dc:subject>&lt;Title 1; Title 2&gt; (Release 13 |12 |11 | 10 | 9 | 8 | 7 | 6 | 5 | 4)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  <property fmtid="{D5CDD505-2E9C-101B-9397-08002B2CF9AE}" pid="7" name="KSOProductBuildVer">
    <vt:lpwstr>2052-11.8.2.9022</vt:lpwstr>
  </property>
</Properties>
</file>