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C00D" w14:textId="7ABCB710" w:rsidR="00046610" w:rsidRDefault="00BE77B0">
      <w:pPr>
        <w:pStyle w:val="3GPPHeader"/>
        <w:spacing w:after="60"/>
        <w:rPr>
          <w:sz w:val="32"/>
          <w:szCs w:val="32"/>
          <w:highlight w:val="yellow"/>
        </w:rPr>
      </w:pPr>
      <w:r>
        <w:t>3GPP TSG-RAN WG2 #110e</w:t>
      </w:r>
      <w:r>
        <w:tab/>
      </w:r>
      <w:r>
        <w:rPr>
          <w:sz w:val="32"/>
          <w:szCs w:val="32"/>
        </w:rPr>
        <w:t xml:space="preserve">Tdoc </w:t>
      </w:r>
      <w:r w:rsidR="00883A91" w:rsidRPr="00883A91">
        <w:rPr>
          <w:sz w:val="32"/>
          <w:szCs w:val="32"/>
        </w:rPr>
        <w:t>R2-2006232</w:t>
      </w:r>
    </w:p>
    <w:p w14:paraId="59C1C00E" w14:textId="77777777" w:rsidR="00046610" w:rsidRDefault="00BE77B0">
      <w:pPr>
        <w:pStyle w:val="3GPPHeader"/>
      </w:pPr>
      <w:r>
        <w:t>Electronic meeting, June 1</w:t>
      </w:r>
      <w:r>
        <w:rPr>
          <w:vertAlign w:val="superscript"/>
        </w:rPr>
        <w:t>st</w:t>
      </w:r>
      <w:r>
        <w:t xml:space="preserve"> – 12</w:t>
      </w:r>
      <w:r>
        <w:rPr>
          <w:vertAlign w:val="superscript"/>
        </w:rPr>
        <w:t>th</w:t>
      </w:r>
      <w:r>
        <w:t xml:space="preserve"> 2020</w:t>
      </w:r>
    </w:p>
    <w:p w14:paraId="59C1C00F" w14:textId="77777777" w:rsidR="00046610" w:rsidRDefault="00046610">
      <w:pPr>
        <w:pStyle w:val="3GPPHeader"/>
      </w:pPr>
    </w:p>
    <w:p w14:paraId="59C1C010" w14:textId="77777777" w:rsidR="00046610" w:rsidRDefault="00BE77B0">
      <w:pPr>
        <w:pStyle w:val="3GPPHeader"/>
        <w:rPr>
          <w:sz w:val="22"/>
          <w:szCs w:val="22"/>
        </w:rPr>
      </w:pPr>
      <w:r>
        <w:rPr>
          <w:sz w:val="22"/>
          <w:szCs w:val="22"/>
        </w:rPr>
        <w:t>Agenda Item:</w:t>
      </w:r>
      <w:r>
        <w:rPr>
          <w:sz w:val="22"/>
          <w:szCs w:val="22"/>
        </w:rPr>
        <w:tab/>
        <w:t>6.0.3</w:t>
      </w:r>
    </w:p>
    <w:p w14:paraId="59C1C011" w14:textId="77777777" w:rsidR="00046610" w:rsidRDefault="00BE77B0">
      <w:pPr>
        <w:pStyle w:val="3GPPHeader"/>
        <w:rPr>
          <w:sz w:val="22"/>
          <w:szCs w:val="22"/>
        </w:rPr>
      </w:pPr>
      <w:r>
        <w:rPr>
          <w:sz w:val="22"/>
          <w:szCs w:val="22"/>
        </w:rPr>
        <w:t>Source:</w:t>
      </w:r>
      <w:r>
        <w:rPr>
          <w:sz w:val="22"/>
          <w:szCs w:val="22"/>
        </w:rPr>
        <w:tab/>
        <w:t>Ericsson (Rapporteur)</w:t>
      </w:r>
    </w:p>
    <w:p w14:paraId="59C1C012" w14:textId="77777777" w:rsidR="00046610" w:rsidRDefault="00BE77B0">
      <w:pPr>
        <w:pStyle w:val="3GPPHeader"/>
        <w:rPr>
          <w:sz w:val="22"/>
          <w:szCs w:val="22"/>
        </w:rPr>
      </w:pPr>
      <w:r>
        <w:rPr>
          <w:sz w:val="22"/>
          <w:szCs w:val="22"/>
        </w:rPr>
        <w:t>Title:</w:t>
      </w:r>
      <w:r>
        <w:rPr>
          <w:sz w:val="22"/>
          <w:szCs w:val="22"/>
        </w:rPr>
        <w:tab/>
        <w:t>Outcome of [AT110-e][062][NR16] MAC updates</w:t>
      </w:r>
    </w:p>
    <w:p w14:paraId="59C1C013" w14:textId="77777777" w:rsidR="00046610" w:rsidRDefault="00BE77B0">
      <w:pPr>
        <w:pStyle w:val="3GPPHeader"/>
        <w:rPr>
          <w:sz w:val="22"/>
          <w:szCs w:val="22"/>
        </w:rPr>
      </w:pPr>
      <w:r>
        <w:rPr>
          <w:sz w:val="22"/>
          <w:szCs w:val="22"/>
        </w:rPr>
        <w:t>Document for:</w:t>
      </w:r>
      <w:r>
        <w:rPr>
          <w:sz w:val="22"/>
          <w:szCs w:val="22"/>
        </w:rPr>
        <w:tab/>
        <w:t>Discussion, Decision</w:t>
      </w:r>
    </w:p>
    <w:p w14:paraId="59C1C014" w14:textId="77777777" w:rsidR="00046610" w:rsidRDefault="00046610"/>
    <w:p w14:paraId="59C1C015" w14:textId="77777777" w:rsidR="00046610" w:rsidRDefault="00BE77B0">
      <w:pPr>
        <w:pStyle w:val="Heading1"/>
      </w:pPr>
      <w:r>
        <w:t>1</w:t>
      </w:r>
      <w:r>
        <w:tab/>
        <w:t>Introduction</w:t>
      </w:r>
    </w:p>
    <w:p w14:paraId="59C1C016" w14:textId="77777777" w:rsidR="00046610" w:rsidRDefault="00BE77B0">
      <w:pPr>
        <w:pStyle w:val="BodyText"/>
      </w:pPr>
      <w:r>
        <w:t>This document pertains to the following e-mail discussion:</w:t>
      </w:r>
    </w:p>
    <w:p w14:paraId="59C1C017" w14:textId="77777777" w:rsidR="00046610" w:rsidRDefault="00BE77B0">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59C1C018" w14:textId="77777777" w:rsidR="00046610" w:rsidRDefault="00BE77B0">
      <w:pPr>
        <w:pStyle w:val="EmailDiscussion2"/>
      </w:pPr>
      <w:r>
        <w:tab/>
      </w:r>
      <w:bookmarkStart w:id="2" w:name="_Toc41984123"/>
      <w:r>
        <w:t>Scope: Treat R2-2005328, R2-2005501, R2-2005502, R2-2005562. Multi-WI MAC corrections.</w:t>
      </w:r>
      <w:bookmarkEnd w:id="2"/>
      <w:r>
        <w:t xml:space="preserve"> </w:t>
      </w:r>
    </w:p>
    <w:p w14:paraId="59C1C019" w14:textId="77777777" w:rsidR="00046610" w:rsidRDefault="00BE77B0">
      <w:pPr>
        <w:pStyle w:val="EmailDiscussion2"/>
      </w:pPr>
      <w:r>
        <w:tab/>
      </w:r>
      <w:bookmarkStart w:id="3" w:name="_Toc41984124"/>
      <w:r>
        <w:t>Wanted Outcome: Agreed CR</w:t>
      </w:r>
      <w:bookmarkEnd w:id="3"/>
    </w:p>
    <w:p w14:paraId="59C1C01A" w14:textId="77777777" w:rsidR="00046610" w:rsidRDefault="00BE77B0">
      <w:pPr>
        <w:pStyle w:val="EmailDiscussion2"/>
      </w:pPr>
      <w:r>
        <w:tab/>
        <w:t>Deadline for first round: June 5, 0900 UTC</w:t>
      </w:r>
    </w:p>
    <w:p w14:paraId="59C1C01B" w14:textId="77777777" w:rsidR="00046610" w:rsidRDefault="00BE77B0">
      <w:pPr>
        <w:pStyle w:val="EmailDiscussion2"/>
        <w:rPr>
          <w:strike/>
          <w:color w:val="FF0000"/>
        </w:rPr>
      </w:pPr>
      <w:r>
        <w:rPr>
          <w:strike/>
          <w:color w:val="FF0000"/>
        </w:rPr>
        <w:tab/>
      </w:r>
      <w:bookmarkStart w:id="4" w:name="_Toc41984125"/>
      <w:r>
        <w:rPr>
          <w:strike/>
          <w:color w:val="FF0000"/>
        </w:rPr>
        <w:t>Deadline for second round: June 11, 0700 UTC</w:t>
      </w:r>
      <w:bookmarkEnd w:id="4"/>
    </w:p>
    <w:p w14:paraId="59C1C01C" w14:textId="77777777" w:rsidR="00046610" w:rsidRDefault="00BE77B0">
      <w:pPr>
        <w:pStyle w:val="EmailDiscussion2"/>
        <w:rPr>
          <w:color w:val="FF0000"/>
        </w:rPr>
      </w:pPr>
      <w:r>
        <w:rPr>
          <w:color w:val="FF0000"/>
        </w:rPr>
        <w:tab/>
        <w:t>Deadline for second round: June 10, 0700 UTC</w:t>
      </w:r>
    </w:p>
    <w:p w14:paraId="59C1C01D" w14:textId="77777777" w:rsidR="00046610" w:rsidRDefault="00046610">
      <w:pPr>
        <w:pStyle w:val="BodyText"/>
      </w:pPr>
    </w:p>
    <w:p w14:paraId="59C1C01E" w14:textId="77777777" w:rsidR="00046610" w:rsidRDefault="00BE77B0">
      <w:pPr>
        <w:pStyle w:val="BodyText"/>
      </w:pPr>
      <w:r>
        <w:t xml:space="preserve">During the first round the intention is to decide which CRs to pursue for the second round. The second round will be used for updating and merging the CRs which continue from the first round. </w:t>
      </w:r>
    </w:p>
    <w:p w14:paraId="59C1C01F" w14:textId="77777777" w:rsidR="00046610" w:rsidRDefault="00BE77B0">
      <w:pPr>
        <w:pStyle w:val="BodyText"/>
      </w:pPr>
      <w:r>
        <w:t>The rapporteur invites companies to provide input well in advance of the deadline in order for a productive discussion to take place.</w:t>
      </w:r>
    </w:p>
    <w:p w14:paraId="59C1C020" w14:textId="77777777" w:rsidR="00046610" w:rsidRDefault="00BE77B0">
      <w:pPr>
        <w:pStyle w:val="Heading1"/>
      </w:pPr>
      <w:bookmarkStart w:id="5" w:name="_Ref178064866"/>
      <w:r>
        <w:t>2</w:t>
      </w:r>
      <w:r>
        <w:tab/>
        <w:t>First round of discussion</w:t>
      </w:r>
    </w:p>
    <w:p w14:paraId="59C1C021" w14:textId="77777777" w:rsidR="00046610" w:rsidRDefault="00BE77B0">
      <w:pPr>
        <w:pStyle w:val="Heading2"/>
      </w:pPr>
      <w:r>
        <w:t>2.1</w:t>
      </w:r>
      <w:r>
        <w:tab/>
        <w:t>Discussion</w:t>
      </w:r>
      <w:bookmarkEnd w:id="5"/>
    </w:p>
    <w:p w14:paraId="59C1C022" w14:textId="77777777" w:rsidR="00046610" w:rsidRDefault="005151EE">
      <w:pPr>
        <w:pStyle w:val="Doc-title"/>
      </w:pPr>
      <w:hyperlink r:id="rId11" w:history="1">
        <w:r w:rsidR="00BE77B0">
          <w:rPr>
            <w:rStyle w:val="Hyperlink"/>
          </w:rPr>
          <w:t>R2-2005501</w:t>
        </w:r>
      </w:hyperlink>
      <w:r w:rsidR="00BE77B0">
        <w:tab/>
        <w:t>38321 CR Clarification on eLCID</w:t>
      </w:r>
      <w:r w:rsidR="00BE77B0">
        <w:tab/>
        <w:t>LG Electronics Inc., MediaTek</w:t>
      </w:r>
      <w:r w:rsidR="00BE77B0">
        <w:tab/>
        <w:t>CR</w:t>
      </w:r>
      <w:r w:rsidR="00BE77B0">
        <w:tab/>
        <w:t>Rel-16</w:t>
      </w:r>
      <w:r w:rsidR="00BE77B0">
        <w:tab/>
        <w:t>38.321</w:t>
      </w:r>
      <w:r w:rsidR="00BE77B0">
        <w:tab/>
        <w:t>16.0.0</w:t>
      </w:r>
      <w:r w:rsidR="00BE77B0">
        <w:tab/>
        <w:t>0752</w:t>
      </w:r>
      <w:r w:rsidR="00BE77B0">
        <w:tab/>
        <w:t>-</w:t>
      </w:r>
      <w:r w:rsidR="00BE77B0">
        <w:tab/>
        <w:t>F</w:t>
      </w:r>
      <w:r w:rsidR="00BE77B0">
        <w:tab/>
        <w:t>TEI16</w:t>
      </w:r>
    </w:p>
    <w:p w14:paraId="59C1C023" w14:textId="77777777" w:rsidR="00046610" w:rsidRDefault="00BE77B0">
      <w:pPr>
        <w:pStyle w:val="BodyText"/>
      </w:pPr>
      <w:r>
        <w:t>Companies are invited to state their opinion on the CR above (R2-2005501).</w:t>
      </w:r>
    </w:p>
    <w:tbl>
      <w:tblPr>
        <w:tblStyle w:val="TableGrid"/>
        <w:tblW w:w="9634" w:type="dxa"/>
        <w:tblLook w:val="04A0" w:firstRow="1" w:lastRow="0" w:firstColumn="1" w:lastColumn="0" w:noHBand="0" w:noVBand="1"/>
      </w:tblPr>
      <w:tblGrid>
        <w:gridCol w:w="1980"/>
        <w:gridCol w:w="7654"/>
      </w:tblGrid>
      <w:tr w:rsidR="00046610" w14:paraId="59C1C026" w14:textId="77777777">
        <w:tc>
          <w:tcPr>
            <w:tcW w:w="1980" w:type="dxa"/>
          </w:tcPr>
          <w:p w14:paraId="59C1C024" w14:textId="77777777" w:rsidR="00046610" w:rsidRDefault="00BE77B0">
            <w:pPr>
              <w:pStyle w:val="BodyText"/>
              <w:rPr>
                <w:b/>
                <w:bCs/>
                <w:sz w:val="20"/>
                <w:szCs w:val="20"/>
              </w:rPr>
            </w:pPr>
            <w:r>
              <w:rPr>
                <w:b/>
                <w:bCs/>
                <w:sz w:val="20"/>
                <w:szCs w:val="20"/>
              </w:rPr>
              <w:t>Company</w:t>
            </w:r>
          </w:p>
        </w:tc>
        <w:tc>
          <w:tcPr>
            <w:tcW w:w="7654" w:type="dxa"/>
          </w:tcPr>
          <w:p w14:paraId="59C1C025" w14:textId="77777777" w:rsidR="00046610" w:rsidRDefault="00BE77B0">
            <w:pPr>
              <w:pStyle w:val="BodyText"/>
              <w:rPr>
                <w:b/>
                <w:bCs/>
                <w:sz w:val="20"/>
                <w:szCs w:val="20"/>
              </w:rPr>
            </w:pPr>
            <w:r>
              <w:rPr>
                <w:b/>
                <w:bCs/>
                <w:sz w:val="20"/>
                <w:szCs w:val="20"/>
              </w:rPr>
              <w:t>Opinion</w:t>
            </w:r>
          </w:p>
        </w:tc>
      </w:tr>
      <w:tr w:rsidR="00046610" w14:paraId="59C1C02A" w14:textId="77777777">
        <w:tc>
          <w:tcPr>
            <w:tcW w:w="1980" w:type="dxa"/>
          </w:tcPr>
          <w:p w14:paraId="59C1C027"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59C1C028"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59C1C029"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046610" w14:paraId="59C1C02D" w14:textId="77777777">
        <w:tc>
          <w:tcPr>
            <w:tcW w:w="1980" w:type="dxa"/>
          </w:tcPr>
          <w:p w14:paraId="59C1C02B" w14:textId="77777777" w:rsidR="00046610" w:rsidRDefault="00BE77B0">
            <w:pPr>
              <w:pStyle w:val="BodyText"/>
              <w:rPr>
                <w:sz w:val="20"/>
                <w:szCs w:val="20"/>
              </w:rPr>
            </w:pPr>
            <w:r>
              <w:rPr>
                <w:sz w:val="20"/>
                <w:szCs w:val="20"/>
              </w:rPr>
              <w:t>Ericsson</w:t>
            </w:r>
          </w:p>
        </w:tc>
        <w:tc>
          <w:tcPr>
            <w:tcW w:w="7654" w:type="dxa"/>
          </w:tcPr>
          <w:p w14:paraId="59C1C02C" w14:textId="77777777" w:rsidR="00046610" w:rsidRDefault="00BE77B0">
            <w:pPr>
              <w:pStyle w:val="BodyText"/>
              <w:rPr>
                <w:sz w:val="20"/>
                <w:szCs w:val="20"/>
              </w:rPr>
            </w:pPr>
            <w:r>
              <w:rPr>
                <w:sz w:val="20"/>
                <w:szCs w:val="20"/>
              </w:rPr>
              <w:t>Support the CR.</w:t>
            </w:r>
          </w:p>
        </w:tc>
      </w:tr>
      <w:tr w:rsidR="00046610" w14:paraId="59C1C030" w14:textId="77777777">
        <w:tc>
          <w:tcPr>
            <w:tcW w:w="1980" w:type="dxa"/>
          </w:tcPr>
          <w:p w14:paraId="59C1C02E" w14:textId="77777777" w:rsidR="00046610" w:rsidRDefault="00BE77B0">
            <w:pPr>
              <w:pStyle w:val="BodyText"/>
              <w:rPr>
                <w:rFonts w:eastAsia="PMingLiU"/>
                <w:sz w:val="20"/>
                <w:lang w:eastAsia="zh-TW"/>
              </w:rPr>
            </w:pPr>
            <w:r>
              <w:rPr>
                <w:rFonts w:eastAsia="PMingLiU" w:hint="eastAsia"/>
                <w:sz w:val="20"/>
                <w:lang w:eastAsia="zh-TW"/>
              </w:rPr>
              <w:t>ASUSTeK</w:t>
            </w:r>
          </w:p>
        </w:tc>
        <w:tc>
          <w:tcPr>
            <w:tcW w:w="7654" w:type="dxa"/>
          </w:tcPr>
          <w:p w14:paraId="59C1C02F" w14:textId="77777777" w:rsidR="00046610" w:rsidRDefault="00BE77B0">
            <w:pPr>
              <w:pStyle w:val="BodyText"/>
              <w:rPr>
                <w:rFonts w:eastAsia="PMingLiU"/>
                <w:sz w:val="20"/>
                <w:lang w:eastAsia="zh-TW"/>
              </w:rPr>
            </w:pPr>
            <w:r>
              <w:rPr>
                <w:rFonts w:eastAsia="PMingLiU" w:hint="eastAsia"/>
                <w:sz w:val="20"/>
                <w:lang w:eastAsia="zh-TW"/>
              </w:rPr>
              <w:t>Support.</w:t>
            </w:r>
          </w:p>
        </w:tc>
      </w:tr>
      <w:tr w:rsidR="00046610" w14:paraId="59C1C033" w14:textId="77777777">
        <w:tc>
          <w:tcPr>
            <w:tcW w:w="1980" w:type="dxa"/>
          </w:tcPr>
          <w:p w14:paraId="59C1C031" w14:textId="77777777" w:rsidR="00046610" w:rsidRDefault="00BE77B0">
            <w:pPr>
              <w:pStyle w:val="BodyText"/>
              <w:rPr>
                <w:rFonts w:eastAsia="PMingLiU"/>
                <w:lang w:eastAsia="zh-TW"/>
              </w:rPr>
            </w:pPr>
            <w:r>
              <w:rPr>
                <w:rFonts w:eastAsia="PMingLiU"/>
                <w:lang w:eastAsia="zh-TW"/>
              </w:rPr>
              <w:t>MediaTek</w:t>
            </w:r>
          </w:p>
        </w:tc>
        <w:tc>
          <w:tcPr>
            <w:tcW w:w="7654" w:type="dxa"/>
          </w:tcPr>
          <w:p w14:paraId="59C1C032" w14:textId="77777777" w:rsidR="00046610" w:rsidRDefault="00BE77B0">
            <w:pPr>
              <w:pStyle w:val="BodyText"/>
              <w:tabs>
                <w:tab w:val="left" w:pos="1476"/>
              </w:tabs>
              <w:rPr>
                <w:rFonts w:eastAsia="PMingLiU"/>
                <w:lang w:eastAsia="zh-TW"/>
              </w:rPr>
            </w:pPr>
            <w:r>
              <w:rPr>
                <w:rFonts w:eastAsia="PMingLiU"/>
                <w:lang w:eastAsia="zh-TW"/>
              </w:rPr>
              <w:t>Support.</w:t>
            </w:r>
            <w:r>
              <w:rPr>
                <w:rFonts w:eastAsia="PMingLiU"/>
                <w:lang w:eastAsia="zh-TW"/>
              </w:rPr>
              <w:tab/>
            </w:r>
          </w:p>
        </w:tc>
      </w:tr>
      <w:tr w:rsidR="00046610" w14:paraId="59C1C036" w14:textId="77777777">
        <w:tc>
          <w:tcPr>
            <w:tcW w:w="1980" w:type="dxa"/>
          </w:tcPr>
          <w:p w14:paraId="59C1C034" w14:textId="77777777" w:rsidR="00046610" w:rsidRDefault="00BE77B0">
            <w:pPr>
              <w:pStyle w:val="BodyText"/>
              <w:rPr>
                <w:rFonts w:eastAsia="DengXian"/>
              </w:rPr>
            </w:pPr>
            <w:r>
              <w:rPr>
                <w:rFonts w:eastAsia="DengXian" w:hint="eastAsia"/>
              </w:rPr>
              <w:t>OPPO</w:t>
            </w:r>
          </w:p>
        </w:tc>
        <w:tc>
          <w:tcPr>
            <w:tcW w:w="7654" w:type="dxa"/>
          </w:tcPr>
          <w:p w14:paraId="59C1C035" w14:textId="77777777" w:rsidR="00046610" w:rsidRDefault="00BE77B0">
            <w:pPr>
              <w:pStyle w:val="BodyText"/>
              <w:tabs>
                <w:tab w:val="left" w:pos="1476"/>
              </w:tabs>
              <w:rPr>
                <w:rFonts w:eastAsia="DengXian"/>
              </w:rPr>
            </w:pPr>
            <w:r>
              <w:rPr>
                <w:rFonts w:eastAsia="DengXian" w:hint="eastAsia"/>
              </w:rPr>
              <w:t>Support</w:t>
            </w:r>
          </w:p>
        </w:tc>
      </w:tr>
      <w:tr w:rsidR="00046610" w14:paraId="59C1C039" w14:textId="77777777">
        <w:tc>
          <w:tcPr>
            <w:tcW w:w="1980" w:type="dxa"/>
          </w:tcPr>
          <w:p w14:paraId="59C1C037" w14:textId="77777777" w:rsidR="00046610" w:rsidRDefault="00BE77B0">
            <w:pPr>
              <w:pStyle w:val="BodyText"/>
              <w:rPr>
                <w:rFonts w:eastAsia="Yu Mincho"/>
                <w:lang w:eastAsia="ja-JP"/>
              </w:rPr>
            </w:pPr>
            <w:r>
              <w:rPr>
                <w:rFonts w:eastAsia="Yu Mincho" w:hint="eastAsia"/>
                <w:lang w:eastAsia="ja-JP"/>
              </w:rPr>
              <w:t>F</w:t>
            </w:r>
            <w:r>
              <w:rPr>
                <w:rFonts w:eastAsia="Yu Mincho"/>
                <w:lang w:eastAsia="ja-JP"/>
              </w:rPr>
              <w:t>ujitsu</w:t>
            </w:r>
          </w:p>
        </w:tc>
        <w:tc>
          <w:tcPr>
            <w:tcW w:w="7654" w:type="dxa"/>
          </w:tcPr>
          <w:p w14:paraId="59C1C038" w14:textId="77777777" w:rsidR="00046610" w:rsidRDefault="00BE77B0">
            <w:pPr>
              <w:pStyle w:val="BodyText"/>
              <w:tabs>
                <w:tab w:val="left" w:pos="1476"/>
              </w:tabs>
              <w:rPr>
                <w:rFonts w:eastAsia="Yu Mincho"/>
                <w:lang w:eastAsia="ja-JP"/>
              </w:rPr>
            </w:pPr>
            <w:r>
              <w:rPr>
                <w:rFonts w:eastAsia="Yu Mincho" w:hint="eastAsia"/>
                <w:lang w:eastAsia="ja-JP"/>
              </w:rPr>
              <w:t>W</w:t>
            </w:r>
            <w:r>
              <w:rPr>
                <w:rFonts w:eastAsia="Yu Mincho"/>
                <w:lang w:eastAsia="ja-JP"/>
              </w:rPr>
              <w:t>e are fine.</w:t>
            </w:r>
          </w:p>
        </w:tc>
      </w:tr>
      <w:tr w:rsidR="00046610" w14:paraId="59C1C03C" w14:textId="77777777">
        <w:tc>
          <w:tcPr>
            <w:tcW w:w="1980" w:type="dxa"/>
          </w:tcPr>
          <w:p w14:paraId="59C1C03A" w14:textId="77777777" w:rsidR="00046610" w:rsidRDefault="00BE77B0">
            <w:pPr>
              <w:pStyle w:val="BodyText"/>
              <w:rPr>
                <w:rFonts w:eastAsia="DengXian"/>
              </w:rPr>
            </w:pPr>
            <w:r>
              <w:rPr>
                <w:rFonts w:eastAsia="DengXian" w:hint="eastAsia"/>
              </w:rPr>
              <w:lastRenderedPageBreak/>
              <w:t>CATT</w:t>
            </w:r>
          </w:p>
        </w:tc>
        <w:tc>
          <w:tcPr>
            <w:tcW w:w="7654" w:type="dxa"/>
          </w:tcPr>
          <w:p w14:paraId="59C1C03B" w14:textId="77777777" w:rsidR="00046610" w:rsidRDefault="00BE77B0">
            <w:pPr>
              <w:pStyle w:val="BodyText"/>
              <w:tabs>
                <w:tab w:val="left" w:pos="1476"/>
              </w:tabs>
              <w:rPr>
                <w:rFonts w:eastAsia="DengXian"/>
              </w:rPr>
            </w:pPr>
            <w:r>
              <w:rPr>
                <w:rFonts w:eastAsia="DengXian" w:hint="eastAsia"/>
              </w:rPr>
              <w:t>Support</w:t>
            </w:r>
          </w:p>
        </w:tc>
      </w:tr>
      <w:tr w:rsidR="00046610" w14:paraId="59C1C03F" w14:textId="77777777">
        <w:tc>
          <w:tcPr>
            <w:tcW w:w="1980" w:type="dxa"/>
          </w:tcPr>
          <w:p w14:paraId="59C1C03D" w14:textId="77777777" w:rsidR="00046610" w:rsidRDefault="00BE77B0">
            <w:pPr>
              <w:pStyle w:val="BodyText"/>
              <w:rPr>
                <w:rFonts w:eastAsia="DengXian"/>
              </w:rPr>
            </w:pPr>
            <w:r>
              <w:rPr>
                <w:rFonts w:eastAsia="DengXian"/>
              </w:rPr>
              <w:t>Qualcomm</w:t>
            </w:r>
          </w:p>
        </w:tc>
        <w:tc>
          <w:tcPr>
            <w:tcW w:w="7654" w:type="dxa"/>
          </w:tcPr>
          <w:p w14:paraId="59C1C03E" w14:textId="77777777" w:rsidR="00046610" w:rsidRDefault="00BE77B0">
            <w:pPr>
              <w:pStyle w:val="BodyText"/>
              <w:tabs>
                <w:tab w:val="left" w:pos="1476"/>
              </w:tabs>
              <w:rPr>
                <w:rFonts w:eastAsia="DengXian"/>
              </w:rPr>
            </w:pPr>
            <w:r>
              <w:rPr>
                <w:rFonts w:eastAsia="DengXian"/>
              </w:rPr>
              <w:t>Support</w:t>
            </w:r>
          </w:p>
        </w:tc>
      </w:tr>
      <w:tr w:rsidR="00046610" w14:paraId="59C1C042" w14:textId="77777777">
        <w:tc>
          <w:tcPr>
            <w:tcW w:w="1980" w:type="dxa"/>
            <w:hideMark/>
          </w:tcPr>
          <w:p w14:paraId="59C1C040" w14:textId="77777777" w:rsidR="00046610" w:rsidRDefault="00BE77B0">
            <w:pPr>
              <w:pStyle w:val="BodyText"/>
              <w:rPr>
                <w:rFonts w:eastAsia="PMingLiU"/>
                <w:lang w:eastAsia="zh-TW"/>
              </w:rPr>
            </w:pPr>
            <w:r>
              <w:rPr>
                <w:rFonts w:eastAsia="PMingLiU"/>
                <w:lang w:eastAsia="zh-TW"/>
              </w:rPr>
              <w:t>Nokia, Nokia Shanghai Bell</w:t>
            </w:r>
          </w:p>
        </w:tc>
        <w:tc>
          <w:tcPr>
            <w:tcW w:w="7654" w:type="dxa"/>
            <w:hideMark/>
          </w:tcPr>
          <w:p w14:paraId="59C1C041" w14:textId="77777777" w:rsidR="00046610" w:rsidRDefault="00BE77B0">
            <w:pPr>
              <w:pStyle w:val="BodyText"/>
              <w:rPr>
                <w:rFonts w:eastAsia="PMingLiU"/>
                <w:lang w:eastAsia="zh-TW"/>
              </w:rPr>
            </w:pPr>
            <w:r>
              <w:rPr>
                <w:rFonts w:eastAsia="PMingLiU"/>
                <w:lang w:eastAsia="zh-TW"/>
              </w:rPr>
              <w:t>Support.</w:t>
            </w:r>
          </w:p>
        </w:tc>
      </w:tr>
    </w:tbl>
    <w:p w14:paraId="59C1C046" w14:textId="77777777" w:rsidR="00046610" w:rsidRDefault="00046610">
      <w:pPr>
        <w:pStyle w:val="BodyText"/>
      </w:pPr>
    </w:p>
    <w:p w14:paraId="59C1C047" w14:textId="77777777" w:rsidR="00046610" w:rsidRDefault="00046610">
      <w:pPr>
        <w:pStyle w:val="BodyText"/>
      </w:pPr>
    </w:p>
    <w:p w14:paraId="59C1C048" w14:textId="77777777" w:rsidR="00046610" w:rsidRDefault="005151EE">
      <w:pPr>
        <w:pStyle w:val="Doc-title"/>
      </w:pPr>
      <w:hyperlink r:id="rId12" w:history="1">
        <w:r w:rsidR="00BE77B0">
          <w:rPr>
            <w:rStyle w:val="Hyperlink"/>
          </w:rPr>
          <w:t>R2-2005562</w:t>
        </w:r>
      </w:hyperlink>
      <w:r w:rsidR="00BE77B0">
        <w:tab/>
        <w:t>Handling of unexpected eLCID values.</w:t>
      </w:r>
      <w:r w:rsidR="00BE77B0">
        <w:tab/>
        <w:t>ASUSTeK</w:t>
      </w:r>
      <w:r w:rsidR="00BE77B0">
        <w:tab/>
        <w:t>discussion</w:t>
      </w:r>
      <w:r w:rsidR="00BE77B0">
        <w:tab/>
        <w:t>Rel-16</w:t>
      </w:r>
      <w:r w:rsidR="00BE77B0">
        <w:tab/>
        <w:t>38.321</w:t>
      </w:r>
    </w:p>
    <w:p w14:paraId="59C1C049" w14:textId="77777777" w:rsidR="00046610" w:rsidRDefault="00BE77B0">
      <w:pPr>
        <w:pStyle w:val="BodyText"/>
      </w:pPr>
      <w:r>
        <w:t>Companies are invited to state their opinion on the CR above (R2-2005562).</w:t>
      </w:r>
    </w:p>
    <w:tbl>
      <w:tblPr>
        <w:tblStyle w:val="TableGrid"/>
        <w:tblW w:w="9634" w:type="dxa"/>
        <w:tblLook w:val="04A0" w:firstRow="1" w:lastRow="0" w:firstColumn="1" w:lastColumn="0" w:noHBand="0" w:noVBand="1"/>
      </w:tblPr>
      <w:tblGrid>
        <w:gridCol w:w="1980"/>
        <w:gridCol w:w="7654"/>
      </w:tblGrid>
      <w:tr w:rsidR="00046610" w14:paraId="59C1C04C" w14:textId="77777777">
        <w:tc>
          <w:tcPr>
            <w:tcW w:w="1980" w:type="dxa"/>
          </w:tcPr>
          <w:p w14:paraId="59C1C04A" w14:textId="77777777" w:rsidR="00046610" w:rsidRDefault="00BE77B0">
            <w:pPr>
              <w:pStyle w:val="BodyText"/>
              <w:rPr>
                <w:b/>
                <w:bCs/>
                <w:sz w:val="20"/>
                <w:szCs w:val="20"/>
              </w:rPr>
            </w:pPr>
            <w:r>
              <w:rPr>
                <w:b/>
                <w:bCs/>
                <w:sz w:val="20"/>
                <w:szCs w:val="20"/>
              </w:rPr>
              <w:t>Company</w:t>
            </w:r>
          </w:p>
        </w:tc>
        <w:tc>
          <w:tcPr>
            <w:tcW w:w="7654" w:type="dxa"/>
          </w:tcPr>
          <w:p w14:paraId="59C1C04B" w14:textId="77777777" w:rsidR="00046610" w:rsidRDefault="00BE77B0">
            <w:pPr>
              <w:pStyle w:val="BodyText"/>
              <w:rPr>
                <w:b/>
                <w:bCs/>
                <w:sz w:val="20"/>
                <w:szCs w:val="20"/>
              </w:rPr>
            </w:pPr>
            <w:r>
              <w:rPr>
                <w:b/>
                <w:bCs/>
                <w:sz w:val="20"/>
                <w:szCs w:val="20"/>
              </w:rPr>
              <w:t>Opinion</w:t>
            </w:r>
          </w:p>
        </w:tc>
      </w:tr>
      <w:tr w:rsidR="00046610" w14:paraId="59C1C04F" w14:textId="77777777">
        <w:tc>
          <w:tcPr>
            <w:tcW w:w="1980" w:type="dxa"/>
          </w:tcPr>
          <w:p w14:paraId="59C1C04D"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59C1C04E"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046610" w14:paraId="59C1C052" w14:textId="77777777">
        <w:tc>
          <w:tcPr>
            <w:tcW w:w="1980" w:type="dxa"/>
          </w:tcPr>
          <w:p w14:paraId="59C1C050" w14:textId="77777777" w:rsidR="00046610" w:rsidRDefault="00BE77B0">
            <w:pPr>
              <w:pStyle w:val="BodyText"/>
              <w:rPr>
                <w:sz w:val="20"/>
                <w:szCs w:val="20"/>
              </w:rPr>
            </w:pPr>
            <w:r>
              <w:rPr>
                <w:sz w:val="20"/>
                <w:szCs w:val="20"/>
              </w:rPr>
              <w:t>Ericsson</w:t>
            </w:r>
          </w:p>
        </w:tc>
        <w:tc>
          <w:tcPr>
            <w:tcW w:w="7654" w:type="dxa"/>
          </w:tcPr>
          <w:p w14:paraId="59C1C051" w14:textId="77777777" w:rsidR="00046610" w:rsidRDefault="00BE77B0">
            <w:pPr>
              <w:pStyle w:val="BodyText"/>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046610" w14:paraId="59C1C055" w14:textId="77777777">
        <w:tc>
          <w:tcPr>
            <w:tcW w:w="1980" w:type="dxa"/>
          </w:tcPr>
          <w:p w14:paraId="59C1C053" w14:textId="77777777" w:rsidR="00046610" w:rsidRDefault="00BE77B0">
            <w:pPr>
              <w:pStyle w:val="BodyText"/>
              <w:rPr>
                <w:rFonts w:eastAsia="PMingLiU"/>
                <w:sz w:val="20"/>
                <w:lang w:eastAsia="zh-TW"/>
              </w:rPr>
            </w:pPr>
            <w:r>
              <w:rPr>
                <w:rFonts w:eastAsia="PMingLiU" w:hint="eastAsia"/>
                <w:sz w:val="20"/>
                <w:lang w:eastAsia="zh-TW"/>
              </w:rPr>
              <w:t>A</w:t>
            </w:r>
            <w:r>
              <w:rPr>
                <w:rFonts w:eastAsia="PMingLiU"/>
                <w:sz w:val="20"/>
                <w:lang w:eastAsia="zh-TW"/>
              </w:rPr>
              <w:t>SUSTeK</w:t>
            </w:r>
          </w:p>
        </w:tc>
        <w:tc>
          <w:tcPr>
            <w:tcW w:w="7654" w:type="dxa"/>
          </w:tcPr>
          <w:p w14:paraId="59C1C054" w14:textId="77777777" w:rsidR="00046610" w:rsidRDefault="00BE77B0">
            <w:pPr>
              <w:pStyle w:val="BodyText"/>
              <w:rPr>
                <w:rFonts w:eastAsia="PMingLiU"/>
                <w:sz w:val="20"/>
                <w:lang w:eastAsia="zh-TW"/>
              </w:rPr>
            </w:pPr>
            <w:r>
              <w:rPr>
                <w:rFonts w:eastAsia="PMingLiU" w:hint="eastAsia"/>
                <w:sz w:val="20"/>
                <w:lang w:eastAsia="zh-TW"/>
              </w:rPr>
              <w:t>S</w:t>
            </w:r>
            <w:r>
              <w:rPr>
                <w:rFonts w:eastAsia="PMingLiU"/>
                <w:sz w:val="20"/>
                <w:lang w:eastAsia="zh-TW"/>
              </w:rPr>
              <w:t>upport the CR. Since LCID and eLCID are specified separately in the specification, the change is needed.</w:t>
            </w:r>
          </w:p>
        </w:tc>
      </w:tr>
      <w:tr w:rsidR="00046610" w14:paraId="59C1C058" w14:textId="77777777">
        <w:tc>
          <w:tcPr>
            <w:tcW w:w="1980" w:type="dxa"/>
          </w:tcPr>
          <w:p w14:paraId="59C1C056" w14:textId="77777777" w:rsidR="00046610" w:rsidRDefault="00BE77B0">
            <w:pPr>
              <w:pStyle w:val="BodyText"/>
              <w:rPr>
                <w:rFonts w:eastAsia="PMingLiU"/>
                <w:lang w:eastAsia="zh-TW"/>
              </w:rPr>
            </w:pPr>
            <w:r>
              <w:rPr>
                <w:rFonts w:eastAsia="PMingLiU"/>
                <w:lang w:eastAsia="zh-TW"/>
              </w:rPr>
              <w:t>MediaTek</w:t>
            </w:r>
          </w:p>
        </w:tc>
        <w:tc>
          <w:tcPr>
            <w:tcW w:w="7654" w:type="dxa"/>
          </w:tcPr>
          <w:p w14:paraId="59C1C057" w14:textId="77777777" w:rsidR="00046610" w:rsidRDefault="00BE77B0">
            <w:pPr>
              <w:pStyle w:val="BodyText"/>
              <w:rPr>
                <w:rFonts w:eastAsia="PMingLiU"/>
                <w:lang w:eastAsia="zh-TW"/>
              </w:rPr>
            </w:pPr>
            <w:r>
              <w:rPr>
                <w:rFonts w:eastAsia="PMingLiU"/>
                <w:lang w:eastAsia="zh-TW"/>
              </w:rPr>
              <w:t>Support the CR.</w:t>
            </w:r>
          </w:p>
        </w:tc>
      </w:tr>
      <w:tr w:rsidR="00046610" w14:paraId="59C1C05B" w14:textId="77777777">
        <w:tc>
          <w:tcPr>
            <w:tcW w:w="1980" w:type="dxa"/>
          </w:tcPr>
          <w:p w14:paraId="59C1C059" w14:textId="77777777" w:rsidR="00046610" w:rsidRDefault="00BE77B0">
            <w:pPr>
              <w:pStyle w:val="BodyText"/>
              <w:rPr>
                <w:rFonts w:eastAsia="DengXian"/>
              </w:rPr>
            </w:pPr>
            <w:r>
              <w:rPr>
                <w:rFonts w:eastAsia="DengXian" w:hint="eastAsia"/>
              </w:rPr>
              <w:t>OPPO</w:t>
            </w:r>
          </w:p>
        </w:tc>
        <w:tc>
          <w:tcPr>
            <w:tcW w:w="7654" w:type="dxa"/>
          </w:tcPr>
          <w:p w14:paraId="59C1C05A" w14:textId="77777777" w:rsidR="00046610" w:rsidRDefault="00BE77B0">
            <w:pPr>
              <w:pStyle w:val="BodyText"/>
              <w:rPr>
                <w:rFonts w:eastAsia="DengXian"/>
              </w:rPr>
            </w:pPr>
            <w:r>
              <w:rPr>
                <w:rFonts w:eastAsia="DengXian" w:hint="eastAsia"/>
              </w:rPr>
              <w:t>Agree the intention of the discussion paper. We tend to have one sentence to clarify LCID including eLCID instead of adding it in every sentence with LCID.</w:t>
            </w:r>
          </w:p>
        </w:tc>
      </w:tr>
      <w:tr w:rsidR="00046610" w14:paraId="59C1C05E" w14:textId="77777777">
        <w:tc>
          <w:tcPr>
            <w:tcW w:w="1980" w:type="dxa"/>
          </w:tcPr>
          <w:p w14:paraId="59C1C05C" w14:textId="77777777" w:rsidR="00046610" w:rsidRDefault="00BE77B0">
            <w:pPr>
              <w:pStyle w:val="BodyText"/>
              <w:rPr>
                <w:rFonts w:eastAsia="Yu Mincho"/>
                <w:lang w:val="en-GB" w:eastAsia="ja-JP"/>
              </w:rPr>
            </w:pPr>
            <w:r>
              <w:rPr>
                <w:rFonts w:eastAsia="Yu Mincho" w:hint="eastAsia"/>
                <w:lang w:val="en-GB" w:eastAsia="ja-JP"/>
              </w:rPr>
              <w:t>F</w:t>
            </w:r>
            <w:r>
              <w:rPr>
                <w:rFonts w:eastAsia="Yu Mincho"/>
                <w:lang w:val="en-GB" w:eastAsia="ja-JP"/>
              </w:rPr>
              <w:t>ujitsu</w:t>
            </w:r>
          </w:p>
        </w:tc>
        <w:tc>
          <w:tcPr>
            <w:tcW w:w="7654" w:type="dxa"/>
          </w:tcPr>
          <w:p w14:paraId="59C1C05D" w14:textId="77777777" w:rsidR="00046610" w:rsidRDefault="00BE77B0">
            <w:pPr>
              <w:pStyle w:val="BodyText"/>
              <w:rPr>
                <w:rFonts w:eastAsia="Yu Mincho"/>
                <w:lang w:eastAsia="ja-JP"/>
              </w:rPr>
            </w:pPr>
            <w:r>
              <w:rPr>
                <w:rFonts w:eastAsia="Yu Mincho" w:hint="eastAsia"/>
                <w:lang w:eastAsia="ja-JP"/>
              </w:rPr>
              <w:t>W</w:t>
            </w:r>
            <w:r>
              <w:rPr>
                <w:rFonts w:eastAsia="Yu Mincho"/>
                <w:lang w:eastAsia="ja-JP"/>
              </w:rPr>
              <w:t>e are fine. The generalization have impact on pure LCID description e.g. “</w:t>
            </w:r>
            <w:r>
              <w:rPr>
                <w:noProof/>
              </w:rPr>
              <w:t xml:space="preserve"> The LCID field size is </w:t>
            </w:r>
            <w:r>
              <w:rPr>
                <w:noProof/>
                <w:lang w:eastAsia="ko-KR"/>
              </w:rPr>
              <w:t>6</w:t>
            </w:r>
            <w:r>
              <w:rPr>
                <w:noProof/>
              </w:rPr>
              <w:t xml:space="preserve"> bits“, which needs to be avoided.</w:t>
            </w:r>
          </w:p>
        </w:tc>
      </w:tr>
      <w:tr w:rsidR="00046610" w14:paraId="59C1C061" w14:textId="77777777">
        <w:tc>
          <w:tcPr>
            <w:tcW w:w="1980" w:type="dxa"/>
          </w:tcPr>
          <w:p w14:paraId="59C1C05F" w14:textId="77777777" w:rsidR="00046610" w:rsidRDefault="00BE77B0">
            <w:pPr>
              <w:pStyle w:val="BodyText"/>
              <w:rPr>
                <w:rFonts w:eastAsia="DengXian"/>
              </w:rPr>
            </w:pPr>
            <w:r>
              <w:rPr>
                <w:rFonts w:eastAsia="DengXian" w:hint="eastAsia"/>
              </w:rPr>
              <w:t>CATT</w:t>
            </w:r>
          </w:p>
        </w:tc>
        <w:tc>
          <w:tcPr>
            <w:tcW w:w="7654" w:type="dxa"/>
          </w:tcPr>
          <w:p w14:paraId="59C1C060" w14:textId="77777777" w:rsidR="00046610" w:rsidRDefault="00BE77B0">
            <w:pPr>
              <w:pStyle w:val="BodyText"/>
              <w:rPr>
                <w:rFonts w:eastAsia="DengXian"/>
              </w:rPr>
            </w:pPr>
            <w:r>
              <w:rPr>
                <w:rFonts w:eastAsia="DengXian" w:hint="eastAsia"/>
              </w:rPr>
              <w:t>Support.</w:t>
            </w:r>
          </w:p>
        </w:tc>
      </w:tr>
      <w:tr w:rsidR="00046610" w14:paraId="59C1C064" w14:textId="77777777">
        <w:tc>
          <w:tcPr>
            <w:tcW w:w="1980" w:type="dxa"/>
          </w:tcPr>
          <w:p w14:paraId="59C1C062" w14:textId="77777777" w:rsidR="00046610" w:rsidRDefault="00BE77B0">
            <w:pPr>
              <w:pStyle w:val="BodyText"/>
              <w:rPr>
                <w:rFonts w:eastAsia="DengXian"/>
              </w:rPr>
            </w:pPr>
            <w:r>
              <w:rPr>
                <w:rFonts w:eastAsia="DengXian"/>
              </w:rPr>
              <w:t>Qualcomm</w:t>
            </w:r>
          </w:p>
        </w:tc>
        <w:tc>
          <w:tcPr>
            <w:tcW w:w="7654" w:type="dxa"/>
          </w:tcPr>
          <w:p w14:paraId="59C1C063" w14:textId="77777777" w:rsidR="00046610" w:rsidRDefault="00BE77B0">
            <w:pPr>
              <w:pStyle w:val="BodyText"/>
              <w:rPr>
                <w:rFonts w:eastAsia="DengXian"/>
              </w:rPr>
            </w:pPr>
            <w:r>
              <w:rPr>
                <w:rFonts w:eastAsia="DengXian"/>
              </w:rPr>
              <w:t>We share the same view as OPPO</w:t>
            </w:r>
          </w:p>
        </w:tc>
      </w:tr>
      <w:tr w:rsidR="00046610" w14:paraId="59C1C067" w14:textId="77777777">
        <w:tc>
          <w:tcPr>
            <w:tcW w:w="1980" w:type="dxa"/>
            <w:hideMark/>
          </w:tcPr>
          <w:p w14:paraId="59C1C065" w14:textId="77777777" w:rsidR="00046610" w:rsidRDefault="00BE77B0">
            <w:pPr>
              <w:pStyle w:val="BodyText"/>
              <w:rPr>
                <w:rFonts w:eastAsia="PMingLiU"/>
                <w:lang w:eastAsia="zh-TW"/>
              </w:rPr>
            </w:pPr>
            <w:r>
              <w:rPr>
                <w:rFonts w:eastAsia="PMingLiU"/>
                <w:lang w:eastAsia="zh-TW"/>
              </w:rPr>
              <w:t>Nokia, Nokia Shanghai Bell</w:t>
            </w:r>
          </w:p>
        </w:tc>
        <w:tc>
          <w:tcPr>
            <w:tcW w:w="7654" w:type="dxa"/>
            <w:hideMark/>
          </w:tcPr>
          <w:p w14:paraId="59C1C066" w14:textId="77777777" w:rsidR="00046610" w:rsidRDefault="00BE77B0">
            <w:pPr>
              <w:pStyle w:val="BodyText"/>
              <w:rPr>
                <w:rFonts w:eastAsia="PMingLiU"/>
                <w:lang w:eastAsia="zh-TW"/>
              </w:rPr>
            </w:pPr>
            <w:r>
              <w:rPr>
                <w:rFonts w:eastAsia="PMingLiU"/>
                <w:lang w:eastAsia="zh-TW"/>
              </w:rPr>
              <w:t>Support.</w:t>
            </w:r>
          </w:p>
        </w:tc>
      </w:tr>
    </w:tbl>
    <w:p w14:paraId="59C1C068" w14:textId="77777777" w:rsidR="00046610" w:rsidRDefault="00046610">
      <w:pPr>
        <w:pStyle w:val="BodyText"/>
      </w:pPr>
    </w:p>
    <w:p w14:paraId="59C1C069" w14:textId="77777777" w:rsidR="00046610" w:rsidRDefault="00046610">
      <w:pPr>
        <w:rPr>
          <w:rFonts w:ascii="Arial" w:eastAsia="MS Mincho" w:hAnsi="Arial"/>
          <w:szCs w:val="24"/>
          <w:lang w:eastAsia="en-GB"/>
        </w:rPr>
      </w:pPr>
    </w:p>
    <w:p w14:paraId="59C1C06A" w14:textId="77777777" w:rsidR="00046610" w:rsidRDefault="005151EE">
      <w:pPr>
        <w:pStyle w:val="Doc-title"/>
      </w:pPr>
      <w:hyperlink r:id="rId13" w:history="1">
        <w:r w:rsidR="00BE77B0">
          <w:rPr>
            <w:rStyle w:val="Hyperlink"/>
          </w:rPr>
          <w:t>R2-2005328</w:t>
        </w:r>
      </w:hyperlink>
      <w:r w:rsidR="00BE77B0">
        <w:tab/>
        <w:t>Alignment of SR clause</w:t>
      </w:r>
      <w:r w:rsidR="00BE77B0">
        <w:tab/>
        <w:t>Ericsson, Samsung</w:t>
      </w:r>
      <w:r w:rsidR="00BE77B0">
        <w:tab/>
        <w:t>CR</w:t>
      </w:r>
      <w:r w:rsidR="00BE77B0">
        <w:tab/>
        <w:t>Rel-16</w:t>
      </w:r>
      <w:r w:rsidR="00BE77B0">
        <w:tab/>
        <w:t>38.321</w:t>
      </w:r>
      <w:r w:rsidR="00BE77B0">
        <w:tab/>
        <w:t>16.0.0</w:t>
      </w:r>
      <w:r w:rsidR="00BE77B0">
        <w:tab/>
        <w:t>0732</w:t>
      </w:r>
      <w:r w:rsidR="00BE77B0">
        <w:tab/>
        <w:t>1</w:t>
      </w:r>
      <w:r w:rsidR="00BE77B0">
        <w:tab/>
        <w:t>F</w:t>
      </w:r>
      <w:r w:rsidR="00BE77B0">
        <w:tab/>
        <w:t>NR_unlic-Core, NR_eMIMO-Core</w:t>
      </w:r>
      <w:r w:rsidR="00BE77B0">
        <w:tab/>
        <w:t>R2-2003833</w:t>
      </w:r>
    </w:p>
    <w:p w14:paraId="59C1C06B" w14:textId="77777777" w:rsidR="00046610" w:rsidRDefault="00BE77B0">
      <w:pPr>
        <w:pStyle w:val="BodyText"/>
      </w:pPr>
      <w:r>
        <w:t>Companies are invited to state their opinion on the CR above (R2-2005328).</w:t>
      </w:r>
    </w:p>
    <w:tbl>
      <w:tblPr>
        <w:tblStyle w:val="TableGrid"/>
        <w:tblW w:w="9634" w:type="dxa"/>
        <w:tblLook w:val="04A0" w:firstRow="1" w:lastRow="0" w:firstColumn="1" w:lastColumn="0" w:noHBand="0" w:noVBand="1"/>
      </w:tblPr>
      <w:tblGrid>
        <w:gridCol w:w="1980"/>
        <w:gridCol w:w="7654"/>
      </w:tblGrid>
      <w:tr w:rsidR="00046610" w14:paraId="59C1C06E" w14:textId="77777777">
        <w:tc>
          <w:tcPr>
            <w:tcW w:w="1980" w:type="dxa"/>
          </w:tcPr>
          <w:p w14:paraId="59C1C06C" w14:textId="77777777" w:rsidR="00046610" w:rsidRDefault="00BE77B0">
            <w:pPr>
              <w:pStyle w:val="BodyText"/>
              <w:rPr>
                <w:b/>
                <w:bCs/>
                <w:sz w:val="20"/>
                <w:szCs w:val="20"/>
              </w:rPr>
            </w:pPr>
            <w:r>
              <w:rPr>
                <w:b/>
                <w:bCs/>
                <w:sz w:val="20"/>
                <w:szCs w:val="20"/>
              </w:rPr>
              <w:t>Company</w:t>
            </w:r>
          </w:p>
        </w:tc>
        <w:tc>
          <w:tcPr>
            <w:tcW w:w="7654" w:type="dxa"/>
          </w:tcPr>
          <w:p w14:paraId="59C1C06D" w14:textId="77777777" w:rsidR="00046610" w:rsidRDefault="00BE77B0">
            <w:pPr>
              <w:pStyle w:val="BodyText"/>
              <w:rPr>
                <w:b/>
                <w:bCs/>
                <w:sz w:val="20"/>
                <w:szCs w:val="20"/>
              </w:rPr>
            </w:pPr>
            <w:r>
              <w:rPr>
                <w:b/>
                <w:bCs/>
                <w:sz w:val="20"/>
                <w:szCs w:val="20"/>
              </w:rPr>
              <w:t>Opinion</w:t>
            </w:r>
          </w:p>
        </w:tc>
      </w:tr>
      <w:tr w:rsidR="00046610" w14:paraId="59C1C072" w14:textId="77777777">
        <w:tc>
          <w:tcPr>
            <w:tcW w:w="1980" w:type="dxa"/>
          </w:tcPr>
          <w:p w14:paraId="59C1C06F"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59C1C070"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59C1C071" w14:textId="77777777" w:rsidR="00046610" w:rsidRDefault="00BE77B0">
            <w:pPr>
              <w:pStyle w:val="BodyText"/>
              <w:rPr>
                <w:rFonts w:eastAsiaTheme="minorEastAsia"/>
                <w:sz w:val="20"/>
                <w:szCs w:val="20"/>
                <w:lang w:eastAsia="ko-KR"/>
              </w:rPr>
            </w:pPr>
            <w:r>
              <w:rPr>
                <w:rFonts w:eastAsiaTheme="minorEastAsia"/>
                <w:sz w:val="20"/>
                <w:szCs w:val="20"/>
                <w:lang w:eastAsia="ko-KR"/>
              </w:rPr>
              <w:t>We need more time to check the actual changes.</w:t>
            </w:r>
          </w:p>
        </w:tc>
      </w:tr>
      <w:tr w:rsidR="00046610" w14:paraId="59C1C075" w14:textId="77777777">
        <w:tc>
          <w:tcPr>
            <w:tcW w:w="1980" w:type="dxa"/>
          </w:tcPr>
          <w:p w14:paraId="59C1C073" w14:textId="77777777" w:rsidR="00046610" w:rsidRDefault="00BE77B0">
            <w:pPr>
              <w:pStyle w:val="BodyText"/>
              <w:rPr>
                <w:sz w:val="20"/>
                <w:szCs w:val="20"/>
              </w:rPr>
            </w:pPr>
            <w:r>
              <w:rPr>
                <w:sz w:val="20"/>
                <w:szCs w:val="20"/>
              </w:rPr>
              <w:t>Ericsson</w:t>
            </w:r>
          </w:p>
        </w:tc>
        <w:tc>
          <w:tcPr>
            <w:tcW w:w="7654" w:type="dxa"/>
          </w:tcPr>
          <w:p w14:paraId="59C1C074" w14:textId="77777777" w:rsidR="00046610" w:rsidRDefault="00BE77B0">
            <w:pPr>
              <w:pStyle w:val="BodyText"/>
              <w:rPr>
                <w:sz w:val="20"/>
                <w:szCs w:val="20"/>
              </w:rPr>
            </w:pPr>
            <w:r>
              <w:rPr>
                <w:sz w:val="20"/>
                <w:szCs w:val="20"/>
              </w:rPr>
              <w:t>Support the CR. It may need updating after the discussions on BFR in MIMO WI have settled down.</w:t>
            </w:r>
          </w:p>
        </w:tc>
      </w:tr>
      <w:tr w:rsidR="00046610" w14:paraId="59C1C078" w14:textId="77777777">
        <w:tc>
          <w:tcPr>
            <w:tcW w:w="1980" w:type="dxa"/>
          </w:tcPr>
          <w:p w14:paraId="59C1C076" w14:textId="77777777" w:rsidR="00046610" w:rsidRDefault="00BE77B0">
            <w:pPr>
              <w:pStyle w:val="BodyText"/>
              <w:rPr>
                <w:rFonts w:eastAsia="PMingLiU"/>
                <w:sz w:val="20"/>
                <w:lang w:eastAsia="zh-TW"/>
              </w:rPr>
            </w:pPr>
            <w:r>
              <w:rPr>
                <w:rFonts w:eastAsia="PMingLiU" w:hint="eastAsia"/>
                <w:sz w:val="20"/>
                <w:lang w:eastAsia="zh-TW"/>
              </w:rPr>
              <w:t>ASUSTeK</w:t>
            </w:r>
          </w:p>
        </w:tc>
        <w:tc>
          <w:tcPr>
            <w:tcW w:w="7654" w:type="dxa"/>
          </w:tcPr>
          <w:p w14:paraId="59C1C077" w14:textId="77777777" w:rsidR="00046610" w:rsidRDefault="00BE77B0">
            <w:pPr>
              <w:pStyle w:val="BodyText"/>
              <w:rPr>
                <w:rFonts w:eastAsia="PMingLiU"/>
                <w:sz w:val="20"/>
                <w:lang w:eastAsia="zh-TW"/>
              </w:rPr>
            </w:pPr>
            <w:r>
              <w:rPr>
                <w:rFonts w:eastAsia="PMingLiU" w:hint="eastAsia"/>
                <w:sz w:val="20"/>
                <w:lang w:eastAsia="zh-TW"/>
              </w:rPr>
              <w:t xml:space="preserve">Generally agree with the CR, but </w:t>
            </w:r>
            <w:r>
              <w:rPr>
                <w:rFonts w:eastAsia="PMingLiU"/>
                <w:sz w:val="20"/>
                <w:lang w:eastAsia="zh-TW"/>
              </w:rPr>
              <w:t>whehter to</w:t>
            </w:r>
            <w:r>
              <w:rPr>
                <w:rFonts w:eastAsia="PMingLiU" w:hint="eastAsia"/>
                <w:sz w:val="20"/>
                <w:lang w:eastAsia="zh-TW"/>
              </w:rPr>
              <w:t xml:space="preserve"> stop sr-prohibittimer whe</w:t>
            </w:r>
            <w:r>
              <w:rPr>
                <w:rFonts w:eastAsia="PMingLiU"/>
                <w:sz w:val="20"/>
                <w:lang w:eastAsia="zh-TW"/>
              </w:rPr>
              <w:t>n</w:t>
            </w:r>
            <w:r>
              <w:rPr>
                <w:rFonts w:eastAsia="PMingLiU" w:hint="eastAsia"/>
                <w:sz w:val="20"/>
                <w:lang w:eastAsia="zh-TW"/>
              </w:rPr>
              <w:t xml:space="preserve"> a truncated BFR MAC CE is </w:t>
            </w:r>
            <w:r>
              <w:rPr>
                <w:rFonts w:eastAsia="PMingLiU"/>
                <w:sz w:val="20"/>
                <w:lang w:eastAsia="zh-TW"/>
              </w:rPr>
              <w:t>under discussion in MIMO offline, and updates may be needed afterwards.</w:t>
            </w:r>
          </w:p>
        </w:tc>
      </w:tr>
      <w:tr w:rsidR="00046610" w14:paraId="59C1C07B" w14:textId="77777777">
        <w:tc>
          <w:tcPr>
            <w:tcW w:w="1980" w:type="dxa"/>
          </w:tcPr>
          <w:p w14:paraId="59C1C079" w14:textId="77777777" w:rsidR="00046610" w:rsidRDefault="00BE77B0">
            <w:pPr>
              <w:pStyle w:val="BodyText"/>
              <w:rPr>
                <w:rFonts w:eastAsia="PMingLiU"/>
                <w:lang w:eastAsia="zh-TW"/>
              </w:rPr>
            </w:pPr>
            <w:r>
              <w:rPr>
                <w:rFonts w:eastAsia="PMingLiU"/>
                <w:lang w:eastAsia="zh-TW"/>
              </w:rPr>
              <w:t>MediaTek</w:t>
            </w:r>
          </w:p>
        </w:tc>
        <w:tc>
          <w:tcPr>
            <w:tcW w:w="7654" w:type="dxa"/>
          </w:tcPr>
          <w:p w14:paraId="59C1C07A" w14:textId="77777777" w:rsidR="00046610" w:rsidRDefault="00BE77B0">
            <w:pPr>
              <w:pStyle w:val="BodyText"/>
              <w:rPr>
                <w:rFonts w:eastAsia="PMingLiU"/>
                <w:lang w:eastAsia="zh-TW"/>
              </w:rPr>
            </w:pPr>
            <w:r>
              <w:rPr>
                <w:rFonts w:eastAsia="PMingLiU"/>
                <w:lang w:eastAsia="zh-TW"/>
              </w:rPr>
              <w:t>Support the CR, and share same view with Ericsson.</w:t>
            </w:r>
          </w:p>
        </w:tc>
      </w:tr>
      <w:tr w:rsidR="00046610" w14:paraId="59C1C07E" w14:textId="77777777">
        <w:tc>
          <w:tcPr>
            <w:tcW w:w="1980" w:type="dxa"/>
          </w:tcPr>
          <w:p w14:paraId="59C1C07C" w14:textId="77777777" w:rsidR="00046610" w:rsidRDefault="00BE77B0">
            <w:pPr>
              <w:pStyle w:val="BodyText"/>
              <w:rPr>
                <w:rFonts w:eastAsia="DengXian"/>
              </w:rPr>
            </w:pPr>
            <w:r>
              <w:rPr>
                <w:rFonts w:eastAsia="DengXian" w:hint="eastAsia"/>
              </w:rPr>
              <w:t>OPPO</w:t>
            </w:r>
          </w:p>
        </w:tc>
        <w:tc>
          <w:tcPr>
            <w:tcW w:w="7654" w:type="dxa"/>
          </w:tcPr>
          <w:p w14:paraId="59C1C07D" w14:textId="77777777" w:rsidR="00046610" w:rsidRDefault="00BE77B0">
            <w:pPr>
              <w:pStyle w:val="BodyText"/>
              <w:rPr>
                <w:rFonts w:eastAsia="DengXian"/>
              </w:rPr>
            </w:pPr>
            <w:r>
              <w:rPr>
                <w:rFonts w:eastAsia="DengXian" w:hint="eastAsia"/>
              </w:rPr>
              <w:t>Would it be good to also align the text for BSR with the updated ones?</w:t>
            </w:r>
          </w:p>
        </w:tc>
      </w:tr>
      <w:tr w:rsidR="00046610" w14:paraId="59C1C082" w14:textId="77777777">
        <w:tc>
          <w:tcPr>
            <w:tcW w:w="1980" w:type="dxa"/>
          </w:tcPr>
          <w:p w14:paraId="59C1C07F" w14:textId="77777777" w:rsidR="00046610" w:rsidRDefault="00BE77B0">
            <w:pPr>
              <w:pStyle w:val="BodyText"/>
              <w:rPr>
                <w:rFonts w:eastAsia="DengXian"/>
              </w:rPr>
            </w:pPr>
            <w:r>
              <w:rPr>
                <w:rFonts w:eastAsia="DengXian" w:hint="eastAsia"/>
              </w:rPr>
              <w:t>CATT</w:t>
            </w:r>
          </w:p>
        </w:tc>
        <w:tc>
          <w:tcPr>
            <w:tcW w:w="7654" w:type="dxa"/>
          </w:tcPr>
          <w:p w14:paraId="59C1C080" w14:textId="77777777" w:rsidR="00046610" w:rsidRDefault="00BE77B0">
            <w:pPr>
              <w:pStyle w:val="BodyText"/>
              <w:rPr>
                <w:rFonts w:eastAsia="DengXian"/>
              </w:rPr>
            </w:pPr>
            <w:r>
              <w:rPr>
                <w:rFonts w:eastAsia="DengXian" w:hint="eastAsia"/>
              </w:rPr>
              <w:t>T</w:t>
            </w:r>
            <w:r>
              <w:rPr>
                <w:rFonts w:eastAsia="DengXian"/>
              </w:rPr>
              <w:t xml:space="preserve">his needs to be discuss in MIMO WI. </w:t>
            </w:r>
          </w:p>
          <w:p w14:paraId="59C1C081" w14:textId="77777777" w:rsidR="00046610" w:rsidRDefault="00BE77B0">
            <w:pPr>
              <w:pStyle w:val="BodyText"/>
              <w:rPr>
                <w:rFonts w:eastAsia="DengXian"/>
              </w:rPr>
            </w:pPr>
            <w:r>
              <w:rPr>
                <w:rFonts w:eastAsia="DengXian"/>
              </w:rPr>
              <w:t xml:space="preserve">Seems the procedure after change is not what has been agreed. </w:t>
            </w:r>
            <w:r>
              <w:rPr>
                <w:rFonts w:hint="eastAsia"/>
              </w:rPr>
              <w:t>N</w:t>
            </w:r>
            <w:r>
              <w:t>eeds further checking</w:t>
            </w:r>
            <w:r>
              <w:rPr>
                <w:rFonts w:ascii="DengXian" w:eastAsia="DengXian" w:hAnsi="DengXian" w:hint="eastAsia"/>
              </w:rPr>
              <w:t>.</w:t>
            </w:r>
          </w:p>
        </w:tc>
      </w:tr>
      <w:tr w:rsidR="00046610" w14:paraId="59C1C085" w14:textId="77777777">
        <w:tc>
          <w:tcPr>
            <w:tcW w:w="1980" w:type="dxa"/>
          </w:tcPr>
          <w:p w14:paraId="59C1C083" w14:textId="77777777" w:rsidR="00046610" w:rsidRDefault="00BE77B0">
            <w:pPr>
              <w:pStyle w:val="BodyText"/>
              <w:rPr>
                <w:rFonts w:eastAsia="DengXian"/>
              </w:rPr>
            </w:pPr>
            <w:r>
              <w:rPr>
                <w:rFonts w:eastAsia="DengXian"/>
              </w:rPr>
              <w:t>Qualcomm</w:t>
            </w:r>
          </w:p>
        </w:tc>
        <w:tc>
          <w:tcPr>
            <w:tcW w:w="7654" w:type="dxa"/>
          </w:tcPr>
          <w:p w14:paraId="59C1C084" w14:textId="77777777" w:rsidR="00046610" w:rsidRDefault="00BE77B0">
            <w:pPr>
              <w:pStyle w:val="BodyText"/>
              <w:rPr>
                <w:rFonts w:eastAsia="DengXian"/>
              </w:rPr>
            </w:pPr>
            <w:r>
              <w:rPr>
                <w:rFonts w:eastAsia="DengXian"/>
              </w:rPr>
              <w:t xml:space="preserve">We are fine with the proposed changes. </w:t>
            </w:r>
          </w:p>
        </w:tc>
      </w:tr>
      <w:tr w:rsidR="00046610" w14:paraId="59C1C088" w14:textId="77777777">
        <w:tc>
          <w:tcPr>
            <w:tcW w:w="1980" w:type="dxa"/>
            <w:hideMark/>
          </w:tcPr>
          <w:p w14:paraId="59C1C086" w14:textId="77777777" w:rsidR="00046610" w:rsidRDefault="00BE77B0">
            <w:pPr>
              <w:pStyle w:val="BodyText"/>
              <w:rPr>
                <w:rFonts w:eastAsia="PMingLiU"/>
                <w:lang w:eastAsia="zh-TW"/>
              </w:rPr>
            </w:pPr>
            <w:r>
              <w:rPr>
                <w:rFonts w:eastAsia="PMingLiU"/>
                <w:lang w:eastAsia="zh-TW"/>
              </w:rPr>
              <w:lastRenderedPageBreak/>
              <w:t>Nokia, Nokia Shanghai Bell</w:t>
            </w:r>
          </w:p>
        </w:tc>
        <w:tc>
          <w:tcPr>
            <w:tcW w:w="7654" w:type="dxa"/>
            <w:hideMark/>
          </w:tcPr>
          <w:p w14:paraId="59C1C087" w14:textId="77777777" w:rsidR="00046610" w:rsidRDefault="00BE77B0">
            <w:pPr>
              <w:pStyle w:val="BodyText"/>
              <w:rPr>
                <w:rFonts w:eastAsia="PMingLiU"/>
                <w:lang w:val="en-GB" w:eastAsia="zh-TW"/>
              </w:rPr>
            </w:pPr>
            <w:r>
              <w:rPr>
                <w:rFonts w:eastAsia="PMingLiU"/>
                <w:lang w:val="en-GB" w:eastAsia="zh-TW"/>
              </w:rPr>
              <w:t>Support the intention, we need to check the actual text after the agreements in eMIMO session.</w:t>
            </w:r>
          </w:p>
        </w:tc>
      </w:tr>
    </w:tbl>
    <w:p w14:paraId="59C1C089" w14:textId="77777777" w:rsidR="00046610" w:rsidRDefault="00046610">
      <w:pPr>
        <w:pStyle w:val="BodyText"/>
      </w:pPr>
    </w:p>
    <w:p w14:paraId="59C1C08A" w14:textId="77777777" w:rsidR="00046610" w:rsidRDefault="00046610"/>
    <w:p w14:paraId="59C1C08B" w14:textId="77777777" w:rsidR="00046610" w:rsidRDefault="005151EE">
      <w:pPr>
        <w:pStyle w:val="Doc-title"/>
      </w:pPr>
      <w:hyperlink r:id="rId14" w:history="1">
        <w:r w:rsidR="00BE77B0">
          <w:rPr>
            <w:rStyle w:val="Hyperlink"/>
          </w:rPr>
          <w:t>R2-2005502</w:t>
        </w:r>
      </w:hyperlink>
      <w:r w:rsidR="00BE77B0">
        <w:tab/>
        <w:t>Stopping ongoing Random Access procedure</w:t>
      </w:r>
      <w:r w:rsidR="00BE77B0">
        <w:tab/>
        <w:t>LG Electronics Inc.</w:t>
      </w:r>
      <w:r w:rsidR="00BE77B0">
        <w:tab/>
        <w:t>discussion</w:t>
      </w:r>
      <w:r w:rsidR="00BE77B0">
        <w:tab/>
        <w:t>Rel-16</w:t>
      </w:r>
      <w:r w:rsidR="00BE77B0">
        <w:tab/>
        <w:t>TEI16</w:t>
      </w:r>
    </w:p>
    <w:p w14:paraId="59C1C08C" w14:textId="35D2C2AC" w:rsidR="00046610" w:rsidRDefault="00BE77B0">
      <w:pPr>
        <w:pStyle w:val="BodyText"/>
      </w:pPr>
      <w:r>
        <w:t>Companies are invited to state their opinion on the TP in the contribution above (R2-2005502).</w:t>
      </w:r>
    </w:p>
    <w:tbl>
      <w:tblPr>
        <w:tblStyle w:val="TableGrid"/>
        <w:tblW w:w="9634" w:type="dxa"/>
        <w:tblLook w:val="04A0" w:firstRow="1" w:lastRow="0" w:firstColumn="1" w:lastColumn="0" w:noHBand="0" w:noVBand="1"/>
      </w:tblPr>
      <w:tblGrid>
        <w:gridCol w:w="1980"/>
        <w:gridCol w:w="7654"/>
      </w:tblGrid>
      <w:tr w:rsidR="00046610" w14:paraId="59C1C08F" w14:textId="77777777">
        <w:tc>
          <w:tcPr>
            <w:tcW w:w="1980" w:type="dxa"/>
          </w:tcPr>
          <w:p w14:paraId="59C1C08D" w14:textId="77777777" w:rsidR="00046610" w:rsidRDefault="00BE77B0">
            <w:pPr>
              <w:pStyle w:val="BodyText"/>
              <w:rPr>
                <w:b/>
                <w:bCs/>
                <w:sz w:val="20"/>
                <w:szCs w:val="20"/>
              </w:rPr>
            </w:pPr>
            <w:r>
              <w:rPr>
                <w:b/>
                <w:bCs/>
                <w:sz w:val="20"/>
                <w:szCs w:val="20"/>
              </w:rPr>
              <w:t>Company</w:t>
            </w:r>
          </w:p>
        </w:tc>
        <w:tc>
          <w:tcPr>
            <w:tcW w:w="7654" w:type="dxa"/>
          </w:tcPr>
          <w:p w14:paraId="59C1C08E" w14:textId="77777777" w:rsidR="00046610" w:rsidRDefault="00BE77B0">
            <w:pPr>
              <w:pStyle w:val="BodyText"/>
              <w:rPr>
                <w:b/>
                <w:bCs/>
                <w:sz w:val="20"/>
                <w:szCs w:val="20"/>
              </w:rPr>
            </w:pPr>
            <w:r>
              <w:rPr>
                <w:b/>
                <w:bCs/>
                <w:sz w:val="20"/>
                <w:szCs w:val="20"/>
              </w:rPr>
              <w:t>Opinion</w:t>
            </w:r>
          </w:p>
        </w:tc>
      </w:tr>
      <w:tr w:rsidR="00046610" w14:paraId="59C1C093" w14:textId="77777777">
        <w:tc>
          <w:tcPr>
            <w:tcW w:w="1980" w:type="dxa"/>
          </w:tcPr>
          <w:p w14:paraId="59C1C090"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LG</w:t>
            </w:r>
          </w:p>
        </w:tc>
        <w:tc>
          <w:tcPr>
            <w:tcW w:w="7654" w:type="dxa"/>
          </w:tcPr>
          <w:p w14:paraId="59C1C091"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Support the TP in R2-2005502.</w:t>
            </w:r>
          </w:p>
          <w:p w14:paraId="59C1C092"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046610" w14:paraId="59C1C098" w14:textId="77777777">
        <w:tc>
          <w:tcPr>
            <w:tcW w:w="1980" w:type="dxa"/>
          </w:tcPr>
          <w:p w14:paraId="59C1C094" w14:textId="77777777" w:rsidR="00046610" w:rsidRDefault="00BE77B0">
            <w:pPr>
              <w:pStyle w:val="BodyText"/>
              <w:rPr>
                <w:sz w:val="20"/>
                <w:szCs w:val="20"/>
              </w:rPr>
            </w:pPr>
            <w:r>
              <w:rPr>
                <w:sz w:val="20"/>
                <w:szCs w:val="20"/>
              </w:rPr>
              <w:t>Ericsson</w:t>
            </w:r>
          </w:p>
        </w:tc>
        <w:tc>
          <w:tcPr>
            <w:tcW w:w="7654" w:type="dxa"/>
          </w:tcPr>
          <w:p w14:paraId="59C1C095" w14:textId="77777777" w:rsidR="00046610" w:rsidRDefault="00BE77B0">
            <w:pPr>
              <w:pStyle w:val="BodyText"/>
              <w:rPr>
                <w:sz w:val="20"/>
                <w:szCs w:val="20"/>
              </w:rPr>
            </w:pPr>
            <w:r>
              <w:rPr>
                <w:sz w:val="20"/>
                <w:szCs w:val="20"/>
              </w:rPr>
              <w:t xml:space="preserve">Do not support the TP as it is right now. </w:t>
            </w:r>
          </w:p>
          <w:p w14:paraId="59C1C096" w14:textId="77777777" w:rsidR="00046610" w:rsidRDefault="00BE77B0">
            <w:pPr>
              <w:pStyle w:val="BodyText"/>
              <w:rPr>
                <w:sz w:val="20"/>
                <w:szCs w:val="20"/>
              </w:rPr>
            </w:pPr>
            <w:r>
              <w:rPr>
                <w:sz w:val="20"/>
                <w:szCs w:val="20"/>
              </w:rPr>
              <w:t>We think it is important that the exceptional cases where a UE may cancel an ongoing random access procedure are clearly specified. Cancelled random access procedures need not be easy to detect and therefore it is important to have a limited set of cases in the UE to work from.</w:t>
            </w:r>
          </w:p>
          <w:p w14:paraId="59C1C097" w14:textId="77777777" w:rsidR="00046610" w:rsidRDefault="00BE77B0">
            <w:pPr>
              <w:pStyle w:val="BodyText"/>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046610" w14:paraId="59C1C09B" w14:textId="77777777">
        <w:tc>
          <w:tcPr>
            <w:tcW w:w="1980" w:type="dxa"/>
          </w:tcPr>
          <w:p w14:paraId="59C1C099" w14:textId="77777777" w:rsidR="00046610" w:rsidRDefault="00BE77B0">
            <w:pPr>
              <w:pStyle w:val="BodyText"/>
              <w:rPr>
                <w:rFonts w:eastAsia="PMingLiU"/>
                <w:sz w:val="20"/>
                <w:lang w:eastAsia="zh-TW"/>
              </w:rPr>
            </w:pPr>
            <w:r>
              <w:rPr>
                <w:rFonts w:eastAsia="PMingLiU" w:hint="eastAsia"/>
                <w:sz w:val="20"/>
                <w:lang w:eastAsia="zh-TW"/>
              </w:rPr>
              <w:t>ASUSTeK</w:t>
            </w:r>
          </w:p>
        </w:tc>
        <w:tc>
          <w:tcPr>
            <w:tcW w:w="7654" w:type="dxa"/>
          </w:tcPr>
          <w:p w14:paraId="59C1C09A" w14:textId="77777777" w:rsidR="00046610" w:rsidRDefault="00BE77B0">
            <w:pPr>
              <w:pStyle w:val="BodyText"/>
              <w:rPr>
                <w:rFonts w:eastAsia="PMingLiU"/>
                <w:sz w:val="20"/>
                <w:lang w:eastAsia="zh-TW"/>
              </w:rPr>
            </w:pPr>
            <w:r>
              <w:rPr>
                <w:rFonts w:eastAsia="PMingLiU"/>
                <w:sz w:val="20"/>
                <w:lang w:eastAsia="zh-TW"/>
              </w:rPr>
              <w:t>We share the same view with Ericsson.</w:t>
            </w:r>
          </w:p>
        </w:tc>
      </w:tr>
      <w:tr w:rsidR="00046610" w14:paraId="59C1C09E" w14:textId="77777777">
        <w:tc>
          <w:tcPr>
            <w:tcW w:w="1980" w:type="dxa"/>
          </w:tcPr>
          <w:p w14:paraId="59C1C09C" w14:textId="77777777" w:rsidR="00046610" w:rsidRDefault="00BE77B0">
            <w:pPr>
              <w:pStyle w:val="BodyText"/>
              <w:rPr>
                <w:rFonts w:eastAsia="PMingLiU"/>
                <w:lang w:eastAsia="zh-TW"/>
              </w:rPr>
            </w:pPr>
            <w:r>
              <w:rPr>
                <w:rFonts w:eastAsia="PMingLiU"/>
                <w:lang w:eastAsia="zh-TW"/>
              </w:rPr>
              <w:t>MediaTek</w:t>
            </w:r>
          </w:p>
        </w:tc>
        <w:tc>
          <w:tcPr>
            <w:tcW w:w="7654" w:type="dxa"/>
          </w:tcPr>
          <w:p w14:paraId="59C1C09D" w14:textId="77777777" w:rsidR="00046610" w:rsidRDefault="00BE77B0">
            <w:pPr>
              <w:pStyle w:val="BodyText"/>
              <w:rPr>
                <w:rFonts w:eastAsia="PMingLiU"/>
                <w:lang w:eastAsia="zh-TW"/>
              </w:rPr>
            </w:pPr>
            <w:r>
              <w:rPr>
                <w:rFonts w:eastAsia="PMingLiU"/>
                <w:lang w:eastAsia="zh-TW"/>
              </w:rPr>
              <w:t>We are open to discuss this issue (spec text simplication), and we agree with  Ericsson that we may need to enumerate the use cases in which an ongoing RACH procedure can be cancelled.</w:t>
            </w:r>
          </w:p>
        </w:tc>
      </w:tr>
      <w:tr w:rsidR="00046610" w14:paraId="59C1C0A1" w14:textId="77777777">
        <w:tc>
          <w:tcPr>
            <w:tcW w:w="1980" w:type="dxa"/>
          </w:tcPr>
          <w:p w14:paraId="59C1C09F" w14:textId="77777777" w:rsidR="00046610" w:rsidRDefault="00BE77B0">
            <w:pPr>
              <w:pStyle w:val="BodyText"/>
              <w:rPr>
                <w:rFonts w:eastAsia="DengXian"/>
              </w:rPr>
            </w:pPr>
            <w:r>
              <w:rPr>
                <w:rFonts w:eastAsia="DengXian" w:hint="eastAsia"/>
              </w:rPr>
              <w:t>OPPO</w:t>
            </w:r>
          </w:p>
        </w:tc>
        <w:tc>
          <w:tcPr>
            <w:tcW w:w="7654" w:type="dxa"/>
          </w:tcPr>
          <w:p w14:paraId="59C1C0A0" w14:textId="77777777" w:rsidR="00046610" w:rsidRDefault="00BE77B0">
            <w:pPr>
              <w:pStyle w:val="BodyText"/>
              <w:rPr>
                <w:rFonts w:eastAsia="DengXian"/>
              </w:rPr>
            </w:pPr>
            <w:r>
              <w:rPr>
                <w:rFonts w:eastAsia="DengXian" w:hint="eastAsia"/>
              </w:rPr>
              <w:t>We agree the intention to simply, but think it would be good to keep all the exceptional contions clearly specified.</w:t>
            </w:r>
          </w:p>
        </w:tc>
      </w:tr>
      <w:tr w:rsidR="00046610" w14:paraId="59C1C0A4" w14:textId="77777777">
        <w:tc>
          <w:tcPr>
            <w:tcW w:w="1980" w:type="dxa"/>
          </w:tcPr>
          <w:p w14:paraId="59C1C0A2" w14:textId="77777777" w:rsidR="00046610" w:rsidRDefault="00BE77B0">
            <w:pPr>
              <w:pStyle w:val="BodyText"/>
              <w:rPr>
                <w:rFonts w:eastAsia="Yu Mincho"/>
                <w:lang w:eastAsia="ja-JP"/>
              </w:rPr>
            </w:pPr>
            <w:r>
              <w:rPr>
                <w:rFonts w:eastAsia="Yu Mincho" w:hint="eastAsia"/>
                <w:lang w:eastAsia="ja-JP"/>
              </w:rPr>
              <w:t>F</w:t>
            </w:r>
            <w:r>
              <w:rPr>
                <w:rFonts w:eastAsia="Yu Mincho"/>
                <w:lang w:eastAsia="ja-JP"/>
              </w:rPr>
              <w:t>ujitsu</w:t>
            </w:r>
          </w:p>
        </w:tc>
        <w:tc>
          <w:tcPr>
            <w:tcW w:w="7654" w:type="dxa"/>
          </w:tcPr>
          <w:p w14:paraId="59C1C0A3" w14:textId="77777777" w:rsidR="00046610" w:rsidRDefault="00BE77B0">
            <w:pPr>
              <w:pStyle w:val="BodyText"/>
              <w:rPr>
                <w:rFonts w:eastAsia="DengXian"/>
              </w:rPr>
            </w:pPr>
            <w:r>
              <w:rPr>
                <w:rFonts w:eastAsia="Yu Mincho" w:hint="eastAsia"/>
                <w:sz w:val="20"/>
                <w:szCs w:val="20"/>
                <w:lang w:eastAsia="ja-JP"/>
              </w:rPr>
              <w:t>W</w:t>
            </w:r>
            <w:r>
              <w:rPr>
                <w:rFonts w:eastAsia="Yu Mincho"/>
                <w:sz w:val="20"/>
                <w:szCs w:val="20"/>
                <w:lang w:eastAsia="ja-JP"/>
              </w:rPr>
              <w:t>e are “in principle“ fine i.e. RAN2 needs to wait for the email discussion [103] on eMIMO, which is also discussing text update for 5.4.4.</w:t>
            </w:r>
          </w:p>
        </w:tc>
      </w:tr>
      <w:tr w:rsidR="00046610" w14:paraId="59C1C0A7" w14:textId="77777777">
        <w:tc>
          <w:tcPr>
            <w:tcW w:w="1980" w:type="dxa"/>
          </w:tcPr>
          <w:p w14:paraId="59C1C0A5" w14:textId="77777777" w:rsidR="00046610" w:rsidRDefault="00BE77B0">
            <w:pPr>
              <w:pStyle w:val="BodyText"/>
              <w:rPr>
                <w:rFonts w:eastAsia="DengXian"/>
              </w:rPr>
            </w:pPr>
            <w:r>
              <w:rPr>
                <w:rFonts w:eastAsia="DengXian" w:hint="eastAsia"/>
              </w:rPr>
              <w:t>CATT</w:t>
            </w:r>
          </w:p>
        </w:tc>
        <w:tc>
          <w:tcPr>
            <w:tcW w:w="7654" w:type="dxa"/>
          </w:tcPr>
          <w:p w14:paraId="59C1C0A6" w14:textId="77777777" w:rsidR="00046610" w:rsidRDefault="00BE77B0">
            <w:pPr>
              <w:pStyle w:val="BodyText"/>
              <w:rPr>
                <w:rFonts w:eastAsia="DengXian"/>
              </w:rPr>
            </w:pPr>
            <w:r>
              <w:rPr>
                <w:rFonts w:eastAsia="Yu Mincho"/>
                <w:lang w:eastAsia="ja-JP"/>
              </w:rPr>
              <w:t>Need MAC rapporteur work with the rapporteurs of 2s, NR-U, eMIMO</w:t>
            </w:r>
            <w:r>
              <w:rPr>
                <w:rFonts w:eastAsia="DengXian" w:hint="eastAsia"/>
              </w:rPr>
              <w:t xml:space="preserve"> to simplify the description</w:t>
            </w:r>
            <w:r>
              <w:rPr>
                <w:rFonts w:eastAsia="Yu Mincho"/>
                <w:lang w:eastAsia="ja-JP"/>
              </w:rPr>
              <w:t>.</w:t>
            </w:r>
            <w:r>
              <w:rPr>
                <w:rFonts w:eastAsia="DengXian" w:hint="eastAsia"/>
              </w:rPr>
              <w:t xml:space="preserve"> Current CR is not so precise. </w:t>
            </w:r>
          </w:p>
        </w:tc>
      </w:tr>
      <w:tr w:rsidR="00046610" w14:paraId="59C1C0AA" w14:textId="77777777">
        <w:tc>
          <w:tcPr>
            <w:tcW w:w="1980" w:type="dxa"/>
          </w:tcPr>
          <w:p w14:paraId="59C1C0A8" w14:textId="77777777" w:rsidR="00046610" w:rsidRDefault="00BE77B0">
            <w:pPr>
              <w:pStyle w:val="BodyText"/>
              <w:rPr>
                <w:rFonts w:eastAsia="DengXian"/>
              </w:rPr>
            </w:pPr>
            <w:r>
              <w:rPr>
                <w:rFonts w:eastAsia="DengXian"/>
              </w:rPr>
              <w:t>Qualcomm</w:t>
            </w:r>
          </w:p>
        </w:tc>
        <w:tc>
          <w:tcPr>
            <w:tcW w:w="7654" w:type="dxa"/>
          </w:tcPr>
          <w:p w14:paraId="59C1C0A9" w14:textId="77777777" w:rsidR="00046610" w:rsidRDefault="00BE77B0">
            <w:pPr>
              <w:pStyle w:val="BodyText"/>
              <w:rPr>
                <w:rFonts w:eastAsia="Yu Mincho"/>
                <w:lang w:eastAsia="ja-JP"/>
              </w:rPr>
            </w:pPr>
            <w:r>
              <w:rPr>
                <w:rFonts w:eastAsia="Yu Mincho"/>
                <w:lang w:eastAsia="ja-JP"/>
              </w:rPr>
              <w:t xml:space="preserve">We can agree in principle the proposed change. Agree with CATT that the current text can use improvement. </w:t>
            </w:r>
          </w:p>
        </w:tc>
      </w:tr>
      <w:tr w:rsidR="00046610" w14:paraId="59C1C0AE" w14:textId="77777777">
        <w:trPr>
          <w:trHeight w:val="70"/>
        </w:trPr>
        <w:tc>
          <w:tcPr>
            <w:tcW w:w="1980" w:type="dxa"/>
            <w:hideMark/>
          </w:tcPr>
          <w:p w14:paraId="59C1C0AB" w14:textId="77777777" w:rsidR="00046610" w:rsidRDefault="00BE77B0">
            <w:pPr>
              <w:pStyle w:val="BodyText"/>
              <w:rPr>
                <w:rFonts w:eastAsia="PMingLiU"/>
                <w:lang w:eastAsia="zh-TW"/>
              </w:rPr>
            </w:pPr>
            <w:r>
              <w:rPr>
                <w:rFonts w:eastAsia="PMingLiU"/>
                <w:lang w:eastAsia="zh-TW"/>
              </w:rPr>
              <w:t>Nokia, Nokia Shanghai Bell</w:t>
            </w:r>
          </w:p>
        </w:tc>
        <w:tc>
          <w:tcPr>
            <w:tcW w:w="7654" w:type="dxa"/>
            <w:hideMark/>
          </w:tcPr>
          <w:p w14:paraId="59C1C0AC" w14:textId="77777777" w:rsidR="00046610" w:rsidRDefault="00BE77B0">
            <w:pPr>
              <w:pStyle w:val="BodyText"/>
              <w:rPr>
                <w:rFonts w:eastAsia="PMingLiU"/>
                <w:lang w:val="en-GB" w:eastAsia="zh-TW"/>
              </w:rPr>
            </w:pPr>
            <w:r>
              <w:rPr>
                <w:rFonts w:eastAsia="PMingLiU"/>
                <w:lang w:val="en-GB" w:eastAsia="zh-TW"/>
              </w:rPr>
              <w:t>We don’t support the TP as is.</w:t>
            </w:r>
          </w:p>
          <w:p w14:paraId="59C1C0AD" w14:textId="77777777" w:rsidR="00046610" w:rsidRDefault="00BE77B0">
            <w:pPr>
              <w:pStyle w:val="BodyText"/>
              <w:rPr>
                <w:rFonts w:eastAsia="PMingLiU"/>
                <w:lang w:val="en-GB" w:eastAsia="zh-TW"/>
              </w:rPr>
            </w:pPr>
            <w:r>
              <w:rPr>
                <w:rFonts w:eastAsia="PMingLiU"/>
                <w:lang w:val="en-GB" w:eastAsia="zh-TW"/>
              </w:rPr>
              <w:t xml:space="preserve">Agree with Ericsson. </w:t>
            </w:r>
          </w:p>
        </w:tc>
      </w:tr>
    </w:tbl>
    <w:p w14:paraId="59C1C0AF" w14:textId="77777777" w:rsidR="00046610" w:rsidRDefault="00046610"/>
    <w:p w14:paraId="59C1C0B0" w14:textId="77777777" w:rsidR="00046610" w:rsidRDefault="00BE77B0">
      <w:pPr>
        <w:pStyle w:val="Heading2"/>
      </w:pPr>
      <w:r>
        <w:t>2.2</w:t>
      </w:r>
      <w:r>
        <w:tab/>
        <w:t>Conclusion</w:t>
      </w:r>
    </w:p>
    <w:p w14:paraId="59C1C0B1" w14:textId="77777777" w:rsidR="00046610" w:rsidRDefault="00BE77B0">
      <w:pPr>
        <w:pStyle w:val="BodyText"/>
      </w:pPr>
      <w:r>
        <w:t>Conclusions from the rapporteur:</w:t>
      </w:r>
    </w:p>
    <w:p w14:paraId="59C1C0B2" w14:textId="77777777" w:rsidR="00046610" w:rsidRDefault="005151EE">
      <w:pPr>
        <w:pStyle w:val="Doc-title"/>
        <w:rPr>
          <w:rFonts w:cs="Arial"/>
          <w:szCs w:val="20"/>
        </w:rPr>
      </w:pPr>
      <w:hyperlink r:id="rId15" w:history="1">
        <w:r w:rsidR="00BE77B0">
          <w:rPr>
            <w:rStyle w:val="Hyperlink"/>
          </w:rPr>
          <w:t>R2-2005501</w:t>
        </w:r>
      </w:hyperlink>
      <w:r w:rsidR="00BE77B0">
        <w:t>    38321 CR Clarification on eLCID   LG Electronics Inc., MediaTek    CR        Rel-16   38.321  16.0.0   0752   -           F          TEI16</w:t>
      </w:r>
    </w:p>
    <w:p w14:paraId="59C1C0B3" w14:textId="77777777" w:rsidR="00046610" w:rsidRDefault="00BE77B0">
      <w:pPr>
        <w:pStyle w:val="BodyText"/>
        <w:rPr>
          <w:b/>
          <w:bCs/>
        </w:rPr>
      </w:pPr>
      <w:r>
        <w:rPr>
          <w:b/>
          <w:bCs/>
        </w:rPr>
        <w:t>There is support to continue with this CR.</w:t>
      </w:r>
    </w:p>
    <w:p w14:paraId="59C1C0B4" w14:textId="77777777" w:rsidR="00046610" w:rsidRDefault="00046610">
      <w:pPr>
        <w:rPr>
          <w:rFonts w:ascii="Arial" w:hAnsi="Arial" w:cs="Arial"/>
          <w:color w:val="993366"/>
          <w:lang w:eastAsia="en-US"/>
        </w:rPr>
      </w:pPr>
    </w:p>
    <w:p w14:paraId="59C1C0B5" w14:textId="77777777" w:rsidR="00046610" w:rsidRDefault="005151EE">
      <w:pPr>
        <w:pStyle w:val="Doc-title"/>
        <w:rPr>
          <w:rFonts w:cs="Arial"/>
          <w:szCs w:val="20"/>
        </w:rPr>
      </w:pPr>
      <w:hyperlink r:id="rId16" w:history="1">
        <w:r w:rsidR="00BE77B0">
          <w:rPr>
            <w:rStyle w:val="Hyperlink"/>
          </w:rPr>
          <w:t>R2-2005562</w:t>
        </w:r>
      </w:hyperlink>
      <w:r w:rsidR="00BE77B0">
        <w:t>    Handling of unexpected eLCID values.      ASUSTeK         discussion        Rel-16   38.321</w:t>
      </w:r>
    </w:p>
    <w:p w14:paraId="59C1C0B6" w14:textId="77777777" w:rsidR="00046610" w:rsidRDefault="00BE77B0">
      <w:pPr>
        <w:pStyle w:val="BodyText"/>
        <w:rPr>
          <w:b/>
          <w:bCs/>
        </w:rPr>
      </w:pPr>
      <w:r>
        <w:rPr>
          <w:b/>
          <w:bCs/>
        </w:rPr>
        <w:t>There is support to continue with this CR.</w:t>
      </w:r>
    </w:p>
    <w:p w14:paraId="59C1C0B7" w14:textId="77777777" w:rsidR="00046610" w:rsidRDefault="00046610">
      <w:pPr>
        <w:rPr>
          <w:rFonts w:ascii="Arial" w:hAnsi="Arial" w:cs="Arial"/>
          <w:color w:val="993366"/>
          <w:lang w:eastAsia="en-US"/>
        </w:rPr>
      </w:pPr>
    </w:p>
    <w:p w14:paraId="59C1C0B8" w14:textId="77777777" w:rsidR="00046610" w:rsidRDefault="005151EE">
      <w:pPr>
        <w:pStyle w:val="Doc-title"/>
        <w:rPr>
          <w:rFonts w:cs="Arial"/>
          <w:szCs w:val="20"/>
        </w:rPr>
      </w:pPr>
      <w:hyperlink r:id="rId17" w:history="1">
        <w:r w:rsidR="00BE77B0">
          <w:rPr>
            <w:rStyle w:val="Hyperlink"/>
          </w:rPr>
          <w:t>R2-2005328</w:t>
        </w:r>
      </w:hyperlink>
      <w:r w:rsidR="00BE77B0">
        <w:t>    Alignment of SR clause     Ericsson, Samsung       CR        Rel-16   38.321  16.0.0   0732     1          F   NR_unlic-Core, NR_eMIMO-Core            R2-2003833</w:t>
      </w:r>
    </w:p>
    <w:p w14:paraId="59C1C0B9" w14:textId="77777777" w:rsidR="00046610" w:rsidRDefault="00BE77B0">
      <w:pPr>
        <w:pStyle w:val="BodyText"/>
        <w:rPr>
          <w:b/>
          <w:bCs/>
        </w:rPr>
      </w:pPr>
      <w:r>
        <w:rPr>
          <w:b/>
          <w:bCs/>
        </w:rPr>
        <w:t>There is support to continue with this CR, but the outcome of the MIMO WI has to be taken into account.</w:t>
      </w:r>
    </w:p>
    <w:p w14:paraId="59C1C0BA" w14:textId="77777777" w:rsidR="00046610" w:rsidRDefault="00046610">
      <w:pPr>
        <w:rPr>
          <w:rFonts w:ascii="Arial" w:hAnsi="Arial" w:cs="Arial"/>
          <w:color w:val="993366"/>
          <w:lang w:eastAsia="en-US"/>
        </w:rPr>
      </w:pPr>
    </w:p>
    <w:p w14:paraId="59C1C0BB" w14:textId="77777777" w:rsidR="00046610" w:rsidRDefault="005151EE">
      <w:pPr>
        <w:pStyle w:val="Doc-title"/>
        <w:rPr>
          <w:rFonts w:cs="Arial"/>
          <w:szCs w:val="20"/>
        </w:rPr>
      </w:pPr>
      <w:hyperlink r:id="rId18" w:history="1">
        <w:r w:rsidR="00BE77B0">
          <w:rPr>
            <w:rStyle w:val="Hyperlink"/>
          </w:rPr>
          <w:t>R2-2005502</w:t>
        </w:r>
      </w:hyperlink>
      <w:r w:rsidR="00BE77B0">
        <w:t>    Stopping ongoing Random Access procedure        LG Electronics Inc.        discussion        Rel-16   TEI16</w:t>
      </w:r>
    </w:p>
    <w:p w14:paraId="59C1C0BC" w14:textId="77777777" w:rsidR="00046610" w:rsidRDefault="00BE77B0">
      <w:pPr>
        <w:pStyle w:val="BodyText"/>
        <w:rPr>
          <w:b/>
          <w:bCs/>
        </w:rPr>
      </w:pPr>
      <w:r>
        <w:rPr>
          <w:b/>
          <w:bCs/>
        </w:rPr>
        <w:t>There is support with the intention of the CR, to improve the specification quality, but there is very limited support to make the clarifications as proposed by the CR. Several companies mention the value to have the exceptions clearly specified.</w:t>
      </w:r>
    </w:p>
    <w:p w14:paraId="59C1C0BD" w14:textId="77777777" w:rsidR="00046610" w:rsidRDefault="00BE77B0">
      <w:pPr>
        <w:pStyle w:val="BodyText"/>
        <w:rPr>
          <w:b/>
          <w:bCs/>
        </w:rPr>
      </w:pPr>
      <w:r>
        <w:rPr>
          <w:b/>
          <w:bCs/>
        </w:rPr>
        <w:t>Rapporteur proposes to continue discussion on how to improve the specification quality but maintaining the clearly specified exceptions.</w:t>
      </w:r>
    </w:p>
    <w:p w14:paraId="59C1C0BE" w14:textId="77777777" w:rsidR="00046610" w:rsidRDefault="00BE77B0">
      <w:pPr>
        <w:pStyle w:val="Heading1"/>
        <w:rPr>
          <w:lang w:eastAsia="en-US"/>
        </w:rPr>
      </w:pPr>
      <w:r>
        <w:rPr>
          <w:lang w:eastAsia="en-US"/>
        </w:rPr>
        <w:t>3</w:t>
      </w:r>
      <w:r>
        <w:rPr>
          <w:lang w:eastAsia="en-US"/>
        </w:rPr>
        <w:tab/>
        <w:t>Second round of discussion</w:t>
      </w:r>
    </w:p>
    <w:p w14:paraId="59C1C0BF" w14:textId="77777777" w:rsidR="00046610" w:rsidRDefault="00BE77B0">
      <w:pPr>
        <w:pStyle w:val="BodyText"/>
      </w:pPr>
      <w:r>
        <w:t>The rapporteur has merged the CRs and text proposals to one CR available in the drafts folder. The rapporteur suggests the second round of discussion to focus on the changes in clause 5.4.4 corresponding to R2-2005328 and R2-2005502.</w:t>
      </w:r>
    </w:p>
    <w:p w14:paraId="59C1C0C0" w14:textId="77777777" w:rsidR="00046610" w:rsidRDefault="00BE77B0">
      <w:pPr>
        <w:pStyle w:val="EmailDiscussion2"/>
        <w:rPr>
          <w:color w:val="FF0000"/>
        </w:rPr>
      </w:pPr>
      <w:r>
        <w:rPr>
          <w:color w:val="FF0000"/>
        </w:rPr>
        <w:tab/>
        <w:t>Deadline for second round: June 10, 0700 UTC</w:t>
      </w:r>
    </w:p>
    <w:p w14:paraId="59C1C0C1" w14:textId="77777777" w:rsidR="00046610" w:rsidRDefault="00BE77B0">
      <w:pPr>
        <w:pStyle w:val="Heading2"/>
        <w:rPr>
          <w:lang w:eastAsia="en-US"/>
        </w:rPr>
      </w:pPr>
      <w:r>
        <w:rPr>
          <w:lang w:eastAsia="en-US"/>
        </w:rPr>
        <w:t>3.1</w:t>
      </w:r>
      <w:r>
        <w:rPr>
          <w:lang w:eastAsia="en-US"/>
        </w:rPr>
        <w:tab/>
        <w:t>Discussion</w:t>
      </w:r>
    </w:p>
    <w:p w14:paraId="59C1C0C2" w14:textId="77777777" w:rsidR="00046610" w:rsidRDefault="00BE77B0">
      <w:pPr>
        <w:pStyle w:val="Heading3"/>
        <w:rPr>
          <w:lang w:eastAsia="en-US"/>
        </w:rPr>
      </w:pPr>
      <w:r>
        <w:rPr>
          <w:lang w:eastAsia="en-US"/>
        </w:rPr>
        <w:t>3.1.1</w:t>
      </w:r>
      <w:r>
        <w:rPr>
          <w:lang w:eastAsia="en-US"/>
        </w:rPr>
        <w:tab/>
        <w:t>R2-2005328 (Cancellation of pending SR)</w:t>
      </w:r>
    </w:p>
    <w:p w14:paraId="59C1C0C3" w14:textId="77777777" w:rsidR="00046610" w:rsidRDefault="00BE77B0">
      <w:pPr>
        <w:pStyle w:val="BodyText"/>
      </w:pPr>
      <w:r>
        <w:t>The rapporteur notes that the eMIMO discussion 103 has not yet concluded. The current proposal is most in line with annexure 1 of that discussion (at the time of writing), but the rapporteur further notes that the main aspect of R2-2005328 is to rewrite the paragraph such that it gets a more "algorithmic" and a more readable and maintainable structure, similar to the existing text on cancellation of pending SRs due to consistent LBT failure. The intention of the rapporteur is not to introduce any functional changes beyond those agreed in e-mail discussion 103.</w:t>
      </w:r>
    </w:p>
    <w:p w14:paraId="59C1C0C4" w14:textId="77777777" w:rsidR="00046610" w:rsidRDefault="00BE77B0">
      <w:pPr>
        <w:pStyle w:val="BodyText"/>
      </w:pPr>
      <w:r>
        <w:t>Companies are invited to comment on this intention or any other related matter.</w:t>
      </w:r>
    </w:p>
    <w:tbl>
      <w:tblPr>
        <w:tblStyle w:val="TableGrid"/>
        <w:tblW w:w="9634" w:type="dxa"/>
        <w:tblLook w:val="04A0" w:firstRow="1" w:lastRow="0" w:firstColumn="1" w:lastColumn="0" w:noHBand="0" w:noVBand="1"/>
      </w:tblPr>
      <w:tblGrid>
        <w:gridCol w:w="1980"/>
        <w:gridCol w:w="7654"/>
      </w:tblGrid>
      <w:tr w:rsidR="00046610" w14:paraId="59C1C0C7" w14:textId="77777777">
        <w:tc>
          <w:tcPr>
            <w:tcW w:w="1980" w:type="dxa"/>
          </w:tcPr>
          <w:p w14:paraId="59C1C0C5" w14:textId="77777777" w:rsidR="00046610" w:rsidRDefault="00BE77B0">
            <w:pPr>
              <w:pStyle w:val="BodyText"/>
              <w:rPr>
                <w:b/>
                <w:bCs/>
                <w:sz w:val="20"/>
                <w:szCs w:val="20"/>
              </w:rPr>
            </w:pPr>
            <w:r>
              <w:rPr>
                <w:b/>
                <w:bCs/>
                <w:sz w:val="20"/>
                <w:szCs w:val="20"/>
              </w:rPr>
              <w:t>Company</w:t>
            </w:r>
          </w:p>
        </w:tc>
        <w:tc>
          <w:tcPr>
            <w:tcW w:w="7654" w:type="dxa"/>
          </w:tcPr>
          <w:p w14:paraId="59C1C0C6" w14:textId="77777777" w:rsidR="00046610" w:rsidRDefault="00BE77B0">
            <w:pPr>
              <w:pStyle w:val="BodyText"/>
              <w:rPr>
                <w:b/>
                <w:bCs/>
                <w:sz w:val="20"/>
                <w:szCs w:val="20"/>
              </w:rPr>
            </w:pPr>
            <w:r>
              <w:rPr>
                <w:b/>
                <w:bCs/>
                <w:sz w:val="20"/>
                <w:szCs w:val="20"/>
              </w:rPr>
              <w:t>Opinion</w:t>
            </w:r>
          </w:p>
        </w:tc>
      </w:tr>
      <w:tr w:rsidR="00046610" w14:paraId="59C1C0CA" w14:textId="77777777">
        <w:tc>
          <w:tcPr>
            <w:tcW w:w="1980" w:type="dxa"/>
          </w:tcPr>
          <w:p w14:paraId="59C1C0C8"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59C1C0C9" w14:textId="77777777" w:rsidR="00046610" w:rsidRDefault="00BE77B0">
            <w:pPr>
              <w:pStyle w:val="BodyText"/>
              <w:rPr>
                <w:rFonts w:eastAsiaTheme="minorEastAsia"/>
                <w:sz w:val="20"/>
                <w:szCs w:val="20"/>
                <w:lang w:eastAsia="ko-KR"/>
              </w:rPr>
            </w:pPr>
            <w:r>
              <w:rPr>
                <w:rFonts w:eastAsiaTheme="minorEastAsia" w:hint="eastAsia"/>
                <w:sz w:val="20"/>
                <w:szCs w:val="20"/>
                <w:lang w:eastAsia="ko-KR"/>
              </w:rPr>
              <w:t xml:space="preserve">We agree with the intention. </w:t>
            </w:r>
            <w:r>
              <w:rPr>
                <w:rFonts w:eastAsiaTheme="minorEastAsia"/>
                <w:sz w:val="20"/>
                <w:szCs w:val="20"/>
                <w:lang w:eastAsia="ko-KR"/>
              </w:rPr>
              <w:t>Now looking at the CR, we think it would be much better to change the structure of BSR related text as well similar to LBT failure or BFR (i.e. bulletized form).</w:t>
            </w:r>
          </w:p>
        </w:tc>
      </w:tr>
      <w:tr w:rsidR="00CC63C4" w14:paraId="254CC9FE" w14:textId="77777777">
        <w:tc>
          <w:tcPr>
            <w:tcW w:w="1980" w:type="dxa"/>
          </w:tcPr>
          <w:p w14:paraId="76B2CB49" w14:textId="6660FBFF" w:rsidR="00CC63C4" w:rsidRDefault="00CC63C4">
            <w:pPr>
              <w:pStyle w:val="BodyText"/>
              <w:rPr>
                <w:lang w:eastAsia="ko-KR"/>
              </w:rPr>
            </w:pPr>
            <w:r>
              <w:rPr>
                <w:lang w:eastAsia="ko-KR"/>
              </w:rPr>
              <w:t>MAC rapporteur (Samsung)</w:t>
            </w:r>
          </w:p>
        </w:tc>
        <w:tc>
          <w:tcPr>
            <w:tcW w:w="7654" w:type="dxa"/>
          </w:tcPr>
          <w:p w14:paraId="442D9F80" w14:textId="7170C99C" w:rsidR="00CC63C4" w:rsidRPr="00CC63C4" w:rsidRDefault="00CC63C4" w:rsidP="00CC63C4">
            <w:pPr>
              <w:rPr>
                <w:rFonts w:ascii="Arial" w:hAnsi="Arial" w:cs="Arial"/>
                <w:color w:val="000000"/>
                <w:sz w:val="20"/>
                <w:szCs w:val="20"/>
                <w:lang w:eastAsia="ko-KR"/>
              </w:rPr>
            </w:pPr>
            <w:r w:rsidRPr="00CC63C4">
              <w:rPr>
                <w:rFonts w:ascii="Arial" w:hAnsi="Arial" w:cs="Arial"/>
                <w:color w:val="000000"/>
                <w:sz w:val="20"/>
                <w:szCs w:val="20"/>
                <w:lang w:eastAsia="ko-KR"/>
              </w:rPr>
              <w:t>I have now realized that RAN2 have two MAC CRs for eMIMO and NR-U, which update subclause 5.4.4, so to have additional changes (merely for improving the text) from this thread would result (unnecessary) CR clashes when implementing the CRs by Juha and myself after RAN plenary. As the proposed changes in this thread can be done after having all the functional changes from each WI, it would be indeed great if RAN2 postpone the following two CRs to the next meeting. Sorry for my late input, but this would be indeed helpful to RAN2 secretary and specification rapporteur.</w:t>
            </w:r>
          </w:p>
        </w:tc>
      </w:tr>
    </w:tbl>
    <w:p w14:paraId="3E1B9C12" w14:textId="77777777" w:rsidR="00020ED7" w:rsidRDefault="00020ED7">
      <w:pPr>
        <w:pStyle w:val="BodyText"/>
      </w:pPr>
    </w:p>
    <w:p w14:paraId="59C1C0CC" w14:textId="443F2100" w:rsidR="00046610" w:rsidRDefault="00BE77B0">
      <w:pPr>
        <w:pStyle w:val="Heading3"/>
        <w:rPr>
          <w:lang w:eastAsia="en-US"/>
        </w:rPr>
      </w:pPr>
      <w:r>
        <w:rPr>
          <w:lang w:eastAsia="en-US"/>
        </w:rPr>
        <w:t>3.1.2</w:t>
      </w:r>
      <w:r>
        <w:rPr>
          <w:lang w:eastAsia="en-US"/>
        </w:rPr>
        <w:tab/>
        <w:t>R2-2005502 (Cancellation of Random Access procedure)</w:t>
      </w:r>
    </w:p>
    <w:p w14:paraId="59C1C0CD" w14:textId="77777777" w:rsidR="00046610" w:rsidRDefault="00BE77B0">
      <w:pPr>
        <w:pStyle w:val="BodyText"/>
      </w:pPr>
      <w:r>
        <w:t>There is a draft proposal from the rapporteur in the draft CR to replace the existing paragraph. The rapporteur notes the following for the pending SR for BFR on SCell:</w:t>
      </w:r>
    </w:p>
    <w:p w14:paraId="59C1C0CE" w14:textId="77777777" w:rsidR="00046610" w:rsidRDefault="00BE77B0">
      <w:pPr>
        <w:pStyle w:val="BodyText"/>
      </w:pPr>
      <w:r>
        <w:t xml:space="preserve">1. Unlike the SR for BSR there is no text for transmission regardless of LBT failure. </w:t>
      </w:r>
    </w:p>
    <w:p w14:paraId="59C1C0CF" w14:textId="77777777" w:rsidR="00046610" w:rsidRDefault="00BE77B0">
      <w:pPr>
        <w:pStyle w:val="BodyText"/>
      </w:pPr>
      <w:r>
        <w:t>2. Unlike the SR for BSR there is no text about not using a grant for MSGA payload transmission.</w:t>
      </w:r>
    </w:p>
    <w:p w14:paraId="59C1C0D0" w14:textId="77777777" w:rsidR="00046610" w:rsidRDefault="00BE77B0">
      <w:pPr>
        <w:pStyle w:val="BodyText"/>
      </w:pPr>
      <w:r>
        <w:lastRenderedPageBreak/>
        <w:t xml:space="preserve">The rapporteur assumes the reason for this omission is a simple oversight from the Rel-16 work items (2-step RA, NR-U, and MIMO) and that the actions for the two SR types should be aligned. </w:t>
      </w:r>
    </w:p>
    <w:p w14:paraId="59C1C0D1" w14:textId="77777777" w:rsidR="00046610" w:rsidRDefault="00BE77B0">
      <w:pPr>
        <w:pStyle w:val="BodyText"/>
      </w:pPr>
      <w:r>
        <w:t>The rapporteur asks the following questions and invites company inputs.</w:t>
      </w:r>
    </w:p>
    <w:p w14:paraId="59C1C0D2" w14:textId="77777777" w:rsidR="00046610" w:rsidRDefault="00BE77B0">
      <w:pPr>
        <w:pStyle w:val="BodyText"/>
        <w:rPr>
          <w:b/>
          <w:bCs/>
        </w:rPr>
      </w:pPr>
      <w:r>
        <w:rPr>
          <w:b/>
          <w:bCs/>
        </w:rPr>
        <w:t>Q1: Should the case for pending SR for BFR on SCell be aligned to the case for pending SR for BSR in that the MAC PDU is transmitted regardless of LBT failure indication from lower layers?</w:t>
      </w:r>
    </w:p>
    <w:tbl>
      <w:tblPr>
        <w:tblStyle w:val="TableGrid"/>
        <w:tblW w:w="9634" w:type="dxa"/>
        <w:tblLook w:val="04A0" w:firstRow="1" w:lastRow="0" w:firstColumn="1" w:lastColumn="0" w:noHBand="0" w:noVBand="1"/>
      </w:tblPr>
      <w:tblGrid>
        <w:gridCol w:w="1980"/>
        <w:gridCol w:w="7654"/>
      </w:tblGrid>
      <w:tr w:rsidR="00046610" w14:paraId="59C1C0D5" w14:textId="77777777">
        <w:tc>
          <w:tcPr>
            <w:tcW w:w="1980" w:type="dxa"/>
          </w:tcPr>
          <w:p w14:paraId="59C1C0D3" w14:textId="77777777" w:rsidR="00046610" w:rsidRDefault="00BE77B0">
            <w:pPr>
              <w:pStyle w:val="BodyText"/>
              <w:rPr>
                <w:b/>
                <w:bCs/>
                <w:sz w:val="20"/>
                <w:szCs w:val="20"/>
              </w:rPr>
            </w:pPr>
            <w:r>
              <w:rPr>
                <w:b/>
                <w:bCs/>
                <w:sz w:val="20"/>
                <w:szCs w:val="20"/>
              </w:rPr>
              <w:t>Company</w:t>
            </w:r>
          </w:p>
        </w:tc>
        <w:tc>
          <w:tcPr>
            <w:tcW w:w="7654" w:type="dxa"/>
          </w:tcPr>
          <w:p w14:paraId="59C1C0D4" w14:textId="77777777" w:rsidR="00046610" w:rsidRDefault="00BE77B0">
            <w:pPr>
              <w:pStyle w:val="BodyText"/>
              <w:rPr>
                <w:b/>
                <w:bCs/>
                <w:sz w:val="20"/>
                <w:szCs w:val="20"/>
              </w:rPr>
            </w:pPr>
            <w:r>
              <w:rPr>
                <w:b/>
                <w:bCs/>
                <w:sz w:val="20"/>
                <w:szCs w:val="20"/>
              </w:rPr>
              <w:t>Opinion</w:t>
            </w:r>
          </w:p>
        </w:tc>
      </w:tr>
      <w:tr w:rsidR="00046610" w14:paraId="59C1C0D8" w14:textId="77777777">
        <w:tc>
          <w:tcPr>
            <w:tcW w:w="1980" w:type="dxa"/>
          </w:tcPr>
          <w:p w14:paraId="59C1C0D6" w14:textId="77777777" w:rsidR="00046610" w:rsidRDefault="00BE77B0">
            <w:pPr>
              <w:pStyle w:val="BodyText"/>
              <w:rPr>
                <w:rFonts w:eastAsiaTheme="minorEastAsia"/>
                <w:sz w:val="20"/>
                <w:szCs w:val="20"/>
                <w:lang w:eastAsia="ko-KR"/>
              </w:rPr>
            </w:pPr>
            <w:r>
              <w:rPr>
                <w:rFonts w:eastAsiaTheme="minorEastAsia"/>
                <w:sz w:val="20"/>
                <w:szCs w:val="20"/>
                <w:lang w:eastAsia="ko-KR"/>
              </w:rPr>
              <w:t>Ericsson</w:t>
            </w:r>
          </w:p>
        </w:tc>
        <w:tc>
          <w:tcPr>
            <w:tcW w:w="7654" w:type="dxa"/>
          </w:tcPr>
          <w:p w14:paraId="59C1C0D7" w14:textId="77777777" w:rsidR="00046610" w:rsidRDefault="00BE77B0">
            <w:pPr>
              <w:pStyle w:val="BodyText"/>
              <w:rPr>
                <w:rFonts w:eastAsiaTheme="minorEastAsia"/>
                <w:sz w:val="20"/>
                <w:szCs w:val="20"/>
                <w:lang w:eastAsia="ko-KR"/>
              </w:rPr>
            </w:pPr>
            <w:r>
              <w:rPr>
                <w:rFonts w:eastAsiaTheme="minorEastAsia"/>
                <w:sz w:val="20"/>
                <w:szCs w:val="20"/>
                <w:lang w:eastAsia="ko-KR"/>
              </w:rPr>
              <w:t>Yes</w:t>
            </w:r>
          </w:p>
        </w:tc>
      </w:tr>
      <w:tr w:rsidR="00046610" w14:paraId="59C1C0DB" w14:textId="77777777">
        <w:tc>
          <w:tcPr>
            <w:tcW w:w="1980" w:type="dxa"/>
          </w:tcPr>
          <w:p w14:paraId="59C1C0D9" w14:textId="77777777" w:rsidR="00046610" w:rsidRDefault="00BE77B0">
            <w:pPr>
              <w:pStyle w:val="BodyText"/>
              <w:rPr>
                <w:rFonts w:eastAsiaTheme="minorEastAsia"/>
                <w:lang w:eastAsia="ko-KR"/>
              </w:rPr>
            </w:pPr>
            <w:r>
              <w:rPr>
                <w:rFonts w:eastAsiaTheme="minorEastAsia" w:hint="eastAsia"/>
                <w:lang w:eastAsia="ko-KR"/>
              </w:rPr>
              <w:t>LG</w:t>
            </w:r>
          </w:p>
        </w:tc>
        <w:tc>
          <w:tcPr>
            <w:tcW w:w="7654" w:type="dxa"/>
          </w:tcPr>
          <w:p w14:paraId="59C1C0DA" w14:textId="77777777" w:rsidR="00046610" w:rsidRDefault="00BE77B0">
            <w:pPr>
              <w:pStyle w:val="BodyText"/>
              <w:rPr>
                <w:rFonts w:eastAsiaTheme="minorEastAsia"/>
                <w:lang w:eastAsia="ko-KR"/>
              </w:rPr>
            </w:pPr>
            <w:r>
              <w:rPr>
                <w:rFonts w:eastAsiaTheme="minorEastAsia" w:hint="eastAsia"/>
                <w:lang w:eastAsia="ko-KR"/>
              </w:rPr>
              <w:t>Yes</w:t>
            </w:r>
          </w:p>
        </w:tc>
      </w:tr>
    </w:tbl>
    <w:p w14:paraId="59C1C0DC" w14:textId="77777777" w:rsidR="00046610" w:rsidRDefault="00046610">
      <w:pPr>
        <w:pStyle w:val="BodyText"/>
      </w:pPr>
    </w:p>
    <w:p w14:paraId="59C1C0DD" w14:textId="77777777" w:rsidR="00046610" w:rsidRDefault="00BE77B0">
      <w:pPr>
        <w:pStyle w:val="BodyText"/>
        <w:rPr>
          <w:b/>
          <w:bCs/>
        </w:rPr>
      </w:pPr>
      <w:r>
        <w:rPr>
          <w:b/>
          <w:bCs/>
        </w:rPr>
        <w:t xml:space="preserve">Q2: Should the case for pending SR for BFR on SCell be aligned to the case for pending SR for BSR in that the transmission of the MAC PDU must be done using an uplink grant which is not </w:t>
      </w:r>
      <w:r>
        <w:rPr>
          <w:b/>
          <w:bCs/>
          <w:noProof/>
        </w:rPr>
        <w:t>determined as specified in clause 5.1.2a for the transmission of the MSGA payload (in addition to the existing case about not using UL grants provided by Random Access Response)?</w:t>
      </w:r>
    </w:p>
    <w:tbl>
      <w:tblPr>
        <w:tblStyle w:val="TableGrid"/>
        <w:tblW w:w="9634" w:type="dxa"/>
        <w:tblLook w:val="04A0" w:firstRow="1" w:lastRow="0" w:firstColumn="1" w:lastColumn="0" w:noHBand="0" w:noVBand="1"/>
      </w:tblPr>
      <w:tblGrid>
        <w:gridCol w:w="1980"/>
        <w:gridCol w:w="7654"/>
      </w:tblGrid>
      <w:tr w:rsidR="00046610" w14:paraId="59C1C0E0" w14:textId="77777777">
        <w:tc>
          <w:tcPr>
            <w:tcW w:w="1980" w:type="dxa"/>
          </w:tcPr>
          <w:p w14:paraId="59C1C0DE" w14:textId="77777777" w:rsidR="00046610" w:rsidRDefault="00BE77B0">
            <w:pPr>
              <w:pStyle w:val="BodyText"/>
              <w:rPr>
                <w:b/>
                <w:bCs/>
                <w:sz w:val="20"/>
                <w:szCs w:val="20"/>
              </w:rPr>
            </w:pPr>
            <w:r>
              <w:rPr>
                <w:b/>
                <w:bCs/>
                <w:sz w:val="20"/>
                <w:szCs w:val="20"/>
              </w:rPr>
              <w:t>Company</w:t>
            </w:r>
          </w:p>
        </w:tc>
        <w:tc>
          <w:tcPr>
            <w:tcW w:w="7654" w:type="dxa"/>
          </w:tcPr>
          <w:p w14:paraId="59C1C0DF" w14:textId="77777777" w:rsidR="00046610" w:rsidRDefault="00BE77B0">
            <w:pPr>
              <w:pStyle w:val="BodyText"/>
              <w:rPr>
                <w:b/>
                <w:bCs/>
                <w:sz w:val="20"/>
                <w:szCs w:val="20"/>
              </w:rPr>
            </w:pPr>
            <w:r>
              <w:rPr>
                <w:b/>
                <w:bCs/>
                <w:sz w:val="20"/>
                <w:szCs w:val="20"/>
              </w:rPr>
              <w:t>Opinion</w:t>
            </w:r>
          </w:p>
        </w:tc>
      </w:tr>
      <w:tr w:rsidR="00046610" w14:paraId="59C1C0E3" w14:textId="77777777">
        <w:tc>
          <w:tcPr>
            <w:tcW w:w="1980" w:type="dxa"/>
          </w:tcPr>
          <w:p w14:paraId="59C1C0E1" w14:textId="77777777" w:rsidR="00046610" w:rsidRDefault="00BE77B0">
            <w:pPr>
              <w:pStyle w:val="BodyText"/>
              <w:rPr>
                <w:rFonts w:eastAsiaTheme="minorEastAsia"/>
                <w:sz w:val="20"/>
                <w:szCs w:val="20"/>
                <w:lang w:eastAsia="ko-KR"/>
              </w:rPr>
            </w:pPr>
            <w:r>
              <w:rPr>
                <w:rFonts w:eastAsiaTheme="minorEastAsia"/>
                <w:sz w:val="20"/>
                <w:szCs w:val="20"/>
                <w:lang w:eastAsia="ko-KR"/>
              </w:rPr>
              <w:t>Ericsson</w:t>
            </w:r>
          </w:p>
        </w:tc>
        <w:tc>
          <w:tcPr>
            <w:tcW w:w="7654" w:type="dxa"/>
          </w:tcPr>
          <w:p w14:paraId="59C1C0E2" w14:textId="77777777" w:rsidR="00046610" w:rsidRDefault="00BE77B0">
            <w:pPr>
              <w:pStyle w:val="BodyText"/>
              <w:rPr>
                <w:rFonts w:eastAsiaTheme="minorEastAsia"/>
                <w:sz w:val="20"/>
                <w:szCs w:val="20"/>
                <w:lang w:eastAsia="ko-KR"/>
              </w:rPr>
            </w:pPr>
            <w:r>
              <w:rPr>
                <w:rFonts w:eastAsiaTheme="minorEastAsia"/>
                <w:sz w:val="20"/>
                <w:szCs w:val="20"/>
                <w:lang w:eastAsia="ko-KR"/>
              </w:rPr>
              <w:t>Yes</w:t>
            </w:r>
          </w:p>
        </w:tc>
      </w:tr>
      <w:tr w:rsidR="00046610" w14:paraId="59C1C0E6" w14:textId="77777777">
        <w:tc>
          <w:tcPr>
            <w:tcW w:w="1980" w:type="dxa"/>
          </w:tcPr>
          <w:p w14:paraId="59C1C0E4" w14:textId="77777777" w:rsidR="00046610" w:rsidRDefault="00BE77B0">
            <w:pPr>
              <w:pStyle w:val="BodyText"/>
              <w:rPr>
                <w:rFonts w:eastAsiaTheme="minorEastAsia"/>
                <w:lang w:eastAsia="ko-KR"/>
              </w:rPr>
            </w:pPr>
            <w:r>
              <w:rPr>
                <w:rFonts w:eastAsiaTheme="minorEastAsia" w:hint="eastAsia"/>
                <w:lang w:eastAsia="ko-KR"/>
              </w:rPr>
              <w:t>LG</w:t>
            </w:r>
          </w:p>
        </w:tc>
        <w:tc>
          <w:tcPr>
            <w:tcW w:w="7654" w:type="dxa"/>
          </w:tcPr>
          <w:p w14:paraId="59C1C0E5" w14:textId="77777777" w:rsidR="00046610" w:rsidRDefault="00BE77B0">
            <w:pPr>
              <w:pStyle w:val="BodyText"/>
              <w:rPr>
                <w:rFonts w:eastAsiaTheme="minorEastAsia"/>
                <w:lang w:eastAsia="ko-KR"/>
              </w:rPr>
            </w:pPr>
            <w:r>
              <w:rPr>
                <w:rFonts w:eastAsiaTheme="minorEastAsia" w:hint="eastAsia"/>
                <w:lang w:eastAsia="ko-KR"/>
              </w:rPr>
              <w:t>Yes</w:t>
            </w:r>
          </w:p>
        </w:tc>
      </w:tr>
    </w:tbl>
    <w:p w14:paraId="59C1C0E7" w14:textId="2CB8654D" w:rsidR="00046610" w:rsidRDefault="00046610">
      <w:pPr>
        <w:pStyle w:val="BodyText"/>
      </w:pPr>
    </w:p>
    <w:p w14:paraId="25429C32" w14:textId="48F0B262" w:rsidR="00BB5625" w:rsidRDefault="00CC63C4" w:rsidP="00BB5625">
      <w:pPr>
        <w:pStyle w:val="BodyText"/>
      </w:pPr>
      <w:r>
        <w:t xml:space="preserve">The rapporteur notes that in the NR-U work the </w:t>
      </w:r>
      <w:r w:rsidRPr="00CC63C4">
        <w:t xml:space="preserve">definition when an LBT procedure is performed for a transmission has changed, which prompts the removal of all “regardless of LBT failure indication from lower layers”. </w:t>
      </w:r>
      <w:r w:rsidR="00FA724C" w:rsidRPr="00CC63C4">
        <w:t>Thus,</w:t>
      </w:r>
      <w:bookmarkStart w:id="6" w:name="_GoBack"/>
      <w:bookmarkEnd w:id="6"/>
      <w:r w:rsidRPr="00CC63C4">
        <w:t xml:space="preserve"> we should not add any more</w:t>
      </w:r>
      <w:r w:rsidR="002B1471">
        <w:t xml:space="preserve"> as the questions above suggest</w:t>
      </w:r>
      <w:r w:rsidRPr="00CC63C4">
        <w:t>. Please disregard th</w:t>
      </w:r>
      <w:r>
        <w:t>e above questions. Furthermore, the input from the MAC rapporteur applies to this CR too.</w:t>
      </w:r>
    </w:p>
    <w:p w14:paraId="59C1C0E8" w14:textId="0F50AE7D" w:rsidR="00046610" w:rsidRDefault="00BE77B0" w:rsidP="00BB5625">
      <w:pPr>
        <w:pStyle w:val="Heading3"/>
      </w:pPr>
      <w:r>
        <w:t>3.1.3</w:t>
      </w:r>
      <w:r>
        <w:tab/>
        <w:t>R2-2005501 and R2-2005562</w:t>
      </w:r>
    </w:p>
    <w:p w14:paraId="59C1C0E9" w14:textId="77777777" w:rsidR="00046610" w:rsidRDefault="00BE77B0">
      <w:pPr>
        <w:pStyle w:val="BodyText"/>
      </w:pPr>
      <w:r>
        <w:t>Rapporteur thinks these CRs are quite simple and can be implemented as is. Companies are invited to comment if they disagree or have suggestions for minor related corrections, improvements, or similar.</w:t>
      </w:r>
    </w:p>
    <w:tbl>
      <w:tblPr>
        <w:tblStyle w:val="TableGrid"/>
        <w:tblW w:w="9634" w:type="dxa"/>
        <w:tblLook w:val="04A0" w:firstRow="1" w:lastRow="0" w:firstColumn="1" w:lastColumn="0" w:noHBand="0" w:noVBand="1"/>
      </w:tblPr>
      <w:tblGrid>
        <w:gridCol w:w="1980"/>
        <w:gridCol w:w="7654"/>
      </w:tblGrid>
      <w:tr w:rsidR="00046610" w14:paraId="59C1C0EC" w14:textId="77777777">
        <w:tc>
          <w:tcPr>
            <w:tcW w:w="1980" w:type="dxa"/>
          </w:tcPr>
          <w:p w14:paraId="59C1C0EA" w14:textId="77777777" w:rsidR="00046610" w:rsidRDefault="00BE77B0">
            <w:pPr>
              <w:pStyle w:val="BodyText"/>
              <w:rPr>
                <w:b/>
                <w:bCs/>
                <w:sz w:val="20"/>
                <w:szCs w:val="20"/>
              </w:rPr>
            </w:pPr>
            <w:r>
              <w:rPr>
                <w:b/>
                <w:bCs/>
                <w:sz w:val="20"/>
                <w:szCs w:val="20"/>
              </w:rPr>
              <w:t>Company</w:t>
            </w:r>
          </w:p>
        </w:tc>
        <w:tc>
          <w:tcPr>
            <w:tcW w:w="7654" w:type="dxa"/>
          </w:tcPr>
          <w:p w14:paraId="59C1C0EB" w14:textId="77777777" w:rsidR="00046610" w:rsidRDefault="00BE77B0">
            <w:pPr>
              <w:pStyle w:val="BodyText"/>
              <w:rPr>
                <w:b/>
                <w:bCs/>
                <w:sz w:val="20"/>
                <w:szCs w:val="20"/>
              </w:rPr>
            </w:pPr>
            <w:r>
              <w:rPr>
                <w:b/>
                <w:bCs/>
                <w:sz w:val="20"/>
                <w:szCs w:val="20"/>
              </w:rPr>
              <w:t>Opinion</w:t>
            </w:r>
          </w:p>
        </w:tc>
      </w:tr>
      <w:tr w:rsidR="00046610" w14:paraId="59C1C0EF" w14:textId="77777777">
        <w:tc>
          <w:tcPr>
            <w:tcW w:w="1980" w:type="dxa"/>
          </w:tcPr>
          <w:p w14:paraId="59C1C0ED" w14:textId="77777777" w:rsidR="00046610" w:rsidRDefault="00046610">
            <w:pPr>
              <w:pStyle w:val="BodyText"/>
              <w:rPr>
                <w:rFonts w:eastAsiaTheme="minorEastAsia"/>
                <w:sz w:val="20"/>
                <w:szCs w:val="20"/>
                <w:lang w:eastAsia="ko-KR"/>
              </w:rPr>
            </w:pPr>
          </w:p>
        </w:tc>
        <w:tc>
          <w:tcPr>
            <w:tcW w:w="7654" w:type="dxa"/>
          </w:tcPr>
          <w:p w14:paraId="59C1C0EE" w14:textId="77777777" w:rsidR="00046610" w:rsidRDefault="00046610">
            <w:pPr>
              <w:pStyle w:val="BodyText"/>
              <w:rPr>
                <w:rFonts w:eastAsiaTheme="minorEastAsia"/>
                <w:sz w:val="20"/>
                <w:szCs w:val="20"/>
                <w:lang w:eastAsia="ko-KR"/>
              </w:rPr>
            </w:pPr>
          </w:p>
        </w:tc>
      </w:tr>
    </w:tbl>
    <w:p w14:paraId="59C1C0F0" w14:textId="77777777" w:rsidR="00046610" w:rsidRDefault="00BE77B0">
      <w:pPr>
        <w:pStyle w:val="Heading2"/>
      </w:pPr>
      <w:r>
        <w:t>3.2 Conclusion</w:t>
      </w:r>
    </w:p>
    <w:p w14:paraId="41F7C054" w14:textId="01B9BF30" w:rsidR="00CC63C4" w:rsidRDefault="00CC63C4">
      <w:pPr>
        <w:pStyle w:val="BodyText"/>
      </w:pPr>
      <w:r>
        <w:t>The rapporteur proposes the following way forward:</w:t>
      </w:r>
    </w:p>
    <w:p w14:paraId="42AF65F2" w14:textId="77777777" w:rsidR="00BB5625" w:rsidRDefault="00BB5625" w:rsidP="00BB5625">
      <w:pPr>
        <w:pStyle w:val="Doc-title"/>
      </w:pPr>
      <w:hyperlink r:id="rId19" w:tooltip="D:Documents3GPPtsg_ranWG2TSGR2_110-eDocsR2-2005562.zip" w:history="1">
        <w:r w:rsidRPr="0055203B">
          <w:rPr>
            <w:rStyle w:val="Hyperlink"/>
          </w:rPr>
          <w:t>R2-2005562</w:t>
        </w:r>
      </w:hyperlink>
      <w:r>
        <w:tab/>
        <w:t>Handling of unexpected eLCID values.</w:t>
      </w:r>
      <w:r>
        <w:tab/>
        <w:t>ASUSTeK</w:t>
      </w:r>
      <w:r>
        <w:tab/>
        <w:t>discussion</w:t>
      </w:r>
      <w:r>
        <w:tab/>
        <w:t>Rel-16</w:t>
      </w:r>
      <w:r>
        <w:tab/>
        <w:t>38.321</w:t>
      </w:r>
    </w:p>
    <w:p w14:paraId="5DE6DEA3" w14:textId="77777777" w:rsidR="00BB5625" w:rsidRDefault="00BB5625" w:rsidP="00BB5625">
      <w:pPr>
        <w:pStyle w:val="BodyText"/>
        <w:rPr>
          <w:b/>
          <w:bCs/>
        </w:rPr>
      </w:pPr>
      <w:r>
        <w:rPr>
          <w:b/>
          <w:bCs/>
        </w:rPr>
        <w:t>[062] The contribution is noted and its TP is merged with R2-2005501.</w:t>
      </w:r>
    </w:p>
    <w:p w14:paraId="38CA4A96" w14:textId="3A99BEC1" w:rsidR="00883A91" w:rsidRDefault="00883A91" w:rsidP="00883A91">
      <w:pPr>
        <w:pStyle w:val="Doc-title"/>
      </w:pPr>
      <w:hyperlink r:id="rId20" w:tooltip="D:Documents3GPPtsg_ranWG2TSGR2_110-eDocsR2-2005501.zip" w:history="1">
        <w:r w:rsidRPr="0055203B">
          <w:rPr>
            <w:rStyle w:val="Hyperlink"/>
          </w:rPr>
          <w:t>R2-2005501</w:t>
        </w:r>
      </w:hyperlink>
      <w:r>
        <w:tab/>
        <w:t>38321 CR Clarification on eLCID</w:t>
      </w:r>
      <w:r>
        <w:tab/>
        <w:t>LG Electronics Inc., MediaTek</w:t>
      </w:r>
      <w:r>
        <w:tab/>
        <w:t>CR</w:t>
      </w:r>
      <w:r>
        <w:tab/>
        <w:t>Rel-16</w:t>
      </w:r>
      <w:r>
        <w:tab/>
        <w:t>38.321</w:t>
      </w:r>
      <w:r>
        <w:tab/>
        <w:t>16.0.0</w:t>
      </w:r>
      <w:r>
        <w:tab/>
        <w:t>0752</w:t>
      </w:r>
      <w:r>
        <w:tab/>
        <w:t>-</w:t>
      </w:r>
      <w:r>
        <w:tab/>
        <w:t>F</w:t>
      </w:r>
      <w:r>
        <w:tab/>
        <w:t>TEI16</w:t>
      </w:r>
    </w:p>
    <w:p w14:paraId="51D77CB0" w14:textId="6B0271E1" w:rsidR="00CC63C4" w:rsidRDefault="00CC63C4" w:rsidP="00CC63C4">
      <w:pPr>
        <w:pStyle w:val="BodyText"/>
        <w:rPr>
          <w:b/>
          <w:bCs/>
        </w:rPr>
      </w:pPr>
      <w:r>
        <w:rPr>
          <w:b/>
          <w:bCs/>
        </w:rPr>
        <w:t xml:space="preserve">[062] The CR is revised to </w:t>
      </w:r>
      <w:r w:rsidR="002B1471">
        <w:rPr>
          <w:b/>
          <w:bCs/>
        </w:rPr>
        <w:t xml:space="preserve">include </w:t>
      </w:r>
      <w:r>
        <w:rPr>
          <w:b/>
          <w:bCs/>
        </w:rPr>
        <w:t xml:space="preserve">the </w:t>
      </w:r>
      <w:r w:rsidR="002B1471">
        <w:rPr>
          <w:b/>
          <w:bCs/>
        </w:rPr>
        <w:t>TP from R2-2005562. Revised in R2-2</w:t>
      </w:r>
      <w:r w:rsidR="00883A91">
        <w:rPr>
          <w:b/>
          <w:bCs/>
        </w:rPr>
        <w:t>006231</w:t>
      </w:r>
      <w:r w:rsidR="002B1471">
        <w:rPr>
          <w:b/>
          <w:bCs/>
        </w:rPr>
        <w:t>.</w:t>
      </w:r>
    </w:p>
    <w:p w14:paraId="44EAEA99" w14:textId="7B1C9F7E" w:rsidR="00883A91" w:rsidRDefault="00883A91" w:rsidP="00CC63C4">
      <w:pPr>
        <w:pStyle w:val="BodyText"/>
      </w:pPr>
      <w:hyperlink r:id="rId21" w:history="1">
        <w:r w:rsidRPr="00883A91">
          <w:rPr>
            <w:rStyle w:val="Hyperlink"/>
          </w:rPr>
          <w:t>R2-2006231</w:t>
        </w:r>
      </w:hyperlink>
      <w:r>
        <w:tab/>
        <w:t>Clarification on eLCID</w:t>
      </w:r>
      <w:r>
        <w:tab/>
      </w:r>
      <w:r w:rsidRPr="00883A91">
        <w:t>LG Electronics Inc., MediaTek</w:t>
      </w:r>
      <w:r>
        <w:tab/>
      </w:r>
      <w:r w:rsidRPr="00883A91">
        <w:t>CR</w:t>
      </w:r>
      <w:r>
        <w:tab/>
      </w:r>
      <w:r w:rsidRPr="00883A91">
        <w:t>Rel-16</w:t>
      </w:r>
      <w:r>
        <w:tab/>
      </w:r>
      <w:r w:rsidRPr="00883A91">
        <w:t>38.321</w:t>
      </w:r>
      <w:r>
        <w:tab/>
      </w:r>
      <w:r w:rsidRPr="00883A91">
        <w:t>16.0.0</w:t>
      </w:r>
      <w:r>
        <w:tab/>
      </w:r>
      <w:r w:rsidRPr="00883A91">
        <w:t>0752</w:t>
      </w:r>
      <w:r>
        <w:tab/>
        <w:t>1</w:t>
      </w:r>
      <w:r>
        <w:tab/>
      </w:r>
      <w:r w:rsidRPr="00883A91">
        <w:t>F</w:t>
      </w:r>
      <w:r>
        <w:tab/>
      </w:r>
      <w:r w:rsidRPr="00883A91">
        <w:t>TEI16</w:t>
      </w:r>
    </w:p>
    <w:p w14:paraId="1087092A" w14:textId="4A560881" w:rsidR="00883A91" w:rsidRPr="00883A91" w:rsidRDefault="00883A91" w:rsidP="00CC63C4">
      <w:pPr>
        <w:pStyle w:val="BodyText"/>
        <w:rPr>
          <w:b/>
          <w:bCs/>
        </w:rPr>
      </w:pPr>
      <w:r w:rsidRPr="00883A91">
        <w:rPr>
          <w:b/>
          <w:bCs/>
        </w:rPr>
        <w:t>[062] The CR is agreed.</w:t>
      </w:r>
    </w:p>
    <w:p w14:paraId="6F37D8CA" w14:textId="77777777" w:rsidR="00883A91" w:rsidRDefault="00883A91" w:rsidP="00883A91">
      <w:pPr>
        <w:pStyle w:val="Doc-title"/>
      </w:pPr>
      <w:hyperlink r:id="rId22" w:tooltip="D:Documents3GPPtsg_ranWG2TSGR2_110-eDocsR2-2005502.zip" w:history="1">
        <w:r w:rsidRPr="0055203B">
          <w:rPr>
            <w:rStyle w:val="Hyperlink"/>
          </w:rPr>
          <w:t>R2-2005502</w:t>
        </w:r>
      </w:hyperlink>
      <w:r>
        <w:tab/>
        <w:t>Stopping ongoing Random Access procedure</w:t>
      </w:r>
      <w:r>
        <w:tab/>
        <w:t>LG Electronics Inc.</w:t>
      </w:r>
      <w:r>
        <w:tab/>
        <w:t>discussion</w:t>
      </w:r>
      <w:r>
        <w:tab/>
        <w:t>Rel-16</w:t>
      </w:r>
      <w:r>
        <w:tab/>
        <w:t>TEI16</w:t>
      </w:r>
    </w:p>
    <w:p w14:paraId="13FB7E84" w14:textId="2EA8968F" w:rsidR="002B1471" w:rsidRPr="002B1471" w:rsidRDefault="002B1471" w:rsidP="00883A91">
      <w:pPr>
        <w:pStyle w:val="Doc-title"/>
        <w:rPr>
          <w:b/>
          <w:bCs/>
        </w:rPr>
      </w:pPr>
      <w:r>
        <w:rPr>
          <w:b/>
          <w:bCs/>
        </w:rPr>
        <w:t>[062] The contribution is noted.</w:t>
      </w:r>
    </w:p>
    <w:p w14:paraId="50AC2C5A" w14:textId="77777777" w:rsidR="00883A91" w:rsidRDefault="00883A91" w:rsidP="00883A91">
      <w:pPr>
        <w:pStyle w:val="Doc-title"/>
      </w:pPr>
      <w:hyperlink r:id="rId23" w:tooltip="D:Documents3GPPtsg_ranWG2TSGR2_110-eDocsR2-2005328.zip" w:history="1">
        <w:r w:rsidRPr="0055203B">
          <w:rPr>
            <w:rStyle w:val="Hyperlink"/>
          </w:rPr>
          <w:t>R2-2005328</w:t>
        </w:r>
      </w:hyperlink>
      <w:r>
        <w:tab/>
        <w:t>Alignment of SR clause</w:t>
      </w:r>
      <w:r>
        <w:tab/>
        <w:t>Ericsson, Samsung</w:t>
      </w:r>
      <w:r>
        <w:tab/>
        <w:t>CR</w:t>
      </w:r>
      <w:r>
        <w:tab/>
        <w:t>Rel-16</w:t>
      </w:r>
      <w:r>
        <w:tab/>
        <w:t>38.321</w:t>
      </w:r>
      <w:r>
        <w:tab/>
        <w:t>16.0.0</w:t>
      </w:r>
      <w:r>
        <w:tab/>
        <w:t>0732</w:t>
      </w:r>
      <w:r>
        <w:tab/>
        <w:t>1</w:t>
      </w:r>
      <w:r>
        <w:tab/>
        <w:t>F</w:t>
      </w:r>
      <w:r>
        <w:tab/>
        <w:t>NR_unlic-Core, NR_eMIMO-Core</w:t>
      </w:r>
      <w:r>
        <w:tab/>
      </w:r>
      <w:r w:rsidRPr="0055203B">
        <w:rPr>
          <w:highlight w:val="yellow"/>
        </w:rPr>
        <w:t>R2-2003833</w:t>
      </w:r>
    </w:p>
    <w:p w14:paraId="776DB576" w14:textId="43B5DD7D" w:rsidR="002B1471" w:rsidRDefault="002B1471" w:rsidP="002B1471">
      <w:pPr>
        <w:pStyle w:val="BodyText"/>
        <w:rPr>
          <w:b/>
          <w:bCs/>
        </w:rPr>
      </w:pPr>
      <w:r>
        <w:rPr>
          <w:b/>
          <w:bCs/>
        </w:rPr>
        <w:lastRenderedPageBreak/>
        <w:t>[062] There is support to restructure the paragraph on cancellation of pending SR and the paragraph on cancellation of the Random Access procedure in clause 5.4.4.</w:t>
      </w:r>
    </w:p>
    <w:p w14:paraId="7615F71C" w14:textId="77777777" w:rsidR="00BB5625" w:rsidRDefault="00BB5625" w:rsidP="00BB5625">
      <w:pPr>
        <w:pStyle w:val="BodyText"/>
        <w:rPr>
          <w:b/>
          <w:bCs/>
        </w:rPr>
      </w:pPr>
      <w:r>
        <w:rPr>
          <w:b/>
          <w:bCs/>
        </w:rPr>
        <w:t xml:space="preserve">[062] The CR is postponed for next meeting. </w:t>
      </w:r>
    </w:p>
    <w:p w14:paraId="44A481D7" w14:textId="77777777" w:rsidR="00BB5625" w:rsidRDefault="00BB5625" w:rsidP="002B1471">
      <w:pPr>
        <w:pStyle w:val="BodyText"/>
        <w:rPr>
          <w:b/>
          <w:bCs/>
        </w:rPr>
      </w:pPr>
    </w:p>
    <w:p w14:paraId="59C1C0F1" w14:textId="32FEE90A" w:rsidR="00046610" w:rsidRDefault="00046610" w:rsidP="002B1471">
      <w:pPr>
        <w:pStyle w:val="BodyText"/>
      </w:pPr>
    </w:p>
    <w:sectPr w:rsidR="00046610">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8ADE8" w14:textId="77777777" w:rsidR="005151EE" w:rsidRDefault="005151EE">
      <w:r>
        <w:separator/>
      </w:r>
    </w:p>
  </w:endnote>
  <w:endnote w:type="continuationSeparator" w:id="0">
    <w:p w14:paraId="3D1E2323" w14:textId="77777777" w:rsidR="005151EE" w:rsidRDefault="0051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C0F7" w14:textId="77777777" w:rsidR="00046610" w:rsidRDefault="00BE77B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09A1C" w14:textId="77777777" w:rsidR="005151EE" w:rsidRDefault="005151EE">
      <w:r>
        <w:separator/>
      </w:r>
    </w:p>
  </w:footnote>
  <w:footnote w:type="continuationSeparator" w:id="0">
    <w:p w14:paraId="49073A06" w14:textId="77777777" w:rsidR="005151EE" w:rsidRDefault="0051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1C0F6" w14:textId="77777777" w:rsidR="00046610" w:rsidRDefault="00BE77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E825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9ED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663E5B"/>
    <w:multiLevelType w:val="hybridMultilevel"/>
    <w:tmpl w:val="D56E84E4"/>
    <w:lvl w:ilvl="0" w:tplc="D4F2C45E">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E2NzIyMTYzMDdX0lEKTi0uzszPAykwrAUAG/BH6ywAAAA="/>
  </w:docVars>
  <w:rsids>
    <w:rsidRoot w:val="00046610"/>
    <w:rsid w:val="00020ED7"/>
    <w:rsid w:val="00046610"/>
    <w:rsid w:val="002B1471"/>
    <w:rsid w:val="005151EE"/>
    <w:rsid w:val="00883A91"/>
    <w:rsid w:val="00A33BC9"/>
    <w:rsid w:val="00BB5625"/>
    <w:rsid w:val="00BE77B0"/>
    <w:rsid w:val="00CC63C4"/>
    <w:rsid w:val="00FA724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C1C00D"/>
  <w15:docId w15:val="{976C0B99-D4BE-4B1B-A4EF-C107D9B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CharChar7">
    <w:name w:val="Char Char7"/>
    <w:rsid w:val="00883A91"/>
    <w:rPr>
      <w:rFonts w:ascii="Arial" w:eastAsia="MS Mincho" w:hAnsi="Arial" w:cs="Arial"/>
      <w:b/>
      <w:bCs/>
      <w:iCs/>
      <w:sz w:val="28"/>
      <w:szCs w:val="28"/>
      <w:lang w:val="en-GB" w:eastAsia="en-GB" w:bidi="ar-SA"/>
    </w:rPr>
  </w:style>
  <w:style w:type="character" w:styleId="UnresolvedMention">
    <w:name w:val="Unresolved Mention"/>
    <w:basedOn w:val="DefaultParagraphFont"/>
    <w:uiPriority w:val="99"/>
    <w:semiHidden/>
    <w:unhideWhenUsed/>
    <w:rsid w:val="0088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3596">
      <w:bodyDiv w:val="1"/>
      <w:marLeft w:val="0"/>
      <w:marRight w:val="0"/>
      <w:marTop w:val="0"/>
      <w:marBottom w:val="0"/>
      <w:divBdr>
        <w:top w:val="none" w:sz="0" w:space="0" w:color="auto"/>
        <w:left w:val="none" w:sz="0" w:space="0" w:color="auto"/>
        <w:bottom w:val="none" w:sz="0" w:space="0" w:color="auto"/>
        <w:right w:val="none" w:sz="0" w:space="0" w:color="auto"/>
      </w:divBdr>
    </w:div>
    <w:div w:id="170800001">
      <w:bodyDiv w:val="1"/>
      <w:marLeft w:val="0"/>
      <w:marRight w:val="0"/>
      <w:marTop w:val="0"/>
      <w:marBottom w:val="0"/>
      <w:divBdr>
        <w:top w:val="none" w:sz="0" w:space="0" w:color="auto"/>
        <w:left w:val="none" w:sz="0" w:space="0" w:color="auto"/>
        <w:bottom w:val="none" w:sz="0" w:space="0" w:color="auto"/>
        <w:right w:val="none" w:sz="0" w:space="0" w:color="auto"/>
      </w:divBdr>
    </w:div>
    <w:div w:id="842746518">
      <w:bodyDiv w:val="1"/>
      <w:marLeft w:val="0"/>
      <w:marRight w:val="0"/>
      <w:marTop w:val="0"/>
      <w:marBottom w:val="0"/>
      <w:divBdr>
        <w:top w:val="none" w:sz="0" w:space="0" w:color="auto"/>
        <w:left w:val="none" w:sz="0" w:space="0" w:color="auto"/>
        <w:bottom w:val="none" w:sz="0" w:space="0" w:color="auto"/>
        <w:right w:val="none" w:sz="0" w:space="0" w:color="auto"/>
      </w:divBdr>
    </w:div>
    <w:div w:id="945312022">
      <w:bodyDiv w:val="1"/>
      <w:marLeft w:val="0"/>
      <w:marRight w:val="0"/>
      <w:marTop w:val="0"/>
      <w:marBottom w:val="0"/>
      <w:divBdr>
        <w:top w:val="none" w:sz="0" w:space="0" w:color="auto"/>
        <w:left w:val="none" w:sz="0" w:space="0" w:color="auto"/>
        <w:bottom w:val="none" w:sz="0" w:space="0" w:color="auto"/>
        <w:right w:val="none" w:sz="0" w:space="0" w:color="auto"/>
      </w:divBdr>
    </w:div>
    <w:div w:id="1503086740">
      <w:bodyDiv w:val="1"/>
      <w:marLeft w:val="0"/>
      <w:marRight w:val="0"/>
      <w:marTop w:val="0"/>
      <w:marBottom w:val="0"/>
      <w:divBdr>
        <w:top w:val="none" w:sz="0" w:space="0" w:color="auto"/>
        <w:left w:val="none" w:sz="0" w:space="0" w:color="auto"/>
        <w:bottom w:val="none" w:sz="0" w:space="0" w:color="auto"/>
        <w:right w:val="none" w:sz="0" w:space="0" w:color="auto"/>
      </w:divBdr>
    </w:div>
    <w:div w:id="1593971742">
      <w:bodyDiv w:val="1"/>
      <w:marLeft w:val="0"/>
      <w:marRight w:val="0"/>
      <w:marTop w:val="0"/>
      <w:marBottom w:val="0"/>
      <w:divBdr>
        <w:top w:val="none" w:sz="0" w:space="0" w:color="auto"/>
        <w:left w:val="none" w:sz="0" w:space="0" w:color="auto"/>
        <w:bottom w:val="none" w:sz="0" w:space="0" w:color="auto"/>
        <w:right w:val="none" w:sz="0" w:space="0" w:color="auto"/>
      </w:divBdr>
    </w:div>
    <w:div w:id="1620259253">
      <w:bodyDiv w:val="1"/>
      <w:marLeft w:val="0"/>
      <w:marRight w:val="0"/>
      <w:marTop w:val="0"/>
      <w:marBottom w:val="0"/>
      <w:divBdr>
        <w:top w:val="none" w:sz="0" w:space="0" w:color="auto"/>
        <w:left w:val="none" w:sz="0" w:space="0" w:color="auto"/>
        <w:bottom w:val="none" w:sz="0" w:space="0" w:color="auto"/>
        <w:right w:val="none" w:sz="0" w:space="0" w:color="auto"/>
      </w:divBdr>
    </w:div>
    <w:div w:id="1763602526">
      <w:bodyDiv w:val="1"/>
      <w:marLeft w:val="0"/>
      <w:marRight w:val="0"/>
      <w:marTop w:val="0"/>
      <w:marBottom w:val="0"/>
      <w:divBdr>
        <w:top w:val="none" w:sz="0" w:space="0" w:color="auto"/>
        <w:left w:val="none" w:sz="0" w:space="0" w:color="auto"/>
        <w:bottom w:val="none" w:sz="0" w:space="0" w:color="auto"/>
        <w:right w:val="none" w:sz="0" w:space="0" w:color="auto"/>
      </w:divBdr>
    </w:div>
    <w:div w:id="1979989308">
      <w:bodyDiv w:val="1"/>
      <w:marLeft w:val="0"/>
      <w:marRight w:val="0"/>
      <w:marTop w:val="0"/>
      <w:marBottom w:val="0"/>
      <w:divBdr>
        <w:top w:val="none" w:sz="0" w:space="0" w:color="auto"/>
        <w:left w:val="none" w:sz="0" w:space="0" w:color="auto"/>
        <w:bottom w:val="none" w:sz="0" w:space="0" w:color="auto"/>
        <w:right w:val="none" w:sz="0" w:space="0" w:color="auto"/>
      </w:divBdr>
    </w:div>
    <w:div w:id="21051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openxmlformats.org/officeDocument/2006/relationships/hyperlink" Target="http://www.3gpp.org/ftp/tsg_ran/WG2_RL2/TSGR2_110-e/Docs/R2-200550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0-e/Docs/R2-2006231.zip" TargetMode="Externa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hyperlink" Target="http://www.3gpp.org/ftp/tsg_ran/WG2_RL2/TSGR2_110-e/Docs/R2-200532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gpp.org/ftp/tsg_ran/WG2_RL2/TSGR2_110-e/Docs/R2-2005562.zip" TargetMode="External"/><Relationship Id="rId20" Type="http://schemas.openxmlformats.org/officeDocument/2006/relationships/hyperlink" Target="http://www.3gpp.org/ftp/tsg_ran/WG2_RL2/TSGR2_110-e/Docs/R2-200550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3gpp.org/ftp/tsg_ran/WG2_RL2/TSGR2_110-e/Docs/R2-2005501.zip" TargetMode="External"/><Relationship Id="rId23" Type="http://schemas.openxmlformats.org/officeDocument/2006/relationships/hyperlink" Target="file:///D:\Documents\3GPP\tsg_ran\WG2\TSGR2_110-e\Docs\R2-2005328.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5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 Id="rId22" Type="http://schemas.openxmlformats.org/officeDocument/2006/relationships/hyperlink" Target="file:///D:\Documents\3GPP\tsg_ran\WG2\TSGR2_110-e\Docs\R2-2005502.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DC83004-40F8-4C53-AD21-AE369D5B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2049</Words>
  <Characters>10430</Characters>
  <Application>Microsoft Office Word</Application>
  <DocSecurity>0</DocSecurity>
  <Lines>306</Lines>
  <Paragraphs>235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12244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Rapporteur_v03</cp:lastModifiedBy>
  <cp:revision>3</cp:revision>
  <cp:lastPrinted>2008-01-31T07:09:00Z</cp:lastPrinted>
  <dcterms:created xsi:type="dcterms:W3CDTF">2020-06-10T13:16:00Z</dcterms:created>
  <dcterms:modified xsi:type="dcterms:W3CDTF">2020-06-10T13:27:00Z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