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FA7371C" w:rsidR="00A209D6" w:rsidRPr="00D1695D" w:rsidRDefault="00A209D6" w:rsidP="001D0831">
      <w:pPr>
        <w:pStyle w:val="Header"/>
        <w:tabs>
          <w:tab w:val="left" w:pos="4678"/>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04EA961B"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DA0827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65C2D">
        <w:rPr>
          <w:rFonts w:cs="Arial"/>
          <w:b/>
          <w:bCs/>
          <w:sz w:val="24"/>
        </w:rPr>
        <w:t>7.2.7</w:t>
      </w:r>
    </w:p>
    <w:p w14:paraId="73188B46" w14:textId="62F4EC2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3BD4B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565C2D" w:rsidRPr="00565C2D">
        <w:rPr>
          <w:rFonts w:ascii="Arial" w:hAnsi="Arial" w:cs="Arial"/>
          <w:b/>
          <w:bCs/>
          <w:sz w:val="24"/>
        </w:rPr>
        <w:t>[AT109e][304][NBIOT R16] NRS presence on non-anchor paging carrier</w:t>
      </w:r>
      <w:r w:rsidR="00015464">
        <w:rPr>
          <w:rFonts w:ascii="Arial" w:hAnsi="Arial" w:cs="Arial"/>
          <w:b/>
          <w:bCs/>
          <w:sz w:val="24"/>
        </w:rPr>
        <w:t xml:space="preserve"> (Huawei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2CCBDA17"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7272AC">
        <w:t>‘[</w:t>
      </w:r>
      <w:r w:rsidR="007272AC" w:rsidRPr="007272AC">
        <w:t>AT109e][304][NBIOT R16] NRS presence on non-anchor paging carrier (Huawei)</w:t>
      </w:r>
      <w:r w:rsidR="0092461D" w:rsidRPr="00D1695D">
        <w:t>”</w:t>
      </w:r>
      <w:r w:rsidR="0092461D" w:rsidRPr="00F2046C">
        <w:t>, as indicated below:</w:t>
      </w:r>
    </w:p>
    <w:p w14:paraId="79024902" w14:textId="53D28A4B" w:rsidR="00F2046C" w:rsidRPr="007272AC" w:rsidRDefault="007272AC" w:rsidP="00015464">
      <w:pPr>
        <w:pStyle w:val="EmailDiscussion"/>
        <w:rPr>
          <w:rFonts w:ascii="Times New Roman" w:hAnsi="Times New Roman" w:cs="Times New Roman"/>
        </w:rPr>
      </w:pPr>
      <w:r>
        <w:rPr>
          <w:rFonts w:ascii="Times New Roman" w:hAnsi="Times New Roman" w:cs="Times New Roman"/>
        </w:rPr>
        <w:t>[</w:t>
      </w:r>
      <w:r w:rsidRPr="007272AC">
        <w:rPr>
          <w:rFonts w:ascii="Times New Roman" w:hAnsi="Times New Roman" w:cs="Times New Roman"/>
        </w:rPr>
        <w:t>AT109e][304][NBIOT R16] NRS presence on non-anchor paging carrier (Huawei)</w:t>
      </w:r>
    </w:p>
    <w:p w14:paraId="119E8D8E"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Discuss and review the CRs</w:t>
      </w:r>
    </w:p>
    <w:p w14:paraId="0AA93018" w14:textId="3546BCB2"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xml:space="preserve">: </w:t>
      </w:r>
      <w:r w:rsidR="00565C2D" w:rsidRPr="00565C2D">
        <w:rPr>
          <w:rFonts w:eastAsia="MS Mincho"/>
          <w:szCs w:val="24"/>
          <w:lang w:eastAsia="en-GB"/>
        </w:rPr>
        <w:t>Endorsed TP for main CRs, or deci</w:t>
      </w:r>
      <w:r w:rsidR="00565C2D">
        <w:rPr>
          <w:rFonts w:eastAsia="MS Mincho"/>
          <w:szCs w:val="24"/>
          <w:lang w:eastAsia="en-GB"/>
        </w:rPr>
        <w:t>sion to e.g. postpone/not agree</w:t>
      </w:r>
      <w:r w:rsidRPr="00D1695D">
        <w:rPr>
          <w:rFonts w:eastAsia="MS Mincho"/>
          <w:szCs w:val="24"/>
          <w:lang w:eastAsia="en-GB"/>
        </w:rPr>
        <w:t>.</w:t>
      </w:r>
    </w:p>
    <w:p w14:paraId="17A6C257"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737A513A" w14:textId="59DAFD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007140CD" w:rsidRPr="00D1695D">
        <w:rPr>
          <w:rFonts w:eastAsia="MS Mincho"/>
          <w:szCs w:val="24"/>
          <w:lang w:eastAsia="en-GB"/>
        </w:rPr>
        <w:t>T</w:t>
      </w:r>
      <w:r w:rsidRPr="00D1695D">
        <w:rPr>
          <w:rFonts w:eastAsia="MS Mincho"/>
          <w:szCs w:val="24"/>
          <w:lang w:eastAsia="en-GB"/>
        </w:rPr>
        <w:t xml:space="preserve">imeline: </w:t>
      </w:r>
    </w:p>
    <w:p w14:paraId="3D776155" w14:textId="5564D13A"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C</w:t>
      </w:r>
      <w:r w:rsidR="007140CD" w:rsidRPr="00D1695D">
        <w:rPr>
          <w:rFonts w:ascii="Times New Roman" w:hAnsi="Times New Roman"/>
        </w:rPr>
        <w:t>ompanies input: Wednesd</w:t>
      </w:r>
      <w:r w:rsidRPr="00D1695D">
        <w:rPr>
          <w:rFonts w:ascii="Times New Roman" w:hAnsi="Times New Roman"/>
        </w:rPr>
        <w:t xml:space="preserve">ay, </w:t>
      </w:r>
      <w:r w:rsidR="007140CD" w:rsidRPr="00D1695D">
        <w:rPr>
          <w:rFonts w:ascii="Times New Roman" w:hAnsi="Times New Roman"/>
        </w:rPr>
        <w:t>Mar 04</w:t>
      </w:r>
      <w:r w:rsidRPr="00D1695D">
        <w:rPr>
          <w:rFonts w:ascii="Times New Roman" w:hAnsi="Times New Roman"/>
          <w:vertAlign w:val="superscript"/>
        </w:rPr>
        <w:t>th</w:t>
      </w:r>
      <w:r w:rsidR="007140CD" w:rsidRPr="00D1695D">
        <w:rPr>
          <w:rFonts w:ascii="Times New Roman" w:hAnsi="Times New Roman"/>
        </w:rPr>
        <w:t xml:space="preserve"> 12</w:t>
      </w:r>
      <w:r w:rsidRPr="00D1695D">
        <w:rPr>
          <w:rFonts w:ascii="Times New Roman" w:hAnsi="Times New Roman"/>
        </w:rPr>
        <w:t xml:space="preserve">:00 CET </w:t>
      </w:r>
    </w:p>
    <w:p w14:paraId="27DDD24C" w14:textId="6979F1E4"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Rapporteur summary</w:t>
      </w:r>
      <w:r w:rsidR="00F2046C" w:rsidRPr="00D1695D">
        <w:rPr>
          <w:rFonts w:ascii="Times New Roman" w:hAnsi="Times New Roman"/>
        </w:rPr>
        <w:t xml:space="preserve"> and updated </w:t>
      </w:r>
      <w:r w:rsidR="00565C2D">
        <w:rPr>
          <w:rFonts w:ascii="Times New Roman" w:hAnsi="Times New Roman"/>
        </w:rPr>
        <w:t>TP</w:t>
      </w:r>
      <w:r w:rsidR="00853E41">
        <w:rPr>
          <w:rFonts w:ascii="Times New Roman" w:hAnsi="Times New Roman"/>
        </w:rPr>
        <w:t>s</w:t>
      </w:r>
      <w:r w:rsidR="007140CD" w:rsidRPr="00D1695D">
        <w:rPr>
          <w:rFonts w:ascii="Times New Roman" w:hAnsi="Times New Roman"/>
        </w:rPr>
        <w:t xml:space="preserve"> (if needed)</w:t>
      </w:r>
      <w:r w:rsidRPr="00D1695D">
        <w:rPr>
          <w:rFonts w:ascii="Times New Roman" w:hAnsi="Times New Roman"/>
        </w:rPr>
        <w:t xml:space="preserve">: </w:t>
      </w:r>
      <w:r w:rsidR="007140CD" w:rsidRPr="00D1695D">
        <w:rPr>
          <w:rFonts w:ascii="Times New Roman" w:hAnsi="Times New Roman"/>
        </w:rPr>
        <w:t>Wednesday, Mar 04</w:t>
      </w:r>
      <w:r w:rsidR="007140CD" w:rsidRPr="00D1695D">
        <w:rPr>
          <w:rFonts w:ascii="Times New Roman" w:hAnsi="Times New Roman"/>
          <w:vertAlign w:val="superscript"/>
        </w:rPr>
        <w:t>th</w:t>
      </w:r>
      <w:r w:rsidR="007140CD" w:rsidRPr="00D1695D">
        <w:rPr>
          <w:rFonts w:ascii="Times New Roman" w:hAnsi="Times New Roman"/>
        </w:rPr>
        <w:t xml:space="preserve"> </w:t>
      </w:r>
      <w:r w:rsidRPr="00D1695D">
        <w:rPr>
          <w:rFonts w:ascii="Times New Roman" w:hAnsi="Times New Roman"/>
        </w:rPr>
        <w:t xml:space="preserve">17:00 CET </w:t>
      </w:r>
    </w:p>
    <w:p w14:paraId="55425C0E" w14:textId="20FECAEF" w:rsidR="00C52BB1" w:rsidRPr="00D1695D" w:rsidRDefault="00C52BB1" w:rsidP="00C52BB1">
      <w:pPr>
        <w:pStyle w:val="EmailDiscussion2"/>
        <w:numPr>
          <w:ilvl w:val="2"/>
          <w:numId w:val="13"/>
        </w:numPr>
        <w:ind w:left="1980"/>
        <w:rPr>
          <w:rFonts w:ascii="Times New Roman" w:hAnsi="Times New Roman"/>
        </w:rPr>
      </w:pPr>
      <w:r w:rsidRPr="00D1695D">
        <w:rPr>
          <w:rFonts w:ascii="Times New Roman" w:hAnsi="Times New Roman"/>
        </w:rPr>
        <w:t>Wordin</w:t>
      </w:r>
      <w:r w:rsidR="00565C2D">
        <w:rPr>
          <w:rFonts w:ascii="Times New Roman" w:hAnsi="Times New Roman"/>
        </w:rPr>
        <w:t>g comment, if any, on updated TP</w:t>
      </w:r>
      <w:r w:rsidR="00853E41">
        <w:rPr>
          <w:rFonts w:ascii="Times New Roman" w:hAnsi="Times New Roman"/>
        </w:rPr>
        <w:t>s</w:t>
      </w:r>
      <w:r w:rsidRPr="00D1695D">
        <w:rPr>
          <w:rFonts w:ascii="Times New Roman" w:hAnsi="Times New Roman"/>
        </w:rPr>
        <w:t>: Thursday, Mar 05</w:t>
      </w:r>
      <w:r w:rsidRPr="00D1695D">
        <w:rPr>
          <w:rFonts w:ascii="Times New Roman" w:hAnsi="Times New Roman"/>
          <w:vertAlign w:val="superscript"/>
        </w:rPr>
        <w:t>th</w:t>
      </w:r>
      <w:r w:rsidRPr="00D1695D">
        <w:rPr>
          <w:rFonts w:ascii="Times New Roman" w:hAnsi="Times New Roman"/>
        </w:rPr>
        <w:t xml:space="preserve"> 12:00 CET </w:t>
      </w:r>
    </w:p>
    <w:p w14:paraId="475CC46B" w14:textId="69BC094A" w:rsidR="0092461D" w:rsidRPr="00D1695D" w:rsidRDefault="007140CD" w:rsidP="0092461D">
      <w:pPr>
        <w:pStyle w:val="EmailDiscussion2"/>
        <w:numPr>
          <w:ilvl w:val="2"/>
          <w:numId w:val="13"/>
        </w:numPr>
        <w:ind w:left="1980"/>
        <w:rPr>
          <w:rFonts w:ascii="Times New Roman" w:hAnsi="Times New Roman"/>
        </w:rPr>
      </w:pPr>
      <w:r w:rsidRPr="00D1695D">
        <w:rPr>
          <w:rFonts w:ascii="Times New Roman" w:hAnsi="Times New Roman"/>
        </w:rPr>
        <w:t>Final check</w:t>
      </w:r>
      <w:r w:rsidR="00C52BB1" w:rsidRPr="00D1695D">
        <w:rPr>
          <w:rFonts w:ascii="Times New Roman" w:hAnsi="Times New Roman"/>
        </w:rPr>
        <w:t xml:space="preserve">, </w:t>
      </w:r>
      <w:r w:rsidR="00B21F69" w:rsidRPr="00D1695D">
        <w:rPr>
          <w:rFonts w:ascii="Times New Roman" w:hAnsi="Times New Roman"/>
        </w:rPr>
        <w:t>e-mail discussion stops, Mar 06</w:t>
      </w:r>
      <w:r w:rsidR="00B21F69" w:rsidRPr="00D1695D">
        <w:rPr>
          <w:rFonts w:ascii="Times New Roman" w:hAnsi="Times New Roman"/>
          <w:vertAlign w:val="superscript"/>
        </w:rPr>
        <w:t>th</w:t>
      </w:r>
      <w:r w:rsidR="00B21F69" w:rsidRPr="00D1695D">
        <w:rPr>
          <w:rFonts w:ascii="Times New Roman" w:hAnsi="Times New Roman"/>
        </w:rPr>
        <w:t xml:space="preserve"> 12:00 CET</w:t>
      </w:r>
    </w:p>
    <w:p w14:paraId="766D6D29" w14:textId="2BD82082" w:rsidR="00A209D6" w:rsidRDefault="00086A67" w:rsidP="00A209D6">
      <w:pPr>
        <w:pStyle w:val="Heading1"/>
      </w:pPr>
      <w:r>
        <w:t>2</w:t>
      </w:r>
      <w:r w:rsidR="00A209D6" w:rsidRPr="006E13D1">
        <w:tab/>
      </w:r>
      <w:r w:rsidR="00F2046C">
        <w:t>O</w:t>
      </w:r>
      <w:r w:rsidR="0092461D">
        <w:t>ffline email discussion</w:t>
      </w:r>
    </w:p>
    <w:p w14:paraId="080DB290" w14:textId="7D4DF2E1" w:rsidR="00565C2D" w:rsidRDefault="00565C2D" w:rsidP="00565C2D">
      <w:pPr>
        <w:pStyle w:val="Heading2"/>
        <w:rPr>
          <w:sz w:val="28"/>
          <w:lang w:val="en-US"/>
        </w:rPr>
      </w:pPr>
      <w:r>
        <w:t>2.1</w:t>
      </w:r>
      <w:r>
        <w:tab/>
      </w:r>
      <w:r w:rsidRPr="00802DDA">
        <w:rPr>
          <w:sz w:val="28"/>
          <w:lang w:val="en-US"/>
        </w:rPr>
        <w:t>Introduction of NRS presence on non–anchor carrier in TS 36.331</w:t>
      </w:r>
    </w:p>
    <w:p w14:paraId="4E29B92A" w14:textId="31B15D2C" w:rsidR="00565C2D" w:rsidRDefault="00943B1A" w:rsidP="00565C2D">
      <w:hyperlink r:id="rId12" w:tooltip="http://www.3gpp.org/ftp/tsg_ran/WG2_RL2/TSGR2_109_eDocsR2-2000624.zip" w:history="1">
        <w:r w:rsidR="00565C2D" w:rsidRPr="00565C2D">
          <w:rPr>
            <w:rStyle w:val="Hyperlink"/>
          </w:rPr>
          <w:t>R2-2000624</w:t>
        </w:r>
      </w:hyperlink>
      <w:r w:rsidR="00565C2D">
        <w:t xml:space="preserve"> </w:t>
      </w:r>
      <w:r w:rsidR="00565C2D" w:rsidRPr="00565C2D">
        <w:t>NRS presence on non-anchor paging carrier</w:t>
      </w:r>
      <w:r w:rsidR="00565C2D" w:rsidRPr="00565C2D">
        <w:tab/>
        <w:t>Huawei, HiSilicon</w:t>
      </w:r>
      <w:r w:rsidR="00565C2D" w:rsidRPr="00565C2D">
        <w:tab/>
        <w:t>discussion</w:t>
      </w:r>
      <w:r w:rsidR="00565C2D" w:rsidRPr="00565C2D">
        <w:tab/>
        <w:t>Rel-16</w:t>
      </w:r>
      <w:r w:rsidR="00565C2D" w:rsidRPr="00565C2D">
        <w:tab/>
        <w:t>NB_IOTenh3-Core</w:t>
      </w:r>
    </w:p>
    <w:p w14:paraId="76666AAE"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1:</w:t>
      </w:r>
      <w:r w:rsidRPr="00565C2D">
        <w:rPr>
          <w:rFonts w:eastAsia="SimSun"/>
          <w:i/>
          <w:lang w:val="en-US"/>
        </w:rPr>
        <w:t xml:space="preserve"> The parameter nrs-NonAnchorConfig is signalled in systemInformationBlockType2-NB.</w:t>
      </w:r>
    </w:p>
    <w:p w14:paraId="52179530"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2:</w:t>
      </w:r>
      <w:r w:rsidRPr="00565C2D">
        <w:rPr>
          <w:rFonts w:eastAsia="SimSun"/>
          <w:i/>
          <w:lang w:val="en-US"/>
        </w:rPr>
        <w:t xml:space="preserve"> Adopt the Text Proposal in section 5.1 for TS 36.331</w:t>
      </w:r>
    </w:p>
    <w:p w14:paraId="7C501D73" w14:textId="77777777" w:rsidR="00565C2D" w:rsidRPr="00565C2D" w:rsidRDefault="00565C2D" w:rsidP="00565C2D">
      <w:pPr>
        <w:rPr>
          <w:lang w:val="en-US"/>
        </w:rPr>
      </w:pPr>
    </w:p>
    <w:p w14:paraId="13BD0702" w14:textId="77777777" w:rsidR="00015464" w:rsidRDefault="00015464" w:rsidP="00015464">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15464" w14:paraId="11D449E8" w14:textId="77777777" w:rsidTr="002E0C86">
        <w:tc>
          <w:tcPr>
            <w:tcW w:w="1838" w:type="dxa"/>
          </w:tcPr>
          <w:p w14:paraId="55C28D86" w14:textId="77777777" w:rsidR="00015464" w:rsidRPr="00BB7A70" w:rsidRDefault="00015464" w:rsidP="002E0C86">
            <w:pPr>
              <w:rPr>
                <w:b/>
                <w:bCs/>
              </w:rPr>
            </w:pPr>
            <w:r>
              <w:rPr>
                <w:b/>
                <w:bCs/>
              </w:rPr>
              <w:t>Company</w:t>
            </w:r>
          </w:p>
        </w:tc>
        <w:tc>
          <w:tcPr>
            <w:tcW w:w="1985" w:type="dxa"/>
          </w:tcPr>
          <w:p w14:paraId="23BC378E" w14:textId="33074E77" w:rsidR="00015464" w:rsidRPr="00BB7A70" w:rsidRDefault="00015464" w:rsidP="00565C2D">
            <w:pPr>
              <w:rPr>
                <w:b/>
                <w:bCs/>
              </w:rPr>
            </w:pPr>
            <w:r>
              <w:rPr>
                <w:b/>
                <w:bCs/>
              </w:rPr>
              <w:t xml:space="preserve">Do you agree with </w:t>
            </w:r>
            <w:r w:rsidR="00565C2D">
              <w:rPr>
                <w:b/>
                <w:bCs/>
              </w:rPr>
              <w:t>proposal 1</w:t>
            </w:r>
            <w:r>
              <w:rPr>
                <w:b/>
                <w:bCs/>
              </w:rPr>
              <w:t>?</w:t>
            </w:r>
          </w:p>
        </w:tc>
        <w:tc>
          <w:tcPr>
            <w:tcW w:w="5808" w:type="dxa"/>
          </w:tcPr>
          <w:p w14:paraId="06AC0F51" w14:textId="66AA74FE" w:rsidR="00015464" w:rsidRPr="00BB7A70" w:rsidRDefault="00015464" w:rsidP="002E0C86">
            <w:pPr>
              <w:rPr>
                <w:b/>
                <w:bCs/>
              </w:rPr>
            </w:pPr>
            <w:r>
              <w:rPr>
                <w:b/>
                <w:bCs/>
              </w:rPr>
              <w:t>Detailed comments</w:t>
            </w:r>
            <w:r w:rsidR="00565C2D">
              <w:rPr>
                <w:b/>
                <w:bCs/>
              </w:rPr>
              <w:t xml:space="preserve"> on TP in section 5.1</w:t>
            </w:r>
          </w:p>
        </w:tc>
      </w:tr>
      <w:tr w:rsidR="00015464" w14:paraId="70C09549" w14:textId="77777777" w:rsidTr="002E0C86">
        <w:tc>
          <w:tcPr>
            <w:tcW w:w="1838" w:type="dxa"/>
          </w:tcPr>
          <w:p w14:paraId="1823F498" w14:textId="6F0587E3" w:rsidR="00015464" w:rsidRDefault="008F770A" w:rsidP="002E0C86">
            <w:r>
              <w:t>Qualcomm</w:t>
            </w:r>
          </w:p>
        </w:tc>
        <w:tc>
          <w:tcPr>
            <w:tcW w:w="1985" w:type="dxa"/>
          </w:tcPr>
          <w:p w14:paraId="366B1E3F" w14:textId="5ABAB637" w:rsidR="00015464" w:rsidRPr="00736801" w:rsidRDefault="008F770A" w:rsidP="002E0C86">
            <w:pPr>
              <w:rPr>
                <w:b/>
                <w:bCs/>
              </w:rPr>
            </w:pPr>
            <w:r>
              <w:rPr>
                <w:b/>
                <w:bCs/>
              </w:rPr>
              <w:t>Yes</w:t>
            </w:r>
          </w:p>
        </w:tc>
        <w:tc>
          <w:tcPr>
            <w:tcW w:w="5808" w:type="dxa"/>
          </w:tcPr>
          <w:p w14:paraId="0027CEC2" w14:textId="77777777" w:rsidR="00015464" w:rsidRPr="00FA7EFF" w:rsidRDefault="00FA7EFF" w:rsidP="002E0C86">
            <w:pPr>
              <w:rPr>
                <w:color w:val="000000" w:themeColor="text1"/>
              </w:rPr>
            </w:pPr>
            <w:r w:rsidRPr="00FA7EFF">
              <w:rPr>
                <w:color w:val="000000" w:themeColor="text1"/>
              </w:rPr>
              <w:t>Prefer the following wording for the field description:</w:t>
            </w:r>
          </w:p>
          <w:p w14:paraId="4674251D" w14:textId="0D689CBF" w:rsidR="00FA7EFF" w:rsidRPr="00FA7EFF" w:rsidRDefault="00FA7EFF" w:rsidP="002E0C86">
            <w:pPr>
              <w:rPr>
                <w:color w:val="000000" w:themeColor="text1"/>
              </w:rPr>
            </w:pPr>
            <w:r w:rsidRPr="00FA7EFF">
              <w:rPr>
                <w:color w:val="000000" w:themeColor="text1"/>
              </w:rPr>
              <w:t>“</w:t>
            </w:r>
            <w:r w:rsidRPr="00FA7EFF">
              <w:rPr>
                <w:bCs/>
                <w:noProof/>
                <w:color w:val="000000" w:themeColor="text1"/>
                <w:u w:val="single"/>
                <w:lang w:eastAsia="en-GB"/>
              </w:rPr>
              <w:t xml:space="preserve">For FDD: </w:t>
            </w:r>
            <w:r w:rsidRPr="00FA7EFF">
              <w:rPr>
                <w:bCs/>
                <w:strike/>
                <w:noProof/>
                <w:color w:val="000000" w:themeColor="text1"/>
                <w:u w:val="single"/>
                <w:lang w:eastAsia="en-GB"/>
              </w:rPr>
              <w:t>This field i</w:t>
            </w:r>
            <w:r>
              <w:rPr>
                <w:bCs/>
                <w:noProof/>
                <w:color w:val="FF0000"/>
                <w:u w:val="single"/>
                <w:lang w:eastAsia="en-GB"/>
              </w:rPr>
              <w:t>I</w:t>
            </w:r>
            <w:r w:rsidRPr="00FA7EFF">
              <w:rPr>
                <w:bCs/>
                <w:noProof/>
                <w:color w:val="000000" w:themeColor="text1"/>
                <w:u w:val="single"/>
                <w:lang w:eastAsia="en-GB"/>
              </w:rPr>
              <w:t xml:space="preserve">ndicates </w:t>
            </w:r>
            <w:r w:rsidRPr="00FA7EFF">
              <w:rPr>
                <w:bCs/>
                <w:strike/>
                <w:noProof/>
                <w:color w:val="000000" w:themeColor="text1"/>
                <w:u w:val="single"/>
                <w:lang w:eastAsia="en-GB"/>
              </w:rPr>
              <w:t>if</w:t>
            </w:r>
            <w:r>
              <w:rPr>
                <w:bCs/>
                <w:noProof/>
                <w:color w:val="FF0000"/>
                <w:u w:val="single"/>
                <w:lang w:eastAsia="en-GB"/>
              </w:rPr>
              <w:t>whether</w:t>
            </w:r>
            <w:r w:rsidRPr="00FA7EFF">
              <w:rPr>
                <w:bCs/>
                <w:noProof/>
                <w:color w:val="000000" w:themeColor="text1"/>
                <w:u w:val="single"/>
                <w:lang w:eastAsia="en-GB"/>
              </w:rPr>
              <w:t xml:space="preserve"> NRS </w:t>
            </w:r>
            <w:r w:rsidRPr="00FA7EFF">
              <w:rPr>
                <w:bCs/>
                <w:strike/>
                <w:noProof/>
                <w:color w:val="000000" w:themeColor="text1"/>
                <w:u w:val="single"/>
                <w:lang w:eastAsia="en-GB"/>
              </w:rPr>
              <w:t>are</w:t>
            </w:r>
            <w:r>
              <w:rPr>
                <w:bCs/>
                <w:noProof/>
                <w:color w:val="FF0000"/>
                <w:u w:val="single"/>
                <w:lang w:eastAsia="en-GB"/>
              </w:rPr>
              <w:t>is</w:t>
            </w:r>
            <w:r w:rsidRPr="00FA7EFF">
              <w:rPr>
                <w:bCs/>
                <w:noProof/>
                <w:color w:val="000000" w:themeColor="text1"/>
                <w:u w:val="single"/>
                <w:lang w:eastAsia="en-GB"/>
              </w:rPr>
              <w:t xml:space="preserve"> present on non-anchor paging carrier</w:t>
            </w:r>
            <w:r w:rsidRPr="00FA7EFF">
              <w:rPr>
                <w:bCs/>
                <w:strike/>
                <w:noProof/>
                <w:color w:val="000000" w:themeColor="text1"/>
                <w:highlight w:val="yellow"/>
                <w:u w:val="single"/>
                <w:lang w:eastAsia="en-GB"/>
              </w:rPr>
              <w:t>s</w:t>
            </w:r>
            <w:r w:rsidRPr="00FA7EFF">
              <w:rPr>
                <w:bCs/>
                <w:noProof/>
                <w:color w:val="000000" w:themeColor="text1"/>
                <w:u w:val="single"/>
                <w:lang w:eastAsia="en-GB"/>
              </w:rPr>
              <w:t xml:space="preserve"> even when no paging NPDCCH is transmitted</w:t>
            </w:r>
            <w:r w:rsidRPr="00FA7EFF">
              <w:rPr>
                <w:color w:val="000000" w:themeColor="text1"/>
                <w:u w:val="single"/>
                <w:lang w:eastAsia="en-GB"/>
              </w:rPr>
              <w:t>, see TS 36.211 [21], clause 10.2.6.</w:t>
            </w:r>
            <w:r w:rsidRPr="00FA7EFF">
              <w:rPr>
                <w:color w:val="000000" w:themeColor="text1"/>
              </w:rPr>
              <w:t>”</w:t>
            </w:r>
          </w:p>
        </w:tc>
      </w:tr>
      <w:tr w:rsidR="00015464" w14:paraId="49C3FA7C" w14:textId="77777777" w:rsidTr="002E0C86">
        <w:tc>
          <w:tcPr>
            <w:tcW w:w="1838" w:type="dxa"/>
          </w:tcPr>
          <w:p w14:paraId="272C03DD" w14:textId="6E581CF1" w:rsidR="00015464" w:rsidRDefault="00306AAF" w:rsidP="002E0C86">
            <w:r>
              <w:t>Huawei</w:t>
            </w:r>
          </w:p>
        </w:tc>
        <w:tc>
          <w:tcPr>
            <w:tcW w:w="1985" w:type="dxa"/>
          </w:tcPr>
          <w:p w14:paraId="5E9CEFF4" w14:textId="455B434F" w:rsidR="00015464" w:rsidRPr="00736801" w:rsidRDefault="00306AAF" w:rsidP="00306AAF">
            <w:pPr>
              <w:rPr>
                <w:b/>
                <w:bCs/>
              </w:rPr>
            </w:pPr>
            <w:r>
              <w:rPr>
                <w:b/>
                <w:bCs/>
              </w:rPr>
              <w:t>yes</w:t>
            </w:r>
          </w:p>
        </w:tc>
        <w:tc>
          <w:tcPr>
            <w:tcW w:w="5808" w:type="dxa"/>
          </w:tcPr>
          <w:p w14:paraId="585C0767" w14:textId="3EDB22D0" w:rsidR="00015464" w:rsidRDefault="00306AAF" w:rsidP="00306AAF">
            <w:pPr>
              <w:rPr>
                <w:rFonts w:eastAsia="SimSun"/>
                <w:noProof/>
              </w:rPr>
            </w:pPr>
            <w:r>
              <w:rPr>
                <w:rFonts w:eastAsia="SimSun"/>
                <w:noProof/>
              </w:rPr>
              <w:t>We are fine with Qualcomm’s wording except that we want to keep that it applies to all paging carriers.</w:t>
            </w:r>
            <w:bookmarkStart w:id="0" w:name="_GoBack"/>
            <w:bookmarkEnd w:id="0"/>
          </w:p>
          <w:p w14:paraId="45AE4619" w14:textId="1949833C" w:rsidR="00306AAF" w:rsidRPr="00736801" w:rsidRDefault="00306AAF" w:rsidP="00E76FFE">
            <w:pPr>
              <w:rPr>
                <w:rFonts w:eastAsia="SimSun"/>
                <w:noProof/>
              </w:rPr>
            </w:pPr>
            <w:r w:rsidRPr="00FA7EFF">
              <w:rPr>
                <w:color w:val="000000" w:themeColor="text1"/>
              </w:rPr>
              <w:t>“</w:t>
            </w:r>
            <w:r w:rsidRPr="00FA7EFF">
              <w:rPr>
                <w:bCs/>
                <w:noProof/>
                <w:color w:val="000000" w:themeColor="text1"/>
                <w:u w:val="single"/>
                <w:lang w:eastAsia="en-GB"/>
              </w:rPr>
              <w:t xml:space="preserve">For FDD: </w:t>
            </w:r>
            <w:r w:rsidRPr="00FA7EFF">
              <w:rPr>
                <w:bCs/>
                <w:strike/>
                <w:noProof/>
                <w:color w:val="000000" w:themeColor="text1"/>
                <w:u w:val="single"/>
                <w:lang w:eastAsia="en-GB"/>
              </w:rPr>
              <w:t>This field i</w:t>
            </w:r>
            <w:r>
              <w:rPr>
                <w:bCs/>
                <w:noProof/>
                <w:color w:val="FF0000"/>
                <w:u w:val="single"/>
                <w:lang w:eastAsia="en-GB"/>
              </w:rPr>
              <w:t>I</w:t>
            </w:r>
            <w:r w:rsidRPr="00FA7EFF">
              <w:rPr>
                <w:bCs/>
                <w:noProof/>
                <w:color w:val="000000" w:themeColor="text1"/>
                <w:u w:val="single"/>
                <w:lang w:eastAsia="en-GB"/>
              </w:rPr>
              <w:t xml:space="preserve">ndicates </w:t>
            </w:r>
            <w:r w:rsidRPr="00FA7EFF">
              <w:rPr>
                <w:bCs/>
                <w:strike/>
                <w:noProof/>
                <w:color w:val="000000" w:themeColor="text1"/>
                <w:u w:val="single"/>
                <w:lang w:eastAsia="en-GB"/>
              </w:rPr>
              <w:t>if</w:t>
            </w:r>
            <w:r>
              <w:rPr>
                <w:bCs/>
                <w:noProof/>
                <w:color w:val="FF0000"/>
                <w:u w:val="single"/>
                <w:lang w:eastAsia="en-GB"/>
              </w:rPr>
              <w:t>whether</w:t>
            </w:r>
            <w:r w:rsidRPr="00FA7EFF">
              <w:rPr>
                <w:bCs/>
                <w:noProof/>
                <w:color w:val="000000" w:themeColor="text1"/>
                <w:u w:val="single"/>
                <w:lang w:eastAsia="en-GB"/>
              </w:rPr>
              <w:t xml:space="preserve"> NRS </w:t>
            </w:r>
            <w:r w:rsidRPr="00FA7EFF">
              <w:rPr>
                <w:bCs/>
                <w:strike/>
                <w:noProof/>
                <w:color w:val="000000" w:themeColor="text1"/>
                <w:u w:val="single"/>
                <w:lang w:eastAsia="en-GB"/>
              </w:rPr>
              <w:t>are</w:t>
            </w:r>
            <w:r>
              <w:rPr>
                <w:bCs/>
                <w:noProof/>
                <w:color w:val="FF0000"/>
                <w:u w:val="single"/>
                <w:lang w:eastAsia="en-GB"/>
              </w:rPr>
              <w:t>is</w:t>
            </w:r>
            <w:r w:rsidRPr="00FA7EFF">
              <w:rPr>
                <w:bCs/>
                <w:noProof/>
                <w:color w:val="000000" w:themeColor="text1"/>
                <w:u w:val="single"/>
                <w:lang w:eastAsia="en-GB"/>
              </w:rPr>
              <w:t xml:space="preserve"> present on non-anchor paging carrier</w:t>
            </w:r>
            <w:r w:rsidRPr="00D924C7">
              <w:rPr>
                <w:bCs/>
                <w:noProof/>
                <w:color w:val="000000" w:themeColor="text1"/>
                <w:highlight w:val="green"/>
                <w:u w:val="single"/>
                <w:lang w:eastAsia="en-GB"/>
              </w:rPr>
              <w:t>s</w:t>
            </w:r>
            <w:r w:rsidRPr="00FA7EFF">
              <w:rPr>
                <w:bCs/>
                <w:noProof/>
                <w:color w:val="000000" w:themeColor="text1"/>
                <w:u w:val="single"/>
                <w:lang w:eastAsia="en-GB"/>
              </w:rPr>
              <w:t xml:space="preserve"> even when no paging NPDCCH is transmitted</w:t>
            </w:r>
            <w:r w:rsidRPr="00FA7EFF">
              <w:rPr>
                <w:color w:val="000000" w:themeColor="text1"/>
                <w:u w:val="single"/>
                <w:lang w:eastAsia="en-GB"/>
              </w:rPr>
              <w:t>, see TS 36.211 [21], clause 10.2.6.</w:t>
            </w:r>
            <w:r w:rsidRPr="00FA7EFF">
              <w:rPr>
                <w:color w:val="000000" w:themeColor="text1"/>
              </w:rPr>
              <w:t>”</w:t>
            </w:r>
          </w:p>
        </w:tc>
      </w:tr>
    </w:tbl>
    <w:p w14:paraId="7E6D32DF" w14:textId="5D94DD36" w:rsidR="00015464" w:rsidRDefault="00015464" w:rsidP="00015464"/>
    <w:p w14:paraId="3E458E52" w14:textId="77777777" w:rsidR="00015464" w:rsidRDefault="00015464" w:rsidP="00015464">
      <w:r>
        <w:lastRenderedPageBreak/>
        <w:t>Conclusion: TBC</w:t>
      </w:r>
    </w:p>
    <w:p w14:paraId="0D71BCA1" w14:textId="77777777" w:rsidR="00015464" w:rsidRDefault="00015464" w:rsidP="00015464">
      <w:r>
        <w:t>Proposal: TBC</w:t>
      </w:r>
    </w:p>
    <w:p w14:paraId="5313C87C" w14:textId="77777777" w:rsidR="00565C2D" w:rsidRDefault="00565C2D" w:rsidP="00015464"/>
    <w:p w14:paraId="4AEC268D" w14:textId="2CEFD635" w:rsidR="00565C2D" w:rsidRDefault="00565C2D" w:rsidP="00565C2D">
      <w:pPr>
        <w:pStyle w:val="Heading2"/>
        <w:rPr>
          <w:sz w:val="28"/>
          <w:lang w:val="en-US"/>
        </w:rPr>
      </w:pPr>
      <w:r>
        <w:t>2.2</w:t>
      </w:r>
      <w:r>
        <w:tab/>
      </w:r>
      <w:r w:rsidRPr="00802DDA">
        <w:rPr>
          <w:sz w:val="28"/>
          <w:lang w:val="en-US"/>
        </w:rPr>
        <w:t>Introduction of NRS presence on non–anchor carrier in TS 36.3</w:t>
      </w:r>
      <w:r>
        <w:rPr>
          <w:sz w:val="28"/>
          <w:lang w:val="en-US"/>
        </w:rPr>
        <w:t>04</w:t>
      </w:r>
    </w:p>
    <w:p w14:paraId="608FD5A6" w14:textId="77777777" w:rsidR="00565C2D" w:rsidRPr="00565C2D" w:rsidRDefault="00943B1A" w:rsidP="00565C2D">
      <w:pPr>
        <w:rPr>
          <w:i/>
        </w:rPr>
      </w:pPr>
      <w:hyperlink r:id="rId13" w:tooltip="http://www.3gpp.org/ftp/tsg_ran/WG2_RL2/TSGR2_109_eDocsR2-2000624.zip" w:history="1">
        <w:r w:rsidR="00565C2D" w:rsidRPr="00565C2D">
          <w:rPr>
            <w:rStyle w:val="Hyperlink"/>
            <w:i/>
          </w:rPr>
          <w:t>R2-2000624</w:t>
        </w:r>
      </w:hyperlink>
      <w:r w:rsidR="00565C2D" w:rsidRPr="00565C2D">
        <w:rPr>
          <w:i/>
        </w:rPr>
        <w:t xml:space="preserve"> NRS presence on non-anchor paging carrier</w:t>
      </w:r>
      <w:r w:rsidR="00565C2D" w:rsidRPr="00565C2D">
        <w:rPr>
          <w:i/>
        </w:rPr>
        <w:tab/>
        <w:t>Huawei, HiSilicon</w:t>
      </w:r>
      <w:r w:rsidR="00565C2D" w:rsidRPr="00565C2D">
        <w:rPr>
          <w:i/>
        </w:rPr>
        <w:tab/>
        <w:t>discussion</w:t>
      </w:r>
      <w:r w:rsidR="00565C2D" w:rsidRPr="00565C2D">
        <w:rPr>
          <w:i/>
        </w:rPr>
        <w:tab/>
        <w:t>Rel-16</w:t>
      </w:r>
      <w:r w:rsidR="00565C2D" w:rsidRPr="00565C2D">
        <w:rPr>
          <w:i/>
        </w:rPr>
        <w:tab/>
        <w:t>NB_IOTenh3-Core</w:t>
      </w:r>
    </w:p>
    <w:p w14:paraId="0D7D3DFC"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3:</w:t>
      </w:r>
      <w:r w:rsidRPr="00565C2D">
        <w:rPr>
          <w:rFonts w:eastAsia="SimSun"/>
          <w:i/>
          <w:lang w:val="en-US"/>
        </w:rPr>
        <w:t xml:space="preserve"> Introduce a new subclause in TS 36.304 clause 7 Paging to specify the POs associated with NRS.</w:t>
      </w:r>
    </w:p>
    <w:p w14:paraId="18BF9FA7" w14:textId="77777777" w:rsidR="00565C2D" w:rsidRPr="00565C2D" w:rsidRDefault="00565C2D" w:rsidP="00565C2D">
      <w:pPr>
        <w:overflowPunct w:val="0"/>
        <w:autoSpaceDE w:val="0"/>
        <w:autoSpaceDN w:val="0"/>
        <w:adjustRightInd w:val="0"/>
        <w:spacing w:after="120"/>
        <w:jc w:val="both"/>
        <w:textAlignment w:val="baseline"/>
        <w:rPr>
          <w:rFonts w:eastAsia="SimSun"/>
          <w:i/>
          <w:lang w:val="en-US"/>
        </w:rPr>
      </w:pPr>
      <w:r w:rsidRPr="00565C2D">
        <w:rPr>
          <w:rFonts w:eastAsia="SimSun"/>
          <w:b/>
          <w:i/>
          <w:lang w:val="en-US"/>
        </w:rPr>
        <w:t>Proposal 4:</w:t>
      </w:r>
      <w:r w:rsidRPr="00565C2D">
        <w:rPr>
          <w:rFonts w:eastAsia="SimSun"/>
          <w:i/>
          <w:lang w:val="en-US"/>
        </w:rPr>
        <w:t xml:space="preserve"> Adopt the Text Proposal in section 5.2 for TS 36.304.</w:t>
      </w:r>
    </w:p>
    <w:p w14:paraId="30554AFB" w14:textId="77777777" w:rsidR="00565C2D" w:rsidRPr="00565C2D" w:rsidRDefault="00565C2D" w:rsidP="00565C2D">
      <w:pPr>
        <w:rPr>
          <w:lang w:val="en-US"/>
        </w:rPr>
      </w:pPr>
    </w:p>
    <w:p w14:paraId="532A3AC0" w14:textId="77777777" w:rsidR="00565C2D" w:rsidRDefault="00565C2D" w:rsidP="00565C2D">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565C2D" w14:paraId="4DA48586" w14:textId="77777777" w:rsidTr="0006785B">
        <w:tc>
          <w:tcPr>
            <w:tcW w:w="1838" w:type="dxa"/>
          </w:tcPr>
          <w:p w14:paraId="161CC11A" w14:textId="77777777" w:rsidR="00565C2D" w:rsidRPr="00BB7A70" w:rsidRDefault="00565C2D" w:rsidP="0006785B">
            <w:pPr>
              <w:rPr>
                <w:b/>
                <w:bCs/>
              </w:rPr>
            </w:pPr>
            <w:r>
              <w:rPr>
                <w:b/>
                <w:bCs/>
              </w:rPr>
              <w:t>Company</w:t>
            </w:r>
          </w:p>
        </w:tc>
        <w:tc>
          <w:tcPr>
            <w:tcW w:w="1985" w:type="dxa"/>
          </w:tcPr>
          <w:p w14:paraId="6828C4C1" w14:textId="0FD8FB36" w:rsidR="00565C2D" w:rsidRPr="00BB7A70" w:rsidRDefault="00565C2D" w:rsidP="0006785B">
            <w:pPr>
              <w:rPr>
                <w:b/>
                <w:bCs/>
              </w:rPr>
            </w:pPr>
            <w:r>
              <w:rPr>
                <w:b/>
                <w:bCs/>
              </w:rPr>
              <w:t>Do you agree with proposal 3?</w:t>
            </w:r>
          </w:p>
        </w:tc>
        <w:tc>
          <w:tcPr>
            <w:tcW w:w="5808" w:type="dxa"/>
          </w:tcPr>
          <w:p w14:paraId="7F1116CC" w14:textId="71B0E244" w:rsidR="00565C2D" w:rsidRPr="00BB7A70" w:rsidRDefault="00565C2D" w:rsidP="0006785B">
            <w:pPr>
              <w:rPr>
                <w:b/>
                <w:bCs/>
              </w:rPr>
            </w:pPr>
            <w:r>
              <w:rPr>
                <w:b/>
                <w:bCs/>
              </w:rPr>
              <w:t>Detailed comments on TP in section 5.2</w:t>
            </w:r>
          </w:p>
        </w:tc>
      </w:tr>
      <w:tr w:rsidR="00565C2D" w14:paraId="34917B27" w14:textId="77777777" w:rsidTr="0006785B">
        <w:tc>
          <w:tcPr>
            <w:tcW w:w="1838" w:type="dxa"/>
          </w:tcPr>
          <w:p w14:paraId="3BA3316F" w14:textId="30C18FF4" w:rsidR="00565C2D" w:rsidRDefault="0017103E" w:rsidP="0006785B">
            <w:r>
              <w:t>Qualcomm</w:t>
            </w:r>
          </w:p>
        </w:tc>
        <w:tc>
          <w:tcPr>
            <w:tcW w:w="1985" w:type="dxa"/>
          </w:tcPr>
          <w:p w14:paraId="7EAC3B4C" w14:textId="16112D9D" w:rsidR="00565C2D" w:rsidRPr="00736801" w:rsidRDefault="00BD0820" w:rsidP="0006785B">
            <w:pPr>
              <w:rPr>
                <w:b/>
                <w:bCs/>
              </w:rPr>
            </w:pPr>
            <w:r>
              <w:rPr>
                <w:b/>
                <w:bCs/>
              </w:rPr>
              <w:t>No</w:t>
            </w:r>
          </w:p>
        </w:tc>
        <w:tc>
          <w:tcPr>
            <w:tcW w:w="5808" w:type="dxa"/>
          </w:tcPr>
          <w:p w14:paraId="2900EDAF" w14:textId="58583E07" w:rsidR="008315D1" w:rsidRDefault="008315D1" w:rsidP="0017103E">
            <w:pPr>
              <w:rPr>
                <w:color w:val="000000" w:themeColor="text1"/>
                <w:sz w:val="24"/>
                <w:lang w:eastAsia="ja-JP"/>
              </w:rPr>
            </w:pPr>
            <w:r>
              <w:rPr>
                <w:color w:val="000000" w:themeColor="text1"/>
                <w:sz w:val="24"/>
                <w:lang w:eastAsia="ja-JP"/>
              </w:rPr>
              <w:t>The determination of when the PO occurs should be done as per legacy specification. The new procedure is to determine whether this PO has NRS or not. Therefore, all the parameters that go into determining whether there is NRS or not is the same as legacy except DRX cycle, T, is always the default cycle.</w:t>
            </w:r>
          </w:p>
          <w:p w14:paraId="4C506D95" w14:textId="6E65B8A4" w:rsidR="008315D1" w:rsidRPr="008315D1" w:rsidRDefault="00BD0820" w:rsidP="0017103E">
            <w:pPr>
              <w:rPr>
                <w:color w:val="000000" w:themeColor="text1"/>
                <w:sz w:val="24"/>
                <w:lang w:eastAsia="ja-JP"/>
              </w:rPr>
            </w:pPr>
            <w:r>
              <w:rPr>
                <w:color w:val="000000" w:themeColor="text1"/>
                <w:sz w:val="24"/>
                <w:lang w:eastAsia="ja-JP"/>
              </w:rPr>
              <w:t>We think the following text can be integrated into sub-clause 7.1 because when physical layer is configured with PO information, it also include</w:t>
            </w:r>
            <w:r w:rsidR="004159ED">
              <w:rPr>
                <w:color w:val="000000" w:themeColor="text1"/>
                <w:sz w:val="24"/>
                <w:lang w:eastAsia="ja-JP"/>
              </w:rPr>
              <w:t>s</w:t>
            </w:r>
            <w:r>
              <w:rPr>
                <w:color w:val="000000" w:themeColor="text1"/>
                <w:sz w:val="24"/>
                <w:lang w:eastAsia="ja-JP"/>
              </w:rPr>
              <w:t xml:space="preserve"> indication whether NRS is present or not. </w:t>
            </w:r>
            <w:r w:rsidR="004159ED">
              <w:rPr>
                <w:color w:val="000000" w:themeColor="text1"/>
                <w:sz w:val="24"/>
                <w:lang w:eastAsia="ja-JP"/>
              </w:rPr>
              <w:t>Therefore, we propose the following to be added to the end of section 7.1.</w:t>
            </w:r>
          </w:p>
          <w:p w14:paraId="7655B3E2" w14:textId="63CCD6FF" w:rsidR="00BD0820" w:rsidRPr="00BD0820" w:rsidRDefault="0017103E" w:rsidP="00BD0820">
            <w:pPr>
              <w:rPr>
                <w:color w:val="FF0000"/>
                <w:lang w:eastAsia="ja-JP"/>
              </w:rPr>
            </w:pPr>
            <w:r w:rsidRPr="00BD0820">
              <w:rPr>
                <w:color w:val="FF0000"/>
                <w:lang w:eastAsia="ja-JP"/>
              </w:rPr>
              <w:t xml:space="preserve">For </w:t>
            </w:r>
            <w:r w:rsidR="00BD0820" w:rsidRPr="00BD0820">
              <w:rPr>
                <w:color w:val="FF0000"/>
                <w:lang w:eastAsia="ja-JP"/>
              </w:rPr>
              <w:t xml:space="preserve">NB-IoT </w:t>
            </w:r>
            <w:r w:rsidRPr="00BD0820">
              <w:rPr>
                <w:color w:val="FF0000"/>
                <w:lang w:eastAsia="ja-JP"/>
              </w:rPr>
              <w:t xml:space="preserve">FDD, when </w:t>
            </w:r>
            <w:r w:rsidRPr="00BD0820">
              <w:rPr>
                <w:i/>
                <w:color w:val="FF0000"/>
                <w:lang w:eastAsia="ja-JP"/>
              </w:rPr>
              <w:t>nrs-NonAnchorConfig</w:t>
            </w:r>
            <w:r w:rsidRPr="00BD0820">
              <w:rPr>
                <w:color w:val="FF0000"/>
                <w:lang w:eastAsia="ja-JP"/>
              </w:rPr>
              <w:t xml:space="preserve"> is signalled in system information, the POs associated with NRS are determined using the DRX parameters broadcast in </w:t>
            </w:r>
            <w:r w:rsidRPr="00BD0820">
              <w:rPr>
                <w:i/>
                <w:color w:val="FF0000"/>
                <w:lang w:eastAsia="ja-JP"/>
              </w:rPr>
              <w:t>systeminformationBlockType2-NB</w:t>
            </w:r>
            <w:r w:rsidR="00F35C97" w:rsidRPr="00BD0820">
              <w:rPr>
                <w:color w:val="FF0000"/>
                <w:lang w:eastAsia="ja-JP"/>
              </w:rPr>
              <w:t>.</w:t>
            </w:r>
          </w:p>
          <w:p w14:paraId="22F66FDF" w14:textId="2D6E9646" w:rsidR="0017103E" w:rsidRPr="00BD0820" w:rsidRDefault="00F35C97" w:rsidP="00BD0820">
            <w:pPr>
              <w:rPr>
                <w:color w:val="FF0000"/>
                <w:lang w:eastAsia="ja-JP"/>
              </w:rPr>
            </w:pPr>
            <w:r w:rsidRPr="00BD0820">
              <w:rPr>
                <w:color w:val="FF0000"/>
                <w:lang w:eastAsia="ja-JP"/>
              </w:rPr>
              <w:t>For the PO determined according to subclause 7.1</w:t>
            </w:r>
            <w:r w:rsidR="00BD0820" w:rsidRPr="00BD0820">
              <w:rPr>
                <w:color w:val="FF0000"/>
                <w:lang w:eastAsia="ja-JP"/>
              </w:rPr>
              <w:t>,</w:t>
            </w:r>
            <w:r w:rsidRPr="00BD0820">
              <w:rPr>
                <w:color w:val="FF0000"/>
                <w:lang w:eastAsia="ja-JP"/>
              </w:rPr>
              <w:t xml:space="preserve"> the </w:t>
            </w:r>
            <w:r w:rsidR="00BD0820" w:rsidRPr="00BD0820">
              <w:rPr>
                <w:color w:val="FF0000"/>
                <w:lang w:eastAsia="ja-JP"/>
              </w:rPr>
              <w:t>presence</w:t>
            </w:r>
            <w:r w:rsidRPr="00BD0820">
              <w:rPr>
                <w:color w:val="FF0000"/>
                <w:lang w:eastAsia="ja-JP"/>
              </w:rPr>
              <w:t xml:space="preserve"> of NRS is determined as follows:  </w:t>
            </w:r>
          </w:p>
          <w:p w14:paraId="05A1822B" w14:textId="77777777" w:rsidR="0017103E" w:rsidRPr="00BD0820" w:rsidRDefault="0017103E" w:rsidP="00BD0820">
            <w:pPr>
              <w:pStyle w:val="B1"/>
              <w:rPr>
                <w:color w:val="FF0000"/>
              </w:rPr>
            </w:pPr>
            <w:r w:rsidRPr="00BD0820">
              <w:rPr>
                <w:color w:val="FF0000"/>
              </w:rPr>
              <w:t>-</w:t>
            </w:r>
            <w:r w:rsidRPr="00BD0820">
              <w:rPr>
                <w:color w:val="FF0000"/>
              </w:rPr>
              <w:tab/>
              <w:t>if nB is equal to 4T, 2T, T or T/2:</w:t>
            </w:r>
          </w:p>
          <w:p w14:paraId="200B4CE4" w14:textId="77777777" w:rsidR="0017103E" w:rsidRPr="00BD0820" w:rsidRDefault="0017103E" w:rsidP="00BD0820">
            <w:pPr>
              <w:pStyle w:val="B2"/>
              <w:ind w:left="1126"/>
              <w:rPr>
                <w:color w:val="FF0000"/>
              </w:rPr>
            </w:pPr>
            <w:r w:rsidRPr="00BD0820">
              <w:rPr>
                <w:color w:val="FF0000"/>
              </w:rPr>
              <w:t>POs for which R = 1 have associated NRS</w:t>
            </w:r>
          </w:p>
          <w:p w14:paraId="6C91932D" w14:textId="77777777" w:rsidR="0017103E" w:rsidRPr="00BD0820" w:rsidRDefault="0017103E" w:rsidP="00BD0820">
            <w:pPr>
              <w:pStyle w:val="B2"/>
              <w:ind w:left="1126"/>
              <w:rPr>
                <w:color w:val="FF0000"/>
              </w:rPr>
            </w:pPr>
            <w:r w:rsidRPr="00BD0820">
              <w:rPr>
                <w:color w:val="FF0000"/>
              </w:rPr>
              <w:t>where:</w:t>
            </w:r>
          </w:p>
          <w:p w14:paraId="27C82913" w14:textId="199F6D5F" w:rsidR="0017103E" w:rsidRPr="00BD0820" w:rsidRDefault="0017103E" w:rsidP="00BD0820">
            <w:pPr>
              <w:pStyle w:val="B3"/>
              <w:ind w:left="1410"/>
              <w:rPr>
                <w:color w:val="FF0000"/>
              </w:rPr>
            </w:pPr>
            <w:r w:rsidRPr="00BD0820">
              <w:rPr>
                <w:color w:val="FF0000"/>
              </w:rPr>
              <w:t>R = (PO_Index</w:t>
            </w:r>
            <w:r w:rsidR="005A56F0">
              <w:rPr>
                <w:color w:val="FF0000"/>
              </w:rPr>
              <w:t xml:space="preserve"> </w:t>
            </w:r>
            <w:r w:rsidRPr="00BD0820">
              <w:rPr>
                <w:color w:val="FF0000"/>
              </w:rPr>
              <w:t>+ offset) mod 2</w:t>
            </w:r>
          </w:p>
          <w:p w14:paraId="44DC7DF7" w14:textId="77777777" w:rsidR="0017103E" w:rsidRPr="00BD0820" w:rsidRDefault="0017103E" w:rsidP="00BD0820">
            <w:pPr>
              <w:ind w:left="1126" w:hanging="284"/>
              <w:rPr>
                <w:color w:val="FF0000"/>
              </w:rPr>
            </w:pPr>
            <w:r w:rsidRPr="00BD0820">
              <w:rPr>
                <w:color w:val="FF0000"/>
              </w:rPr>
              <w:t>where:</w:t>
            </w:r>
          </w:p>
          <w:p w14:paraId="59D9522F" w14:textId="77777777" w:rsidR="0017103E" w:rsidRPr="00BD0820" w:rsidRDefault="0017103E" w:rsidP="00BD0820">
            <w:pPr>
              <w:pStyle w:val="B3"/>
              <w:ind w:left="1410"/>
              <w:rPr>
                <w:color w:val="FF0000"/>
              </w:rPr>
            </w:pPr>
            <w:r w:rsidRPr="00BD0820">
              <w:rPr>
                <w:color w:val="FF0000"/>
              </w:rPr>
              <w:t>-</w:t>
            </w:r>
            <w:r w:rsidRPr="00BD0820">
              <w:rPr>
                <w:color w:val="FF0000"/>
              </w:rPr>
              <w:tab/>
              <w:t>PO_Index = (SFN/ T * nB + i_s) mod nB</w:t>
            </w:r>
          </w:p>
          <w:p w14:paraId="0132ACAB" w14:textId="77777777" w:rsidR="0017103E" w:rsidRPr="00BD0820" w:rsidRDefault="0017103E" w:rsidP="00BD0820">
            <w:pPr>
              <w:pStyle w:val="B3"/>
              <w:ind w:left="1410"/>
              <w:rPr>
                <w:color w:val="FF0000"/>
              </w:rPr>
            </w:pPr>
            <w:r w:rsidRPr="00BD0820">
              <w:rPr>
                <w:color w:val="FF0000"/>
              </w:rPr>
              <w:t>-</w:t>
            </w:r>
            <w:r w:rsidRPr="00BD0820">
              <w:rPr>
                <w:color w:val="FF0000"/>
              </w:rPr>
              <w:tab/>
              <w:t>Offset = (FLOOR ((SFN + 1024*H-SFN) / T)) mod 2</w:t>
            </w:r>
          </w:p>
          <w:p w14:paraId="45F032B6" w14:textId="21C408ED" w:rsidR="004159ED" w:rsidRDefault="0017103E" w:rsidP="004159ED">
            <w:pPr>
              <w:pStyle w:val="B3"/>
              <w:tabs>
                <w:tab w:val="left" w:pos="567"/>
                <w:tab w:val="left" w:pos="1134"/>
                <w:tab w:val="left" w:pos="1701"/>
                <w:tab w:val="left" w:pos="2268"/>
                <w:tab w:val="left" w:pos="2835"/>
                <w:tab w:val="left" w:pos="3402"/>
                <w:tab w:val="left" w:pos="3969"/>
                <w:tab w:val="center" w:pos="5245"/>
              </w:tabs>
              <w:ind w:left="1410"/>
              <w:rPr>
                <w:color w:val="FF0000"/>
              </w:rPr>
            </w:pPr>
            <w:r w:rsidRPr="00BD0820">
              <w:rPr>
                <w:color w:val="FF0000"/>
              </w:rPr>
              <w:t>-</w:t>
            </w:r>
            <w:r w:rsidRPr="00BD0820">
              <w:rPr>
                <w:color w:val="FF0000"/>
              </w:rPr>
              <w:tab/>
              <w:t>SFN</w:t>
            </w:r>
            <w:r w:rsidR="00F35C97" w:rsidRPr="00BD0820">
              <w:rPr>
                <w:color w:val="FF0000"/>
              </w:rPr>
              <w:t>, H-SFN</w:t>
            </w:r>
            <w:r w:rsidR="005A56F0">
              <w:rPr>
                <w:color w:val="FF0000"/>
              </w:rPr>
              <w:t xml:space="preserve"> and</w:t>
            </w:r>
            <w:r w:rsidR="00F35C97" w:rsidRPr="00BD0820">
              <w:rPr>
                <w:color w:val="FF0000"/>
              </w:rPr>
              <w:t xml:space="preserve"> i_s</w:t>
            </w:r>
            <w:r w:rsidR="004159ED">
              <w:rPr>
                <w:color w:val="FF0000"/>
              </w:rPr>
              <w:t>,</w:t>
            </w:r>
            <w:r w:rsidR="00F35C97" w:rsidRPr="00BD0820">
              <w:rPr>
                <w:color w:val="FF0000"/>
              </w:rPr>
              <w:t xml:space="preserve"> </w:t>
            </w:r>
            <w:r w:rsidRPr="00BD0820">
              <w:rPr>
                <w:color w:val="FF0000"/>
              </w:rPr>
              <w:t>corresponding to the PO</w:t>
            </w:r>
            <w:r w:rsidR="00F35C97" w:rsidRPr="00BD0820">
              <w:rPr>
                <w:color w:val="FF0000"/>
              </w:rPr>
              <w:t>, see subclause 7.1.</w:t>
            </w:r>
          </w:p>
          <w:p w14:paraId="1016DC90" w14:textId="08AE1FC8" w:rsidR="0017103E" w:rsidRPr="00BD0820" w:rsidRDefault="004159ED" w:rsidP="004159ED">
            <w:pPr>
              <w:pStyle w:val="B3"/>
              <w:tabs>
                <w:tab w:val="left" w:pos="567"/>
                <w:tab w:val="left" w:pos="1134"/>
                <w:tab w:val="left" w:pos="1701"/>
                <w:tab w:val="left" w:pos="2268"/>
                <w:tab w:val="left" w:pos="2835"/>
                <w:tab w:val="left" w:pos="3402"/>
                <w:tab w:val="left" w:pos="3969"/>
                <w:tab w:val="center" w:pos="5245"/>
              </w:tabs>
              <w:ind w:left="1410"/>
              <w:rPr>
                <w:color w:val="FF0000"/>
              </w:rPr>
            </w:pPr>
            <w:r>
              <w:rPr>
                <w:color w:val="FF0000"/>
              </w:rPr>
              <w:t>-</w:t>
            </w:r>
            <w:r>
              <w:rPr>
                <w:color w:val="FF0000"/>
              </w:rPr>
              <w:tab/>
              <w:t xml:space="preserve">nB is determined using the </w:t>
            </w:r>
            <w:r w:rsidR="001E1740">
              <w:rPr>
                <w:color w:val="FF0000"/>
              </w:rPr>
              <w:t>default</w:t>
            </w:r>
            <w:r>
              <w:rPr>
                <w:color w:val="FF0000"/>
              </w:rPr>
              <w:t xml:space="preserve"> value for T</w:t>
            </w:r>
            <w:r w:rsidR="00447DA0">
              <w:rPr>
                <w:color w:val="FF0000"/>
              </w:rPr>
              <w:t xml:space="preserve">, see subclause 7.1. </w:t>
            </w:r>
          </w:p>
          <w:p w14:paraId="7C3540C6" w14:textId="77777777" w:rsidR="0017103E" w:rsidRPr="00BD0820" w:rsidRDefault="0017103E" w:rsidP="00BD0820">
            <w:pPr>
              <w:pStyle w:val="B1"/>
              <w:rPr>
                <w:color w:val="FF0000"/>
              </w:rPr>
            </w:pPr>
            <w:r w:rsidRPr="00BD0820">
              <w:rPr>
                <w:color w:val="FF0000"/>
              </w:rPr>
              <w:t>-</w:t>
            </w:r>
            <w:r w:rsidRPr="00BD0820">
              <w:rPr>
                <w:color w:val="FF0000"/>
              </w:rPr>
              <w:tab/>
              <w:t>else:</w:t>
            </w:r>
          </w:p>
          <w:p w14:paraId="306BD9DB" w14:textId="265D0876" w:rsidR="00565C2D" w:rsidRPr="001E1740" w:rsidRDefault="0017103E" w:rsidP="001E1740">
            <w:pPr>
              <w:ind w:left="273" w:firstLine="567"/>
              <w:rPr>
                <w:color w:val="FF0000"/>
                <w:lang w:val="en-US"/>
              </w:rPr>
            </w:pPr>
            <w:r w:rsidRPr="00BD0820">
              <w:rPr>
                <w:color w:val="FF0000"/>
              </w:rPr>
              <w:lastRenderedPageBreak/>
              <w:t>all POs have associated NRS.</w:t>
            </w:r>
          </w:p>
        </w:tc>
      </w:tr>
      <w:tr w:rsidR="00565C2D" w14:paraId="158C4825" w14:textId="77777777" w:rsidTr="0006785B">
        <w:tc>
          <w:tcPr>
            <w:tcW w:w="1838" w:type="dxa"/>
          </w:tcPr>
          <w:p w14:paraId="4C2E63C7" w14:textId="15029613" w:rsidR="00565C2D" w:rsidRDefault="00D134A4" w:rsidP="0006785B">
            <w:r>
              <w:lastRenderedPageBreak/>
              <w:t>Nokia</w:t>
            </w:r>
          </w:p>
        </w:tc>
        <w:tc>
          <w:tcPr>
            <w:tcW w:w="1985" w:type="dxa"/>
          </w:tcPr>
          <w:p w14:paraId="2AB6B69D" w14:textId="7BD6DB0B" w:rsidR="00565C2D" w:rsidRPr="00736801" w:rsidRDefault="00D134A4" w:rsidP="0006785B">
            <w:pPr>
              <w:rPr>
                <w:b/>
                <w:bCs/>
              </w:rPr>
            </w:pPr>
            <w:r>
              <w:rPr>
                <w:b/>
                <w:bCs/>
              </w:rPr>
              <w:t>May be</w:t>
            </w:r>
          </w:p>
        </w:tc>
        <w:tc>
          <w:tcPr>
            <w:tcW w:w="5808" w:type="dxa"/>
          </w:tcPr>
          <w:p w14:paraId="3E887F66" w14:textId="51FC9206" w:rsidR="00565C2D" w:rsidRPr="00736801" w:rsidRDefault="00D134A4" w:rsidP="0006785B">
            <w:pPr>
              <w:rPr>
                <w:rFonts w:eastAsia="SimSun"/>
                <w:noProof/>
              </w:rPr>
            </w:pPr>
            <w:r>
              <w:rPr>
                <w:rFonts w:eastAsia="SimSun"/>
                <w:noProof/>
              </w:rPr>
              <w:t>Further discussion is required on whether the UE should refer to NRS for channel estimation only on its PO or in any valid subframes having NRS transmission. If the UE behaviour is left to implementation, then 36.304 only needs to include information about where</w:t>
            </w:r>
            <w:r w:rsidR="0070135E">
              <w:rPr>
                <w:rFonts w:eastAsia="SimSun"/>
                <w:noProof/>
              </w:rPr>
              <w:t xml:space="preserve"> NRS symbols can be found. In that case HW TP is acceptable. If the UE only need to use NRS of its own PO, the benefit is minimum.. because the UE attempting to decode this PO will assume always NRS is present for decoding. So refering to NRS of own PO for channel estimation is not clear.</w:t>
            </w:r>
          </w:p>
        </w:tc>
      </w:tr>
      <w:tr w:rsidR="001F728A" w14:paraId="7F0FD927" w14:textId="77777777" w:rsidTr="0006785B">
        <w:tc>
          <w:tcPr>
            <w:tcW w:w="1838" w:type="dxa"/>
          </w:tcPr>
          <w:p w14:paraId="446CF142" w14:textId="09F5290C" w:rsidR="001F728A" w:rsidRDefault="001F728A" w:rsidP="001F728A">
            <w:r>
              <w:t xml:space="preserve">Huawei, Hisilicon </w:t>
            </w:r>
          </w:p>
        </w:tc>
        <w:tc>
          <w:tcPr>
            <w:tcW w:w="1985" w:type="dxa"/>
          </w:tcPr>
          <w:p w14:paraId="22704486" w14:textId="1D3467E9" w:rsidR="001F728A" w:rsidRDefault="001F728A" w:rsidP="0006785B">
            <w:pPr>
              <w:rPr>
                <w:b/>
                <w:bCs/>
              </w:rPr>
            </w:pPr>
            <w:r>
              <w:rPr>
                <w:b/>
                <w:bCs/>
              </w:rPr>
              <w:t>Yes</w:t>
            </w:r>
          </w:p>
        </w:tc>
        <w:tc>
          <w:tcPr>
            <w:tcW w:w="5808" w:type="dxa"/>
          </w:tcPr>
          <w:p w14:paraId="6673DDEB" w14:textId="58F43A48" w:rsidR="00647010" w:rsidRDefault="001F728A" w:rsidP="00647010">
            <w:pPr>
              <w:spacing w:after="0"/>
              <w:rPr>
                <w:rFonts w:eastAsia="SimSun"/>
                <w:noProof/>
              </w:rPr>
            </w:pPr>
            <w:r>
              <w:rPr>
                <w:rFonts w:eastAsia="SimSun"/>
                <w:noProof/>
              </w:rPr>
              <w:t xml:space="preserve">Section 7.1 describes the PO from the UE point of view (i.e. both the SFN and i_s are function of the UE-ID), so incorporating in this section would be OK  if the UE only needed to know if if its </w:t>
            </w:r>
            <w:r w:rsidR="00E76FFE">
              <w:rPr>
                <w:rFonts w:eastAsia="SimSun"/>
                <w:noProof/>
              </w:rPr>
              <w:t xml:space="preserve">own </w:t>
            </w:r>
            <w:r>
              <w:rPr>
                <w:rFonts w:eastAsia="SimSun"/>
                <w:noProof/>
              </w:rPr>
              <w:t>PO has associated NRS.</w:t>
            </w:r>
            <w:r w:rsidR="00647010">
              <w:rPr>
                <w:rFonts w:eastAsia="SimSun"/>
                <w:noProof/>
              </w:rPr>
              <w:t xml:space="preserve"> </w:t>
            </w:r>
          </w:p>
          <w:p w14:paraId="58A9EF31" w14:textId="77777777" w:rsidR="004558E6" w:rsidRDefault="004558E6" w:rsidP="00647010">
            <w:pPr>
              <w:spacing w:after="0"/>
              <w:rPr>
                <w:rFonts w:eastAsia="SimSun"/>
                <w:noProof/>
              </w:rPr>
            </w:pPr>
          </w:p>
          <w:p w14:paraId="0A4A0099" w14:textId="2C6CB22D" w:rsidR="004558E6" w:rsidRDefault="00647010" w:rsidP="0006785B">
            <w:pPr>
              <w:rPr>
                <w:rFonts w:eastAsia="SimSun"/>
                <w:noProof/>
              </w:rPr>
            </w:pPr>
            <w:r>
              <w:rPr>
                <w:rFonts w:eastAsia="SimSun"/>
                <w:noProof/>
              </w:rPr>
              <w:t>However, this is not our understanding of RAN1 agreements. In case of high PO density (</w:t>
            </w:r>
            <w:r w:rsidRPr="00647010">
              <w:rPr>
                <w:rFonts w:eastAsia="SimSun"/>
                <w:noProof/>
              </w:rPr>
              <w:t xml:space="preserve">nB </w:t>
            </w:r>
            <w:r>
              <w:rPr>
                <w:rFonts w:eastAsia="SimSun"/>
                <w:noProof/>
              </w:rPr>
              <w:t xml:space="preserve">&gt;= </w:t>
            </w:r>
            <w:r w:rsidRPr="00647010">
              <w:rPr>
                <w:rFonts w:eastAsia="SimSun"/>
                <w:noProof/>
              </w:rPr>
              <w:t xml:space="preserve"> T/2</w:t>
            </w:r>
            <w:r>
              <w:rPr>
                <w:rFonts w:eastAsia="SimSun"/>
                <w:noProof/>
              </w:rPr>
              <w:t xml:space="preserve">), not all POs have associated NRS. In that case, the UE uses the NRS of a nearby PO (which is not its PO). </w:t>
            </w:r>
            <w:r w:rsidR="004558E6">
              <w:rPr>
                <w:rFonts w:eastAsia="SimSun"/>
                <w:noProof/>
              </w:rPr>
              <w:t>ee RAN1 agreement at RAN1#96bis:</w:t>
            </w:r>
          </w:p>
          <w:p w14:paraId="114198CC" w14:textId="77777777" w:rsidR="004558E6" w:rsidRPr="00916FC1" w:rsidRDefault="004558E6" w:rsidP="004558E6">
            <w:pPr>
              <w:rPr>
                <w:b/>
                <w:highlight w:val="green"/>
              </w:rPr>
            </w:pPr>
            <w:r w:rsidRPr="00916FC1">
              <w:rPr>
                <w:b/>
                <w:highlight w:val="green"/>
              </w:rPr>
              <w:t>Agreement</w:t>
            </w:r>
          </w:p>
          <w:p w14:paraId="1C8F87ED" w14:textId="77777777" w:rsidR="004558E6" w:rsidRPr="003C2030" w:rsidRDefault="004558E6" w:rsidP="004558E6">
            <w:r w:rsidRPr="003C2030">
              <w:t xml:space="preserve">The </w:t>
            </w:r>
            <w:r w:rsidRPr="003C2030">
              <w:rPr>
                <w:i/>
              </w:rPr>
              <w:t>decimation pattern</w:t>
            </w:r>
            <w:r w:rsidRPr="003C2030">
              <w:t xml:space="preserve"> (i.e., the pattern that determines which POs have subframes with NRS even when no NPDCCH is transmitted) is designed at least with the following principles:</w:t>
            </w:r>
          </w:p>
          <w:p w14:paraId="495E6351" w14:textId="77777777" w:rsidR="004558E6" w:rsidRPr="003C2030" w:rsidRDefault="004558E6" w:rsidP="004558E6">
            <w:pPr>
              <w:numPr>
                <w:ilvl w:val="0"/>
                <w:numId w:val="14"/>
              </w:numPr>
              <w:spacing w:after="0"/>
            </w:pPr>
            <w:r w:rsidRPr="003C2030">
              <w:t>P1: The decimation pattern shall be fair across UEs, i.e., all UEs see the same/similar percentage of POs with NRS.</w:t>
            </w:r>
          </w:p>
          <w:p w14:paraId="4514FA8F" w14:textId="77777777" w:rsidR="004558E6" w:rsidRPr="003C2030" w:rsidRDefault="004558E6" w:rsidP="004558E6">
            <w:pPr>
              <w:numPr>
                <w:ilvl w:val="1"/>
                <w:numId w:val="14"/>
              </w:numPr>
              <w:spacing w:after="0"/>
            </w:pPr>
            <w:r w:rsidRPr="003C2030">
              <w:t>FFS: the case for eDRX</w:t>
            </w:r>
          </w:p>
          <w:p w14:paraId="50DD1B83" w14:textId="77777777" w:rsidR="004558E6" w:rsidRPr="004558E6" w:rsidRDefault="004558E6" w:rsidP="004558E6">
            <w:pPr>
              <w:numPr>
                <w:ilvl w:val="0"/>
                <w:numId w:val="14"/>
              </w:numPr>
              <w:spacing w:after="0"/>
              <w:rPr>
                <w:highlight w:val="yellow"/>
              </w:rPr>
            </w:pPr>
            <w:r w:rsidRPr="004558E6">
              <w:rPr>
                <w:highlight w:val="yellow"/>
              </w:rPr>
              <w:t>P2: A UE belonging to a given UE group (being a UE group the group of UEs that monitor paging in the same PO) can use NRS belonging to a PO of a different group in addition to the NRS of its own UE group.</w:t>
            </w:r>
          </w:p>
          <w:p w14:paraId="4D754914" w14:textId="77777777" w:rsidR="004558E6" w:rsidRPr="004558E6" w:rsidRDefault="004558E6" w:rsidP="004558E6">
            <w:pPr>
              <w:numPr>
                <w:ilvl w:val="1"/>
                <w:numId w:val="14"/>
              </w:numPr>
              <w:spacing w:after="0"/>
              <w:rPr>
                <w:highlight w:val="yellow"/>
              </w:rPr>
            </w:pPr>
            <w:r w:rsidRPr="004558E6">
              <w:rPr>
                <w:highlight w:val="yellow"/>
              </w:rPr>
              <w:t>The maximum gap between the PO with NRS and the PO the UE monitors is not larger than X (to ensure that the UE can reliably estimate the SNR for NPDCCH early termination)</w:t>
            </w:r>
          </w:p>
          <w:p w14:paraId="278171F6" w14:textId="77777777" w:rsidR="004558E6" w:rsidRPr="003C2030" w:rsidRDefault="004558E6" w:rsidP="004558E6">
            <w:pPr>
              <w:numPr>
                <w:ilvl w:val="0"/>
                <w:numId w:val="14"/>
              </w:numPr>
              <w:spacing w:after="0"/>
            </w:pPr>
            <w:r w:rsidRPr="003C2030">
              <w:t>P3: The POs with NRS are quasi-uniformly/uniformly distributed from UE perspective.</w:t>
            </w:r>
          </w:p>
          <w:p w14:paraId="2E5287DB" w14:textId="0C7C116F" w:rsidR="004558E6" w:rsidRDefault="004558E6" w:rsidP="0006785B">
            <w:pPr>
              <w:numPr>
                <w:ilvl w:val="0"/>
                <w:numId w:val="14"/>
              </w:numPr>
              <w:spacing w:after="0"/>
            </w:pPr>
            <w:r w:rsidRPr="003C2030">
              <w:t>P4: The POs with NRS are quasi-uniformly/uniformly distributed from network perspective.</w:t>
            </w:r>
          </w:p>
          <w:p w14:paraId="0EB57B89" w14:textId="77777777" w:rsidR="004558E6" w:rsidRPr="004558E6" w:rsidRDefault="004558E6" w:rsidP="004558E6">
            <w:pPr>
              <w:spacing w:after="0"/>
              <w:ind w:left="720"/>
            </w:pPr>
          </w:p>
          <w:p w14:paraId="05FCAAED" w14:textId="6350F0B0" w:rsidR="00306AAF" w:rsidRDefault="00647010" w:rsidP="0006785B">
            <w:pPr>
              <w:rPr>
                <w:rFonts w:eastAsia="SimSun"/>
                <w:noProof/>
              </w:rPr>
            </w:pPr>
            <w:r>
              <w:rPr>
                <w:rFonts w:eastAsia="SimSun"/>
                <w:noProof/>
              </w:rPr>
              <w:t xml:space="preserve">This </w:t>
            </w:r>
            <w:r w:rsidR="00306AAF">
              <w:rPr>
                <w:rFonts w:eastAsia="SimSun"/>
                <w:noProof/>
              </w:rPr>
              <w:t>i</w:t>
            </w:r>
            <w:r>
              <w:rPr>
                <w:rFonts w:eastAsia="SimSun"/>
                <w:noProof/>
              </w:rPr>
              <w:t>s why we have proposed to introduce a new section, which specifies the position of the POs from the NW point of view and which POs have NRS. This is similar to 7.2 which specifies the pag</w:t>
            </w:r>
            <w:r w:rsidR="00306AAF">
              <w:rPr>
                <w:rFonts w:eastAsia="SimSun"/>
                <w:noProof/>
              </w:rPr>
              <w:t>i</w:t>
            </w:r>
            <w:r>
              <w:rPr>
                <w:rFonts w:eastAsia="SimSun"/>
                <w:noProof/>
              </w:rPr>
              <w:t xml:space="preserve">ng subframe form NW point of view. </w:t>
            </w:r>
          </w:p>
          <w:p w14:paraId="48019076" w14:textId="332E7970" w:rsidR="001F728A" w:rsidRDefault="00306AAF" w:rsidP="00306AAF">
            <w:pPr>
              <w:rPr>
                <w:rFonts w:eastAsia="SimSun"/>
                <w:noProof/>
              </w:rPr>
            </w:pPr>
            <w:r>
              <w:rPr>
                <w:rFonts w:eastAsia="SimSun"/>
                <w:noProof/>
              </w:rPr>
              <w:t xml:space="preserve">By combining the description in </w:t>
            </w:r>
            <w:r w:rsidR="004558E6">
              <w:rPr>
                <w:rFonts w:eastAsia="SimSun"/>
                <w:noProof/>
              </w:rPr>
              <w:t xml:space="preserve">TS </w:t>
            </w:r>
            <w:r>
              <w:rPr>
                <w:rFonts w:eastAsia="SimSun"/>
                <w:noProof/>
              </w:rPr>
              <w:t xml:space="preserve">36.304 and </w:t>
            </w:r>
            <w:r w:rsidR="004558E6">
              <w:rPr>
                <w:rFonts w:eastAsia="SimSun"/>
                <w:noProof/>
              </w:rPr>
              <w:t xml:space="preserve">TS </w:t>
            </w:r>
            <w:r>
              <w:rPr>
                <w:rFonts w:eastAsia="SimSun"/>
                <w:noProof/>
              </w:rPr>
              <w:t>36.211, the UE knows the subframes carring NRS and then it is up to the UE implementation to use or them of not</w:t>
            </w:r>
            <w:r w:rsidR="004558E6">
              <w:rPr>
                <w:rFonts w:eastAsia="SimSun"/>
                <w:noProof/>
              </w:rPr>
              <w:t>.</w:t>
            </w:r>
          </w:p>
        </w:tc>
      </w:tr>
    </w:tbl>
    <w:p w14:paraId="41B86FFC" w14:textId="72447DAC" w:rsidR="00565C2D" w:rsidRDefault="00565C2D" w:rsidP="00565C2D"/>
    <w:p w14:paraId="5BACE765" w14:textId="77777777" w:rsidR="00565C2D" w:rsidRDefault="00565C2D" w:rsidP="00565C2D">
      <w:r>
        <w:t>Conclusion: TBC</w:t>
      </w:r>
    </w:p>
    <w:p w14:paraId="1335E729" w14:textId="77777777" w:rsidR="00565C2D" w:rsidRDefault="00565C2D" w:rsidP="00565C2D">
      <w:r>
        <w:t>Proposal: TBC</w:t>
      </w:r>
    </w:p>
    <w:p w14:paraId="15F1BEBA" w14:textId="77777777" w:rsidR="00565C2D" w:rsidRPr="00015464" w:rsidRDefault="00565C2D" w:rsidP="00565C2D"/>
    <w:p w14:paraId="5FF2457F" w14:textId="0880D187" w:rsidR="00A209D6" w:rsidRPr="006E13D1" w:rsidRDefault="00086A67" w:rsidP="00A209D6">
      <w:pPr>
        <w:pStyle w:val="Heading1"/>
      </w:pPr>
      <w:r>
        <w:lastRenderedPageBreak/>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4234FC9B" w14:textId="02187830" w:rsidR="00811DD2" w:rsidRDefault="00811DD2" w:rsidP="00A209D6">
      <w:pPr>
        <w:rPr>
          <w:b/>
          <w:u w:val="single"/>
        </w:rPr>
      </w:pPr>
      <w:r>
        <w:rPr>
          <w:b/>
          <w:u w:val="single"/>
        </w:rPr>
        <w:t>Agreed CRs:</w:t>
      </w:r>
    </w:p>
    <w:p w14:paraId="2459A103" w14:textId="5A780BFF" w:rsidR="00811DD2" w:rsidRPr="00811DD2" w:rsidRDefault="00B21F69" w:rsidP="00811DD2">
      <w:pPr>
        <w:rPr>
          <w:bCs/>
        </w:rPr>
      </w:pPr>
      <w:r>
        <w:rPr>
          <w:bCs/>
          <w:highlight w:val="yellow"/>
        </w:rPr>
        <w:t>TBC</w:t>
      </w:r>
      <w:r w:rsidR="00811DD2" w:rsidRPr="00811DD2">
        <w:rPr>
          <w:bCs/>
          <w:highlight w:val="yellow"/>
        </w:rPr>
        <w:t xml:space="preserve"> –</w:t>
      </w:r>
      <w:r w:rsidR="00565C2D">
        <w:rPr>
          <w:bCs/>
          <w:highlight w:val="yellow"/>
        </w:rPr>
        <w:t xml:space="preserve"> </w:t>
      </w:r>
      <w:r w:rsidR="00811DD2">
        <w:rPr>
          <w:bCs/>
          <w:highlight w:val="yellow"/>
        </w:rPr>
        <w:t xml:space="preserve">agreed </w:t>
      </w:r>
      <w:r w:rsidR="00565C2D">
        <w:rPr>
          <w:bCs/>
          <w:highlight w:val="yellow"/>
        </w:rPr>
        <w:t xml:space="preserve">TPs for 36.331 and 36.304 running CRs </w:t>
      </w:r>
      <w:r w:rsidR="00811DD2">
        <w:rPr>
          <w:bCs/>
          <w:highlight w:val="yellow"/>
        </w:rPr>
        <w:t>(with Tdoc numbers)</w:t>
      </w:r>
      <w:r w:rsidR="00811DD2"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8D2748A" w14:textId="7305C9E6" w:rsidR="00565C2D" w:rsidRPr="00565C2D" w:rsidRDefault="00811DD2" w:rsidP="00565C2D">
      <w:pPr>
        <w:pStyle w:val="Doc-title"/>
        <w:rPr>
          <w:rFonts w:ascii="Times New Roman" w:hAnsi="Times New Roman"/>
        </w:rPr>
      </w:pPr>
      <w:r w:rsidRPr="00565C2D">
        <w:rPr>
          <w:rFonts w:ascii="Times New Roman" w:hAnsi="Times New Roman"/>
        </w:rPr>
        <w:t>[1]</w:t>
      </w:r>
      <w:r w:rsidR="00B21F69" w:rsidRPr="00565C2D">
        <w:rPr>
          <w:rFonts w:ascii="Times New Roman" w:hAnsi="Times New Roman"/>
        </w:rPr>
        <w:t xml:space="preserve"> </w:t>
      </w:r>
      <w:hyperlink r:id="rId14" w:tooltip="http://www.3gpp.org/ftp/tsg_ran/WG2_RL2/TSGR2_109_eDocsR2-2000624.zip" w:history="1">
        <w:r w:rsidR="00565C2D" w:rsidRPr="00565C2D">
          <w:rPr>
            <w:rStyle w:val="Hyperlink"/>
            <w:rFonts w:ascii="Times New Roman" w:hAnsi="Times New Roman"/>
          </w:rPr>
          <w:t>R2-2000624</w:t>
        </w:r>
      </w:hyperlink>
      <w:r w:rsidR="00565C2D">
        <w:rPr>
          <w:rFonts w:ascii="Times New Roman" w:hAnsi="Times New Roman"/>
        </w:rPr>
        <w:t xml:space="preserve"> </w:t>
      </w:r>
      <w:r w:rsidR="00565C2D" w:rsidRPr="00565C2D">
        <w:rPr>
          <w:rFonts w:ascii="Times New Roman" w:hAnsi="Times New Roman"/>
        </w:rPr>
        <w:t>NRS presence on non-anchor paging carrier</w:t>
      </w:r>
      <w:r w:rsidR="00565C2D" w:rsidRPr="00565C2D">
        <w:rPr>
          <w:rFonts w:ascii="Times New Roman" w:hAnsi="Times New Roman"/>
        </w:rPr>
        <w:tab/>
        <w:t>Huawei, HiSilicon</w:t>
      </w:r>
      <w:r w:rsidR="00565C2D" w:rsidRPr="00565C2D">
        <w:rPr>
          <w:rFonts w:ascii="Times New Roman" w:hAnsi="Times New Roman"/>
        </w:rPr>
        <w:tab/>
        <w:t>discussion</w:t>
      </w:r>
      <w:r w:rsidR="00565C2D" w:rsidRPr="00565C2D">
        <w:rPr>
          <w:rFonts w:ascii="Times New Roman" w:hAnsi="Times New Roman"/>
        </w:rPr>
        <w:tab/>
        <w:t>Rel-16</w:t>
      </w:r>
      <w:r w:rsidR="00565C2D" w:rsidRPr="00565C2D">
        <w:rPr>
          <w:rFonts w:ascii="Times New Roman" w:hAnsi="Times New Roman"/>
        </w:rPr>
        <w:tab/>
        <w:t>NB_IOTenh3-Core</w:t>
      </w:r>
    </w:p>
    <w:p w14:paraId="115EB516" w14:textId="1273A01F" w:rsidR="00015464" w:rsidRPr="00015464" w:rsidRDefault="00015464" w:rsidP="00015464">
      <w:pPr>
        <w:pStyle w:val="Doc-title"/>
        <w:rPr>
          <w:rFonts w:ascii="Times New Roman" w:hAnsi="Times New Roman"/>
        </w:rPr>
      </w:pPr>
    </w:p>
    <w:p w14:paraId="71A96144" w14:textId="4CC3DF6A" w:rsidR="00CA5813" w:rsidRDefault="00CA5813" w:rsidP="00015464">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B61EF" w14:textId="77777777" w:rsidR="00943B1A" w:rsidRDefault="00943B1A">
      <w:r>
        <w:separator/>
      </w:r>
    </w:p>
  </w:endnote>
  <w:endnote w:type="continuationSeparator" w:id="0">
    <w:p w14:paraId="40960ADD" w14:textId="77777777" w:rsidR="00943B1A" w:rsidRDefault="00943B1A">
      <w:r>
        <w:continuationSeparator/>
      </w:r>
    </w:p>
  </w:endnote>
  <w:endnote w:type="continuationNotice" w:id="1">
    <w:p w14:paraId="3E8B11E2" w14:textId="77777777" w:rsidR="00943B1A" w:rsidRDefault="00943B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D0760" w14:textId="77777777" w:rsidR="00943B1A" w:rsidRDefault="00943B1A">
      <w:r>
        <w:separator/>
      </w:r>
    </w:p>
  </w:footnote>
  <w:footnote w:type="continuationSeparator" w:id="0">
    <w:p w14:paraId="33225744" w14:textId="77777777" w:rsidR="00943B1A" w:rsidRDefault="00943B1A">
      <w:r>
        <w:continuationSeparator/>
      </w:r>
    </w:p>
  </w:footnote>
  <w:footnote w:type="continuationNotice" w:id="1">
    <w:p w14:paraId="466FDFB4" w14:textId="77777777" w:rsidR="00943B1A" w:rsidRDefault="00943B1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E6195"/>
    <w:multiLevelType w:val="hybridMultilevel"/>
    <w:tmpl w:val="DEAE6DB0"/>
    <w:lvl w:ilvl="0" w:tplc="38626082">
      <w:start w:val="2"/>
      <w:numFmt w:val="bullet"/>
      <w:lvlText w:val="-"/>
      <w:lvlJc w:val="left"/>
      <w:pPr>
        <w:ind w:left="360" w:hanging="360"/>
      </w:pPr>
      <w:rPr>
        <w:rFonts w:ascii="Calibri" w:eastAsia="Malgun Gothic"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464"/>
    <w:rsid w:val="00016557"/>
    <w:rsid w:val="00023C40"/>
    <w:rsid w:val="000248D3"/>
    <w:rsid w:val="00033397"/>
    <w:rsid w:val="00040095"/>
    <w:rsid w:val="00057166"/>
    <w:rsid w:val="00065A43"/>
    <w:rsid w:val="00073C9C"/>
    <w:rsid w:val="00080512"/>
    <w:rsid w:val="00086A67"/>
    <w:rsid w:val="00090468"/>
    <w:rsid w:val="000934C4"/>
    <w:rsid w:val="00094568"/>
    <w:rsid w:val="000A2E98"/>
    <w:rsid w:val="000B7BCF"/>
    <w:rsid w:val="000C0DE3"/>
    <w:rsid w:val="000C2B74"/>
    <w:rsid w:val="000C522B"/>
    <w:rsid w:val="000D58AB"/>
    <w:rsid w:val="000F2814"/>
    <w:rsid w:val="000F3DFD"/>
    <w:rsid w:val="000F5F44"/>
    <w:rsid w:val="00112F1A"/>
    <w:rsid w:val="00145075"/>
    <w:rsid w:val="00160AEE"/>
    <w:rsid w:val="00162896"/>
    <w:rsid w:val="0017103E"/>
    <w:rsid w:val="001741A0"/>
    <w:rsid w:val="00175FA0"/>
    <w:rsid w:val="00194CD0"/>
    <w:rsid w:val="001B49C9"/>
    <w:rsid w:val="001C23F4"/>
    <w:rsid w:val="001C4F79"/>
    <w:rsid w:val="001D0831"/>
    <w:rsid w:val="001E1740"/>
    <w:rsid w:val="001E1D6B"/>
    <w:rsid w:val="001E229F"/>
    <w:rsid w:val="001E6337"/>
    <w:rsid w:val="001F168B"/>
    <w:rsid w:val="001F592D"/>
    <w:rsid w:val="001F728A"/>
    <w:rsid w:val="001F7831"/>
    <w:rsid w:val="00204045"/>
    <w:rsid w:val="0020712B"/>
    <w:rsid w:val="0022606D"/>
    <w:rsid w:val="00231728"/>
    <w:rsid w:val="00235941"/>
    <w:rsid w:val="00250404"/>
    <w:rsid w:val="0025557A"/>
    <w:rsid w:val="002610D8"/>
    <w:rsid w:val="002747EC"/>
    <w:rsid w:val="002855BF"/>
    <w:rsid w:val="002A6F90"/>
    <w:rsid w:val="002B0A69"/>
    <w:rsid w:val="002D5D7B"/>
    <w:rsid w:val="002E285D"/>
    <w:rsid w:val="002F0D22"/>
    <w:rsid w:val="00306AAF"/>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59ED"/>
    <w:rsid w:val="00447DA0"/>
    <w:rsid w:val="004558E6"/>
    <w:rsid w:val="00465587"/>
    <w:rsid w:val="00477455"/>
    <w:rsid w:val="004A1F7B"/>
    <w:rsid w:val="004C37C0"/>
    <w:rsid w:val="004C44D2"/>
    <w:rsid w:val="004D3578"/>
    <w:rsid w:val="004D380D"/>
    <w:rsid w:val="004E213A"/>
    <w:rsid w:val="00503171"/>
    <w:rsid w:val="00506C28"/>
    <w:rsid w:val="00534DA0"/>
    <w:rsid w:val="00543E6C"/>
    <w:rsid w:val="00565087"/>
    <w:rsid w:val="0056573F"/>
    <w:rsid w:val="00565C2D"/>
    <w:rsid w:val="00596C0D"/>
    <w:rsid w:val="0059780C"/>
    <w:rsid w:val="005A24F5"/>
    <w:rsid w:val="005A56F0"/>
    <w:rsid w:val="005B33DF"/>
    <w:rsid w:val="00611566"/>
    <w:rsid w:val="00646D99"/>
    <w:rsid w:val="00647010"/>
    <w:rsid w:val="00656910"/>
    <w:rsid w:val="006569EF"/>
    <w:rsid w:val="006574C0"/>
    <w:rsid w:val="00680D20"/>
    <w:rsid w:val="006B697F"/>
    <w:rsid w:val="006C66D8"/>
    <w:rsid w:val="006D1E24"/>
    <w:rsid w:val="006E1417"/>
    <w:rsid w:val="006F6A2C"/>
    <w:rsid w:val="0070135E"/>
    <w:rsid w:val="007069DC"/>
    <w:rsid w:val="00710201"/>
    <w:rsid w:val="007140CD"/>
    <w:rsid w:val="0072073A"/>
    <w:rsid w:val="007272AC"/>
    <w:rsid w:val="007342B5"/>
    <w:rsid w:val="00734A5B"/>
    <w:rsid w:val="00736801"/>
    <w:rsid w:val="00741069"/>
    <w:rsid w:val="0074383A"/>
    <w:rsid w:val="00744E76"/>
    <w:rsid w:val="00753905"/>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315D1"/>
    <w:rsid w:val="00840DE0"/>
    <w:rsid w:val="0085285C"/>
    <w:rsid w:val="00853E41"/>
    <w:rsid w:val="0086354A"/>
    <w:rsid w:val="008768CA"/>
    <w:rsid w:val="00877EF9"/>
    <w:rsid w:val="00880559"/>
    <w:rsid w:val="00891B44"/>
    <w:rsid w:val="008B5306"/>
    <w:rsid w:val="008C2E2A"/>
    <w:rsid w:val="008C3057"/>
    <w:rsid w:val="008D2E4D"/>
    <w:rsid w:val="008F396F"/>
    <w:rsid w:val="008F3DCD"/>
    <w:rsid w:val="008F5581"/>
    <w:rsid w:val="008F770A"/>
    <w:rsid w:val="0090271F"/>
    <w:rsid w:val="00902DB9"/>
    <w:rsid w:val="0090466A"/>
    <w:rsid w:val="00912562"/>
    <w:rsid w:val="00923655"/>
    <w:rsid w:val="0092461D"/>
    <w:rsid w:val="00936071"/>
    <w:rsid w:val="009376CD"/>
    <w:rsid w:val="00937E2B"/>
    <w:rsid w:val="00940212"/>
    <w:rsid w:val="00942EC2"/>
    <w:rsid w:val="00943B1A"/>
    <w:rsid w:val="00945FAF"/>
    <w:rsid w:val="00961B32"/>
    <w:rsid w:val="00962509"/>
    <w:rsid w:val="00970DB3"/>
    <w:rsid w:val="00974BB0"/>
    <w:rsid w:val="00975BCD"/>
    <w:rsid w:val="0099212D"/>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0E8"/>
    <w:rsid w:val="00A82346"/>
    <w:rsid w:val="00A9671C"/>
    <w:rsid w:val="00A97A7F"/>
    <w:rsid w:val="00AA1553"/>
    <w:rsid w:val="00AD6060"/>
    <w:rsid w:val="00AE2839"/>
    <w:rsid w:val="00B04E37"/>
    <w:rsid w:val="00B05380"/>
    <w:rsid w:val="00B05962"/>
    <w:rsid w:val="00B15449"/>
    <w:rsid w:val="00B16C2F"/>
    <w:rsid w:val="00B21F69"/>
    <w:rsid w:val="00B27303"/>
    <w:rsid w:val="00B4050E"/>
    <w:rsid w:val="00B47FD1"/>
    <w:rsid w:val="00B516BB"/>
    <w:rsid w:val="00B84DB2"/>
    <w:rsid w:val="00B93EA0"/>
    <w:rsid w:val="00BB7A70"/>
    <w:rsid w:val="00BC3555"/>
    <w:rsid w:val="00BD0820"/>
    <w:rsid w:val="00BE1FBD"/>
    <w:rsid w:val="00BF65A0"/>
    <w:rsid w:val="00C0272E"/>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D134A4"/>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24C7"/>
    <w:rsid w:val="00D96D11"/>
    <w:rsid w:val="00DA7A03"/>
    <w:rsid w:val="00DB0DB8"/>
    <w:rsid w:val="00DB1818"/>
    <w:rsid w:val="00DB59E5"/>
    <w:rsid w:val="00DB6CE5"/>
    <w:rsid w:val="00DC12D2"/>
    <w:rsid w:val="00DC309B"/>
    <w:rsid w:val="00DC4DA2"/>
    <w:rsid w:val="00DC5261"/>
    <w:rsid w:val="00DD4442"/>
    <w:rsid w:val="00DE25D2"/>
    <w:rsid w:val="00E3664C"/>
    <w:rsid w:val="00E46C08"/>
    <w:rsid w:val="00E471CF"/>
    <w:rsid w:val="00E62835"/>
    <w:rsid w:val="00E72474"/>
    <w:rsid w:val="00E76FFE"/>
    <w:rsid w:val="00E77645"/>
    <w:rsid w:val="00E83697"/>
    <w:rsid w:val="00EA11A6"/>
    <w:rsid w:val="00EA66C9"/>
    <w:rsid w:val="00EC4A25"/>
    <w:rsid w:val="00EE2ED5"/>
    <w:rsid w:val="00F025A2"/>
    <w:rsid w:val="00F0364B"/>
    <w:rsid w:val="00F036E9"/>
    <w:rsid w:val="00F07388"/>
    <w:rsid w:val="00F2026E"/>
    <w:rsid w:val="00F2046C"/>
    <w:rsid w:val="00F2210A"/>
    <w:rsid w:val="00F35C97"/>
    <w:rsid w:val="00F37743"/>
    <w:rsid w:val="00F54A3D"/>
    <w:rsid w:val="00F54CB0"/>
    <w:rsid w:val="00F579CD"/>
    <w:rsid w:val="00F610B7"/>
    <w:rsid w:val="00F653B8"/>
    <w:rsid w:val="00F71B89"/>
    <w:rsid w:val="00F7353C"/>
    <w:rsid w:val="00F76F8F"/>
    <w:rsid w:val="00F941DF"/>
    <w:rsid w:val="00FA1266"/>
    <w:rsid w:val="00FA7EFF"/>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B2Char">
    <w:name w:val="B2 Char"/>
    <w:link w:val="B2"/>
    <w:rsid w:val="0017103E"/>
    <w:rPr>
      <w:lang w:eastAsia="en-US"/>
    </w:rPr>
  </w:style>
  <w:style w:type="character" w:customStyle="1" w:styleId="B3Char2">
    <w:name w:val="B3 Char2"/>
    <w:link w:val="B3"/>
    <w:rsid w:val="0017103E"/>
    <w:rPr>
      <w:lang w:eastAsia="en-US"/>
    </w:rPr>
  </w:style>
  <w:style w:type="character" w:customStyle="1" w:styleId="B4Char">
    <w:name w:val="B4 Char"/>
    <w:link w:val="B4"/>
    <w:rsid w:val="0017103E"/>
    <w:rPr>
      <w:lang w:eastAsia="en-US"/>
    </w:rPr>
  </w:style>
  <w:style w:type="character" w:customStyle="1" w:styleId="B1Char1">
    <w:name w:val="B1 Char1"/>
    <w:link w:val="B1"/>
    <w:qFormat/>
    <w:rsid w:val="001710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2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_e\Docs\R2-200062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6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46</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7089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Huawei</cp:lastModifiedBy>
  <cp:revision>6</cp:revision>
  <dcterms:created xsi:type="dcterms:W3CDTF">2020-02-26T14:55:00Z</dcterms:created>
  <dcterms:modified xsi:type="dcterms:W3CDTF">2020-02-27T12:02:00Z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1582804453</vt:lpwstr>
  </property>
</Properties>
</file>