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6DC80" w14:textId="77777777" w:rsidR="00935D2C" w:rsidRDefault="005D274B">
      <w:pPr>
        <w:pStyle w:val="Header"/>
        <w:tabs>
          <w:tab w:val="right" w:pos="9639"/>
        </w:tabs>
        <w:rPr>
          <w:bCs/>
          <w:i/>
          <w:sz w:val="24"/>
          <w:szCs w:val="24"/>
        </w:rPr>
      </w:pPr>
      <w:r>
        <w:rPr>
          <w:bCs/>
          <w:sz w:val="24"/>
          <w:szCs w:val="24"/>
        </w:rPr>
        <w:t>3GPP TSG-RAN WG2 Meeting #109e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20xxxxx</w:t>
      </w:r>
    </w:p>
    <w:p w14:paraId="1825E3A2" w14:textId="77777777" w:rsidR="00935D2C" w:rsidRDefault="005D274B">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24 February – 6 March 2020</w:t>
      </w:r>
      <w:r>
        <w:rPr>
          <w:rFonts w:eastAsia="SimSun"/>
          <w:sz w:val="24"/>
          <w:szCs w:val="24"/>
          <w:lang w:eastAsia="zh-CN"/>
        </w:rPr>
        <w:tab/>
      </w:r>
    </w:p>
    <w:p w14:paraId="009A7C1F" w14:textId="77777777" w:rsidR="00935D2C" w:rsidRDefault="00935D2C">
      <w:pPr>
        <w:pStyle w:val="Header"/>
        <w:rPr>
          <w:bCs/>
          <w:sz w:val="24"/>
        </w:rPr>
      </w:pPr>
    </w:p>
    <w:p w14:paraId="41986291" w14:textId="77777777" w:rsidR="00935D2C" w:rsidRDefault="00935D2C">
      <w:pPr>
        <w:pStyle w:val="Header"/>
        <w:rPr>
          <w:bCs/>
          <w:sz w:val="24"/>
        </w:rPr>
      </w:pPr>
    </w:p>
    <w:p w14:paraId="0E0A1C16" w14:textId="77777777" w:rsidR="00935D2C" w:rsidRDefault="005D274B">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6.9.4.2</w:t>
      </w:r>
    </w:p>
    <w:p w14:paraId="34E43AE7" w14:textId="77777777" w:rsidR="00935D2C" w:rsidRDefault="005D274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CATT (offline rapporteur)</w:t>
      </w:r>
    </w:p>
    <w:p w14:paraId="32B491A0" w14:textId="77777777" w:rsidR="00935D2C" w:rsidRDefault="005D274B">
      <w:pPr>
        <w:ind w:left="1985" w:hanging="1985"/>
        <w:rPr>
          <w:rFonts w:ascii="Arial" w:hAnsi="Arial" w:cs="Arial"/>
          <w:b/>
          <w:bCs/>
          <w:sz w:val="24"/>
        </w:rPr>
      </w:pPr>
      <w:r>
        <w:rPr>
          <w:rFonts w:ascii="Arial" w:hAnsi="Arial" w:cs="Arial"/>
          <w:b/>
          <w:bCs/>
          <w:sz w:val="24"/>
        </w:rPr>
        <w:t>Title:</w:t>
      </w:r>
      <w:r>
        <w:rPr>
          <w:rFonts w:ascii="Arial" w:hAnsi="Arial" w:cs="Arial"/>
          <w:b/>
          <w:bCs/>
          <w:sz w:val="24"/>
        </w:rPr>
        <w:tab/>
        <w:t>Terminology and other open issues for stage 3 capturing of CPC</w:t>
      </w:r>
      <w:r>
        <w:t xml:space="preserve"> </w:t>
      </w:r>
    </w:p>
    <w:p w14:paraId="54437B91" w14:textId="77777777" w:rsidR="00935D2C" w:rsidRDefault="005D274B">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b/>
          <w:bCs/>
          <w:sz w:val="24"/>
        </w:rPr>
        <w:t>NR_Mob_enh-Core - Release 16</w:t>
      </w:r>
    </w:p>
    <w:p w14:paraId="3BE85EB7" w14:textId="77777777" w:rsidR="00935D2C" w:rsidRDefault="005D274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C8661AE" w14:textId="77777777" w:rsidR="00935D2C" w:rsidRDefault="005D274B">
      <w:pPr>
        <w:pStyle w:val="Heading1"/>
      </w:pPr>
      <w:r>
        <w:t>1</w:t>
      </w:r>
      <w:r>
        <w:tab/>
        <w:t>Brief scope of the Conditional PSCell Change</w:t>
      </w:r>
    </w:p>
    <w:p w14:paraId="2A5E29D4" w14:textId="77777777" w:rsidR="00935D2C" w:rsidRDefault="005D274B">
      <w:r>
        <w:t xml:space="preserve">This document is to discuss the open issues for TS 38.331 CR capturing agreements for CPC. The issue of terminology was raised during the email discussion 108#67. Any other stage 3 issues requiring discussion/ wider company opinion can be included in other section of this document. </w:t>
      </w:r>
    </w:p>
    <w:p w14:paraId="797766C7" w14:textId="77777777" w:rsidR="00935D2C" w:rsidRDefault="005D274B">
      <w:pPr>
        <w:pStyle w:val="Heading1"/>
      </w:pPr>
      <w:r>
        <w:t>2</w:t>
      </w:r>
      <w:r>
        <w:tab/>
        <w:t>Terminology for capturing CPC</w:t>
      </w:r>
    </w:p>
    <w:p w14:paraId="74AEEC68" w14:textId="77777777" w:rsidR="00935D2C" w:rsidRDefault="005D274B">
      <w:pPr>
        <w:tabs>
          <w:tab w:val="left" w:pos="1622"/>
        </w:tabs>
        <w:spacing w:line="276" w:lineRule="auto"/>
        <w:rPr>
          <w:rFonts w:eastAsia="MS Mincho"/>
          <w:bCs/>
          <w:color w:val="222222"/>
          <w:shd w:val="clear" w:color="auto" w:fill="FFFFFF"/>
          <w:lang w:eastAsia="en-GB"/>
        </w:rPr>
      </w:pPr>
      <w:r>
        <w:rPr>
          <w:bCs/>
          <w:color w:val="222222"/>
          <w:shd w:val="clear" w:color="auto" w:fill="FFFFFF"/>
        </w:rPr>
        <w:t>During email discussion 108#67, all companies agree to reuse the IE defined for CHO even for CPC. The field name of the IE could be changed to reflect that the IE is used for both CHO and CPC.</w:t>
      </w:r>
    </w:p>
    <w:p w14:paraId="75B04565" w14:textId="77777777" w:rsidR="00935D2C" w:rsidRDefault="005D274B">
      <w:pPr>
        <w:tabs>
          <w:tab w:val="left" w:pos="1622"/>
        </w:tabs>
        <w:spacing w:line="276" w:lineRule="auto"/>
        <w:rPr>
          <w:rFonts w:eastAsia="MS Mincho"/>
          <w:bCs/>
          <w:color w:val="222222"/>
          <w:shd w:val="clear" w:color="auto" w:fill="FFFFFF"/>
          <w:lang w:eastAsia="en-GB"/>
        </w:rPr>
      </w:pPr>
      <w:r>
        <w:rPr>
          <w:rFonts w:eastAsia="MS Mincho"/>
          <w:bCs/>
          <w:color w:val="222222"/>
          <w:shd w:val="clear" w:color="auto" w:fill="FFFFFF"/>
          <w:lang w:eastAsia="en-GB"/>
        </w:rPr>
        <w:t>The draft CR for TS 38.331 uses the terminology option 1 while [R2-2001163] proposes a terminology option 2. “</w:t>
      </w:r>
      <w:proofErr w:type="spellStart"/>
      <w:proofErr w:type="gramStart"/>
      <w:r>
        <w:rPr>
          <w:rFonts w:eastAsia="MS Mincho"/>
          <w:bCs/>
          <w:color w:val="222222"/>
          <w:shd w:val="clear" w:color="auto" w:fill="FFFFFF"/>
          <w:lang w:eastAsia="en-GB"/>
        </w:rPr>
        <w:t>csc</w:t>
      </w:r>
      <w:proofErr w:type="spellEnd"/>
      <w:proofErr w:type="gramEnd"/>
      <w:r>
        <w:rPr>
          <w:rFonts w:eastAsia="MS Mincho"/>
          <w:bCs/>
          <w:color w:val="222222"/>
          <w:shd w:val="clear" w:color="auto" w:fill="FFFFFF"/>
          <w:lang w:eastAsia="en-GB"/>
        </w:rPr>
        <w:t xml:space="preserve">” in option 2 stands for “Conditional SPCell Change”. </w:t>
      </w:r>
    </w:p>
    <w:tbl>
      <w:tblPr>
        <w:tblStyle w:val="TableGrid"/>
        <w:tblW w:w="9631" w:type="dxa"/>
        <w:tblLayout w:type="fixed"/>
        <w:tblLook w:val="04A0" w:firstRow="1" w:lastRow="0" w:firstColumn="1" w:lastColumn="0" w:noHBand="0" w:noVBand="1"/>
      </w:tblPr>
      <w:tblGrid>
        <w:gridCol w:w="4819"/>
        <w:gridCol w:w="4812"/>
      </w:tblGrid>
      <w:tr w:rsidR="00935D2C" w14:paraId="09945D39" w14:textId="77777777">
        <w:tc>
          <w:tcPr>
            <w:tcW w:w="4819" w:type="dxa"/>
          </w:tcPr>
          <w:p w14:paraId="06631806" w14:textId="77777777" w:rsidR="00935D2C" w:rsidRDefault="005D274B">
            <w:pPr>
              <w:tabs>
                <w:tab w:val="left" w:pos="1622"/>
              </w:tabs>
              <w:spacing w:line="276" w:lineRule="auto"/>
              <w:rPr>
                <w:rFonts w:ascii="Arial" w:eastAsia="MS Mincho" w:hAnsi="Arial" w:cs="Arial"/>
                <w:bCs/>
                <w:color w:val="222222"/>
                <w:shd w:val="clear" w:color="auto" w:fill="FFFFFF"/>
                <w:lang w:eastAsia="en-GB"/>
              </w:rPr>
            </w:pPr>
            <w:r>
              <w:rPr>
                <w:rFonts w:ascii="Arial" w:eastAsia="MS Mincho" w:hAnsi="Arial" w:cs="Arial"/>
                <w:bCs/>
                <w:color w:val="222222"/>
                <w:shd w:val="clear" w:color="auto" w:fill="FFFFFF"/>
                <w:lang w:eastAsia="en-GB"/>
              </w:rPr>
              <w:t>Option 1(used in draft CR)</w:t>
            </w:r>
          </w:p>
        </w:tc>
        <w:tc>
          <w:tcPr>
            <w:tcW w:w="4812" w:type="dxa"/>
          </w:tcPr>
          <w:p w14:paraId="229D5A0D" w14:textId="77777777" w:rsidR="00935D2C" w:rsidRDefault="005D274B">
            <w:pPr>
              <w:tabs>
                <w:tab w:val="left" w:pos="1622"/>
              </w:tabs>
              <w:spacing w:line="276" w:lineRule="auto"/>
              <w:rPr>
                <w:rFonts w:ascii="Arial" w:eastAsia="MS Mincho" w:hAnsi="Arial" w:cs="Arial"/>
                <w:bCs/>
                <w:color w:val="222222"/>
                <w:shd w:val="clear" w:color="auto" w:fill="FFFFFF"/>
                <w:lang w:eastAsia="en-GB"/>
              </w:rPr>
            </w:pPr>
            <w:r>
              <w:rPr>
                <w:rFonts w:ascii="Arial" w:eastAsia="MS Mincho" w:hAnsi="Arial" w:cs="Arial"/>
                <w:bCs/>
                <w:color w:val="222222"/>
                <w:shd w:val="clear" w:color="auto" w:fill="FFFFFF"/>
                <w:lang w:eastAsia="en-GB"/>
              </w:rPr>
              <w:t>Option 2 [R2-2001163]</w:t>
            </w:r>
          </w:p>
        </w:tc>
      </w:tr>
      <w:tr w:rsidR="00935D2C" w14:paraId="32CB6419" w14:textId="77777777">
        <w:tc>
          <w:tcPr>
            <w:tcW w:w="4819" w:type="dxa"/>
          </w:tcPr>
          <w:p w14:paraId="1BC90589" w14:textId="77777777" w:rsidR="00935D2C" w:rsidRDefault="005D274B">
            <w:pPr>
              <w:pStyle w:val="ListParagraph"/>
              <w:numPr>
                <w:ilvl w:val="0"/>
                <w:numId w:val="2"/>
              </w:numPr>
              <w:tabs>
                <w:tab w:val="left" w:pos="1622"/>
              </w:tabs>
              <w:spacing w:after="0" w:line="276" w:lineRule="auto"/>
              <w:rPr>
                <w:rFonts w:ascii="Arial" w:eastAsia="MS Mincho" w:hAnsi="Arial" w:cs="Arial"/>
                <w:bCs/>
                <w:color w:val="222222"/>
                <w:shd w:val="clear" w:color="auto" w:fill="FFFFFF"/>
                <w:lang w:eastAsia="en-GB"/>
              </w:rPr>
            </w:pPr>
            <w:proofErr w:type="spellStart"/>
            <w:r>
              <w:rPr>
                <w:rFonts w:ascii="Arial" w:eastAsia="MS Mincho" w:hAnsi="Arial" w:cs="Arial"/>
                <w:bCs/>
                <w:color w:val="222222"/>
                <w:shd w:val="clear" w:color="auto" w:fill="FFFFFF"/>
                <w:lang w:eastAsia="en-GB"/>
              </w:rPr>
              <w:t>conditionalReconfiguration</w:t>
            </w:r>
            <w:proofErr w:type="spellEnd"/>
            <w:r>
              <w:rPr>
                <w:rFonts w:ascii="Arial" w:eastAsia="MS Mincho" w:hAnsi="Arial" w:cs="Arial"/>
                <w:bCs/>
                <w:color w:val="222222"/>
                <w:shd w:val="clear" w:color="auto" w:fill="FFFFFF"/>
                <w:lang w:eastAsia="en-GB"/>
              </w:rPr>
              <w:t xml:space="preserve"> </w:t>
            </w:r>
          </w:p>
          <w:p w14:paraId="09E62A98" w14:textId="77777777" w:rsidR="00935D2C" w:rsidRDefault="005D274B">
            <w:pPr>
              <w:pStyle w:val="ListParagraph"/>
              <w:numPr>
                <w:ilvl w:val="0"/>
                <w:numId w:val="2"/>
              </w:numPr>
              <w:tabs>
                <w:tab w:val="left" w:pos="1622"/>
              </w:tabs>
              <w:spacing w:after="0" w:line="276" w:lineRule="auto"/>
              <w:rPr>
                <w:rFonts w:ascii="Arial" w:eastAsia="MS Mincho" w:hAnsi="Arial" w:cs="Arial"/>
                <w:bCs/>
                <w:color w:val="222222"/>
                <w:shd w:val="clear" w:color="auto" w:fill="FFFFFF"/>
                <w:lang w:eastAsia="en-GB"/>
              </w:rPr>
            </w:pPr>
            <w:proofErr w:type="spellStart"/>
            <w:r>
              <w:rPr>
                <w:rFonts w:ascii="Arial" w:eastAsia="MS Mincho" w:hAnsi="Arial" w:cs="Arial"/>
                <w:bCs/>
                <w:color w:val="222222"/>
                <w:shd w:val="clear" w:color="auto" w:fill="FFFFFF"/>
                <w:lang w:eastAsia="en-GB"/>
              </w:rPr>
              <w:t>condConfigToRemoveList</w:t>
            </w:r>
            <w:proofErr w:type="spellEnd"/>
            <w:r>
              <w:rPr>
                <w:rFonts w:ascii="Arial" w:eastAsia="MS Mincho" w:hAnsi="Arial" w:cs="Arial"/>
                <w:bCs/>
                <w:color w:val="222222"/>
                <w:shd w:val="clear" w:color="auto" w:fill="FFFFFF"/>
                <w:lang w:eastAsia="en-GB"/>
              </w:rPr>
              <w:t xml:space="preserve"> </w:t>
            </w:r>
          </w:p>
          <w:p w14:paraId="5DFCCA2E" w14:textId="77777777" w:rsidR="00935D2C" w:rsidRDefault="005D274B">
            <w:pPr>
              <w:pStyle w:val="ListParagraph"/>
              <w:numPr>
                <w:ilvl w:val="0"/>
                <w:numId w:val="2"/>
              </w:numPr>
              <w:tabs>
                <w:tab w:val="left" w:pos="1622"/>
              </w:tabs>
              <w:spacing w:after="0" w:line="276" w:lineRule="auto"/>
              <w:rPr>
                <w:rFonts w:ascii="Arial" w:eastAsia="MS Mincho" w:hAnsi="Arial" w:cs="Arial"/>
                <w:bCs/>
                <w:color w:val="222222"/>
                <w:shd w:val="clear" w:color="auto" w:fill="FFFFFF"/>
                <w:lang w:eastAsia="en-GB"/>
              </w:rPr>
            </w:pPr>
            <w:proofErr w:type="spellStart"/>
            <w:r>
              <w:rPr>
                <w:rFonts w:ascii="Arial" w:eastAsia="MS Mincho" w:hAnsi="Arial" w:cs="Arial"/>
                <w:bCs/>
                <w:color w:val="222222"/>
                <w:shd w:val="clear" w:color="auto" w:fill="FFFFFF"/>
                <w:lang w:eastAsia="en-GB"/>
              </w:rPr>
              <w:t>condConfigToAddModList</w:t>
            </w:r>
            <w:proofErr w:type="spellEnd"/>
            <w:r>
              <w:rPr>
                <w:rFonts w:ascii="Arial" w:eastAsia="MS Mincho" w:hAnsi="Arial" w:cs="Arial"/>
                <w:bCs/>
                <w:color w:val="222222"/>
                <w:shd w:val="clear" w:color="auto" w:fill="FFFFFF"/>
                <w:lang w:eastAsia="en-GB"/>
              </w:rPr>
              <w:t xml:space="preserve"> </w:t>
            </w:r>
          </w:p>
          <w:p w14:paraId="45E5330F" w14:textId="77777777" w:rsidR="00935D2C" w:rsidRDefault="005D274B">
            <w:pPr>
              <w:pStyle w:val="ListParagraph"/>
              <w:numPr>
                <w:ilvl w:val="0"/>
                <w:numId w:val="2"/>
              </w:numPr>
              <w:tabs>
                <w:tab w:val="left" w:pos="1622"/>
              </w:tabs>
              <w:spacing w:after="0" w:line="276" w:lineRule="auto"/>
              <w:rPr>
                <w:rFonts w:ascii="Arial" w:eastAsia="MS Mincho" w:hAnsi="Arial" w:cs="Arial"/>
                <w:bCs/>
                <w:color w:val="222222"/>
                <w:shd w:val="clear" w:color="auto" w:fill="FFFFFF"/>
                <w:lang w:eastAsia="en-GB"/>
              </w:rPr>
            </w:pPr>
            <w:proofErr w:type="spellStart"/>
            <w:r>
              <w:rPr>
                <w:rFonts w:ascii="Arial" w:eastAsia="MS Mincho" w:hAnsi="Arial" w:cs="Arial"/>
                <w:bCs/>
                <w:color w:val="222222"/>
                <w:shd w:val="clear" w:color="auto" w:fill="FFFFFF"/>
                <w:lang w:eastAsia="en-GB"/>
              </w:rPr>
              <w:t>CondConfigId</w:t>
            </w:r>
            <w:proofErr w:type="spellEnd"/>
            <w:r>
              <w:rPr>
                <w:rFonts w:ascii="Arial" w:eastAsia="MS Mincho" w:hAnsi="Arial" w:cs="Arial"/>
                <w:bCs/>
                <w:color w:val="222222"/>
                <w:shd w:val="clear" w:color="auto" w:fill="FFFFFF"/>
                <w:lang w:eastAsia="en-GB"/>
              </w:rPr>
              <w:t xml:space="preserve"> </w:t>
            </w:r>
          </w:p>
          <w:p w14:paraId="04E492F4" w14:textId="77777777" w:rsidR="00935D2C" w:rsidRDefault="005D274B">
            <w:pPr>
              <w:pStyle w:val="ListParagraph"/>
              <w:numPr>
                <w:ilvl w:val="0"/>
                <w:numId w:val="2"/>
              </w:numPr>
              <w:tabs>
                <w:tab w:val="left" w:pos="1622"/>
              </w:tabs>
              <w:spacing w:after="0" w:line="276" w:lineRule="auto"/>
              <w:rPr>
                <w:rFonts w:ascii="Arial" w:eastAsia="MS Mincho" w:hAnsi="Arial" w:cs="Arial"/>
                <w:bCs/>
                <w:color w:val="222222"/>
                <w:shd w:val="clear" w:color="auto" w:fill="FFFFFF"/>
                <w:lang w:eastAsia="en-GB"/>
              </w:rPr>
            </w:pPr>
            <w:proofErr w:type="spellStart"/>
            <w:r>
              <w:rPr>
                <w:rFonts w:ascii="Arial" w:eastAsia="MS Mincho" w:hAnsi="Arial" w:cs="Arial"/>
                <w:bCs/>
                <w:color w:val="222222"/>
                <w:shd w:val="clear" w:color="auto" w:fill="FFFFFF"/>
                <w:lang w:eastAsia="en-GB"/>
              </w:rPr>
              <w:t>condTriggerConfig</w:t>
            </w:r>
            <w:proofErr w:type="spellEnd"/>
            <w:r>
              <w:rPr>
                <w:rFonts w:ascii="Arial" w:eastAsia="MS Mincho" w:hAnsi="Arial" w:cs="Arial"/>
                <w:bCs/>
                <w:color w:val="222222"/>
                <w:shd w:val="clear" w:color="auto" w:fill="FFFFFF"/>
                <w:lang w:eastAsia="en-GB"/>
              </w:rPr>
              <w:t xml:space="preserve"> </w:t>
            </w:r>
          </w:p>
          <w:p w14:paraId="4FE65F93" w14:textId="77777777" w:rsidR="00935D2C" w:rsidRDefault="005D274B">
            <w:pPr>
              <w:pStyle w:val="ListParagraph"/>
              <w:numPr>
                <w:ilvl w:val="0"/>
                <w:numId w:val="2"/>
              </w:numPr>
              <w:tabs>
                <w:tab w:val="left" w:pos="1622"/>
              </w:tabs>
              <w:spacing w:after="0" w:line="276" w:lineRule="auto"/>
              <w:rPr>
                <w:rFonts w:ascii="Arial" w:eastAsia="MS Mincho" w:hAnsi="Arial" w:cs="Arial"/>
                <w:bCs/>
                <w:color w:val="222222"/>
                <w:shd w:val="clear" w:color="auto" w:fill="FFFFFF"/>
                <w:lang w:eastAsia="en-GB"/>
              </w:rPr>
            </w:pPr>
            <w:proofErr w:type="spellStart"/>
            <w:r>
              <w:rPr>
                <w:rFonts w:ascii="Arial" w:eastAsia="MS Mincho" w:hAnsi="Arial" w:cs="Arial"/>
                <w:bCs/>
                <w:color w:val="222222"/>
                <w:shd w:val="clear" w:color="auto" w:fill="FFFFFF"/>
                <w:lang w:eastAsia="en-GB"/>
              </w:rPr>
              <w:t>eventAN</w:t>
            </w:r>
            <w:proofErr w:type="spellEnd"/>
            <w:r>
              <w:rPr>
                <w:rFonts w:ascii="Arial" w:eastAsia="MS Mincho" w:hAnsi="Arial" w:cs="Arial"/>
                <w:bCs/>
                <w:color w:val="222222"/>
                <w:shd w:val="clear" w:color="auto" w:fill="FFFFFF"/>
                <w:lang w:eastAsia="en-GB"/>
              </w:rPr>
              <w:t xml:space="preserve"> </w:t>
            </w:r>
          </w:p>
          <w:p w14:paraId="53ED6870" w14:textId="77777777" w:rsidR="00935D2C" w:rsidRDefault="00935D2C">
            <w:pPr>
              <w:tabs>
                <w:tab w:val="left" w:pos="1622"/>
              </w:tabs>
              <w:spacing w:line="276" w:lineRule="auto"/>
              <w:rPr>
                <w:rFonts w:ascii="Arial" w:eastAsia="MS Mincho" w:hAnsi="Arial" w:cs="Arial"/>
                <w:bCs/>
                <w:color w:val="222222"/>
                <w:shd w:val="clear" w:color="auto" w:fill="FFFFFF"/>
                <w:lang w:eastAsia="en-GB"/>
              </w:rPr>
            </w:pPr>
          </w:p>
        </w:tc>
        <w:tc>
          <w:tcPr>
            <w:tcW w:w="4812" w:type="dxa"/>
          </w:tcPr>
          <w:p w14:paraId="55CC68F4" w14:textId="77777777" w:rsidR="00935D2C" w:rsidRDefault="005D274B">
            <w:pPr>
              <w:pStyle w:val="ListParagraph"/>
              <w:numPr>
                <w:ilvl w:val="0"/>
                <w:numId w:val="2"/>
              </w:numPr>
              <w:tabs>
                <w:tab w:val="left" w:pos="1622"/>
              </w:tabs>
              <w:spacing w:after="0" w:line="276" w:lineRule="auto"/>
              <w:rPr>
                <w:rFonts w:ascii="Arial" w:eastAsia="MS Mincho" w:hAnsi="Arial" w:cs="Arial"/>
                <w:bCs/>
                <w:color w:val="222222"/>
                <w:shd w:val="clear" w:color="auto" w:fill="FFFFFF"/>
                <w:lang w:eastAsia="en-GB"/>
              </w:rPr>
            </w:pPr>
            <w:proofErr w:type="spellStart"/>
            <w:r>
              <w:rPr>
                <w:rFonts w:ascii="Arial" w:eastAsia="MS Mincho" w:hAnsi="Arial" w:cs="Arial"/>
                <w:bCs/>
                <w:color w:val="222222"/>
                <w:shd w:val="clear" w:color="auto" w:fill="FFFFFF"/>
                <w:lang w:eastAsia="en-GB"/>
              </w:rPr>
              <w:t>csc-Config</w:t>
            </w:r>
            <w:proofErr w:type="spellEnd"/>
          </w:p>
          <w:p w14:paraId="1DE3316F" w14:textId="77777777" w:rsidR="00935D2C" w:rsidRDefault="005D274B">
            <w:pPr>
              <w:pStyle w:val="ListParagraph"/>
              <w:numPr>
                <w:ilvl w:val="0"/>
                <w:numId w:val="2"/>
              </w:numPr>
              <w:tabs>
                <w:tab w:val="left" w:pos="1622"/>
              </w:tabs>
              <w:spacing w:after="0" w:line="276" w:lineRule="auto"/>
              <w:rPr>
                <w:rFonts w:ascii="Arial" w:eastAsia="MS Mincho" w:hAnsi="Arial" w:cs="Arial"/>
                <w:bCs/>
                <w:color w:val="222222"/>
                <w:shd w:val="clear" w:color="auto" w:fill="FFFFFF"/>
                <w:lang w:eastAsia="en-GB"/>
              </w:rPr>
            </w:pPr>
            <w:proofErr w:type="spellStart"/>
            <w:r>
              <w:rPr>
                <w:rFonts w:ascii="Arial" w:eastAsia="MS Mincho" w:hAnsi="Arial" w:cs="Arial"/>
                <w:bCs/>
                <w:color w:val="222222"/>
                <w:shd w:val="clear" w:color="auto" w:fill="FFFFFF"/>
                <w:lang w:eastAsia="en-GB"/>
              </w:rPr>
              <w:t>csc-CandidateToReleaseList</w:t>
            </w:r>
            <w:proofErr w:type="spellEnd"/>
          </w:p>
          <w:p w14:paraId="2FEC2C2B" w14:textId="77777777" w:rsidR="00935D2C" w:rsidRDefault="005D274B">
            <w:pPr>
              <w:pStyle w:val="ListParagraph"/>
              <w:numPr>
                <w:ilvl w:val="0"/>
                <w:numId w:val="2"/>
              </w:numPr>
              <w:tabs>
                <w:tab w:val="left" w:pos="1622"/>
              </w:tabs>
              <w:spacing w:after="0" w:line="276" w:lineRule="auto"/>
              <w:rPr>
                <w:rFonts w:ascii="Arial" w:eastAsia="MS Mincho" w:hAnsi="Arial" w:cs="Arial"/>
                <w:bCs/>
                <w:color w:val="222222"/>
                <w:shd w:val="clear" w:color="auto" w:fill="FFFFFF"/>
                <w:lang w:eastAsia="en-GB"/>
              </w:rPr>
            </w:pPr>
            <w:proofErr w:type="spellStart"/>
            <w:r>
              <w:rPr>
                <w:rFonts w:ascii="Arial" w:eastAsia="MS Mincho" w:hAnsi="Arial" w:cs="Arial"/>
                <w:bCs/>
                <w:color w:val="222222"/>
                <w:shd w:val="clear" w:color="auto" w:fill="FFFFFF"/>
                <w:lang w:eastAsia="en-GB"/>
              </w:rPr>
              <w:t>csc-CandidateToAddModList</w:t>
            </w:r>
            <w:proofErr w:type="spellEnd"/>
          </w:p>
          <w:p w14:paraId="126733FB" w14:textId="77777777" w:rsidR="00935D2C" w:rsidRDefault="005D274B">
            <w:pPr>
              <w:pStyle w:val="ListParagraph"/>
              <w:numPr>
                <w:ilvl w:val="0"/>
                <w:numId w:val="2"/>
              </w:numPr>
              <w:tabs>
                <w:tab w:val="left" w:pos="1622"/>
              </w:tabs>
              <w:spacing w:after="0" w:line="276" w:lineRule="auto"/>
              <w:rPr>
                <w:rFonts w:ascii="Arial" w:eastAsia="MS Mincho" w:hAnsi="Arial" w:cs="Arial"/>
                <w:bCs/>
                <w:color w:val="222222"/>
                <w:shd w:val="clear" w:color="auto" w:fill="FFFFFF"/>
                <w:lang w:eastAsia="en-GB"/>
              </w:rPr>
            </w:pPr>
            <w:proofErr w:type="spellStart"/>
            <w:r>
              <w:rPr>
                <w:rFonts w:ascii="Arial" w:eastAsia="MS Mincho" w:hAnsi="Arial" w:cs="Arial"/>
                <w:bCs/>
                <w:color w:val="222222"/>
                <w:shd w:val="clear" w:color="auto" w:fill="FFFFFF"/>
                <w:lang w:eastAsia="en-GB"/>
              </w:rPr>
              <w:t>csc-CandidateId</w:t>
            </w:r>
            <w:proofErr w:type="spellEnd"/>
          </w:p>
          <w:p w14:paraId="1C41ED2B" w14:textId="77777777" w:rsidR="00935D2C" w:rsidRDefault="005D274B">
            <w:pPr>
              <w:pStyle w:val="ListParagraph"/>
              <w:numPr>
                <w:ilvl w:val="0"/>
                <w:numId w:val="2"/>
              </w:numPr>
              <w:tabs>
                <w:tab w:val="left" w:pos="1622"/>
              </w:tabs>
              <w:spacing w:after="0" w:line="276" w:lineRule="auto"/>
              <w:rPr>
                <w:rFonts w:ascii="Arial" w:eastAsia="MS Mincho" w:hAnsi="Arial" w:cs="Arial"/>
                <w:bCs/>
                <w:color w:val="222222"/>
                <w:shd w:val="clear" w:color="auto" w:fill="FFFFFF"/>
                <w:lang w:eastAsia="en-GB"/>
              </w:rPr>
            </w:pPr>
            <w:proofErr w:type="spellStart"/>
            <w:r>
              <w:rPr>
                <w:rFonts w:ascii="Arial" w:eastAsia="MS Mincho" w:hAnsi="Arial" w:cs="Arial"/>
                <w:bCs/>
                <w:color w:val="222222"/>
                <w:shd w:val="clear" w:color="auto" w:fill="FFFFFF"/>
                <w:lang w:eastAsia="en-GB"/>
              </w:rPr>
              <w:t>eventTriggerConfigCSC</w:t>
            </w:r>
            <w:proofErr w:type="spellEnd"/>
          </w:p>
          <w:p w14:paraId="28343AF4" w14:textId="77777777" w:rsidR="00935D2C" w:rsidRDefault="005D274B">
            <w:pPr>
              <w:pStyle w:val="ListParagraph"/>
              <w:numPr>
                <w:ilvl w:val="0"/>
                <w:numId w:val="2"/>
              </w:numPr>
              <w:tabs>
                <w:tab w:val="left" w:pos="1622"/>
              </w:tabs>
              <w:spacing w:after="0" w:line="276" w:lineRule="auto"/>
              <w:rPr>
                <w:rFonts w:ascii="Arial" w:eastAsia="MS Mincho" w:hAnsi="Arial" w:cs="Arial"/>
                <w:bCs/>
                <w:color w:val="222222"/>
                <w:shd w:val="clear" w:color="auto" w:fill="FFFFFF"/>
                <w:lang w:eastAsia="en-GB"/>
              </w:rPr>
            </w:pPr>
            <w:proofErr w:type="spellStart"/>
            <w:r>
              <w:rPr>
                <w:rFonts w:ascii="Arial" w:eastAsia="MS Mincho" w:hAnsi="Arial" w:cs="Arial"/>
                <w:bCs/>
                <w:color w:val="222222"/>
                <w:shd w:val="clear" w:color="auto" w:fill="FFFFFF"/>
                <w:lang w:eastAsia="en-GB"/>
              </w:rPr>
              <w:t>eventAN</w:t>
            </w:r>
            <w:proofErr w:type="spellEnd"/>
            <w:r>
              <w:rPr>
                <w:rFonts w:ascii="Arial" w:eastAsia="MS Mincho" w:hAnsi="Arial" w:cs="Arial"/>
                <w:bCs/>
                <w:color w:val="222222"/>
                <w:shd w:val="clear" w:color="auto" w:fill="FFFFFF"/>
                <w:lang w:eastAsia="en-GB"/>
              </w:rPr>
              <w:t>-CSC</w:t>
            </w:r>
          </w:p>
          <w:p w14:paraId="76C65C2F" w14:textId="77777777" w:rsidR="00935D2C" w:rsidRDefault="00935D2C">
            <w:pPr>
              <w:tabs>
                <w:tab w:val="left" w:pos="1622"/>
              </w:tabs>
              <w:spacing w:line="276" w:lineRule="auto"/>
              <w:rPr>
                <w:rFonts w:ascii="Arial" w:eastAsia="MS Mincho" w:hAnsi="Arial" w:cs="Arial"/>
                <w:bCs/>
                <w:color w:val="222222"/>
                <w:shd w:val="clear" w:color="auto" w:fill="FFFFFF"/>
                <w:lang w:eastAsia="en-GB"/>
              </w:rPr>
            </w:pPr>
          </w:p>
        </w:tc>
      </w:tr>
    </w:tbl>
    <w:p w14:paraId="3FCBD1A6" w14:textId="77777777" w:rsidR="00935D2C" w:rsidRDefault="00935D2C">
      <w:pPr>
        <w:ind w:left="1138" w:hanging="1138"/>
        <w:rPr>
          <w:rFonts w:ascii="Arial" w:eastAsia="MS Mincho" w:hAnsi="Arial" w:cs="Arial"/>
          <w:b/>
          <w:lang w:eastAsia="ko-KR"/>
        </w:rPr>
      </w:pPr>
    </w:p>
    <w:p w14:paraId="09369A7C" w14:textId="77777777" w:rsidR="00935D2C" w:rsidRDefault="005D274B">
      <w:pPr>
        <w:ind w:left="1138" w:hanging="1138"/>
        <w:rPr>
          <w:rFonts w:ascii="Arial" w:eastAsia="MS Mincho" w:hAnsi="Arial" w:cs="Arial"/>
          <w:b/>
          <w:lang w:eastAsia="ko-KR"/>
        </w:rPr>
      </w:pPr>
      <w:r>
        <w:rPr>
          <w:rFonts w:ascii="Arial" w:eastAsia="MS Mincho" w:hAnsi="Arial" w:cs="Arial"/>
          <w:b/>
          <w:lang w:eastAsia="ko-KR"/>
        </w:rPr>
        <w:t xml:space="preserve">Question 1: Could company provide their preference for the terminology for capturing of CPC in </w:t>
      </w:r>
      <w:proofErr w:type="gramStart"/>
      <w:r>
        <w:rPr>
          <w:rFonts w:ascii="Arial" w:eastAsia="MS Mincho" w:hAnsi="Arial" w:cs="Arial"/>
          <w:b/>
          <w:lang w:eastAsia="ko-KR"/>
        </w:rPr>
        <w:t>TS38.331?</w:t>
      </w:r>
      <w:proofErr w:type="gramEnd"/>
    </w:p>
    <w:tbl>
      <w:tblPr>
        <w:tblStyle w:val="TableGrid"/>
        <w:tblW w:w="9631" w:type="dxa"/>
        <w:tblLayout w:type="fixed"/>
        <w:tblLook w:val="04A0" w:firstRow="1" w:lastRow="0" w:firstColumn="1" w:lastColumn="0" w:noHBand="0" w:noVBand="1"/>
      </w:tblPr>
      <w:tblGrid>
        <w:gridCol w:w="1540"/>
        <w:gridCol w:w="2940"/>
        <w:gridCol w:w="5151"/>
      </w:tblGrid>
      <w:tr w:rsidR="00935D2C" w14:paraId="3224798C" w14:textId="77777777">
        <w:tc>
          <w:tcPr>
            <w:tcW w:w="1540" w:type="dxa"/>
          </w:tcPr>
          <w:p w14:paraId="0ED13DF9" w14:textId="77777777" w:rsidR="00935D2C" w:rsidRDefault="005D274B">
            <w:pPr>
              <w:rPr>
                <w:rFonts w:ascii="Arial" w:eastAsia="MS Mincho" w:hAnsi="Arial" w:cs="Arial"/>
                <w:b/>
                <w:lang w:eastAsia="ko-KR"/>
              </w:rPr>
            </w:pPr>
            <w:r>
              <w:rPr>
                <w:rFonts w:ascii="Arial" w:eastAsia="MS Mincho" w:hAnsi="Arial" w:cs="Arial"/>
                <w:b/>
                <w:lang w:eastAsia="ko-KR"/>
              </w:rPr>
              <w:t>company</w:t>
            </w:r>
          </w:p>
        </w:tc>
        <w:tc>
          <w:tcPr>
            <w:tcW w:w="2940" w:type="dxa"/>
          </w:tcPr>
          <w:p w14:paraId="0C433268" w14:textId="77777777" w:rsidR="00935D2C" w:rsidRDefault="005D274B">
            <w:pPr>
              <w:rPr>
                <w:rFonts w:ascii="Arial" w:eastAsia="MS Mincho" w:hAnsi="Arial" w:cs="Arial"/>
                <w:b/>
                <w:lang w:eastAsia="ko-KR"/>
              </w:rPr>
            </w:pPr>
            <w:r>
              <w:rPr>
                <w:rFonts w:ascii="Arial" w:eastAsia="MS Mincho" w:hAnsi="Arial" w:cs="Arial"/>
                <w:b/>
                <w:lang w:eastAsia="ko-KR"/>
              </w:rPr>
              <w:t>Preferred terminology option</w:t>
            </w:r>
          </w:p>
        </w:tc>
        <w:tc>
          <w:tcPr>
            <w:tcW w:w="5151" w:type="dxa"/>
          </w:tcPr>
          <w:p w14:paraId="08F1750F" w14:textId="77777777" w:rsidR="00935D2C" w:rsidRDefault="005D274B">
            <w:pPr>
              <w:rPr>
                <w:rFonts w:ascii="Arial" w:eastAsia="MS Mincho" w:hAnsi="Arial" w:cs="Arial"/>
                <w:b/>
                <w:lang w:eastAsia="ko-KR"/>
              </w:rPr>
            </w:pPr>
            <w:r>
              <w:rPr>
                <w:rFonts w:ascii="Arial" w:eastAsia="MS Mincho" w:hAnsi="Arial" w:cs="Arial"/>
                <w:b/>
                <w:lang w:eastAsia="ko-KR"/>
              </w:rPr>
              <w:t>comment</w:t>
            </w:r>
          </w:p>
        </w:tc>
      </w:tr>
      <w:tr w:rsidR="00935D2C" w14:paraId="57FA66DC" w14:textId="77777777">
        <w:tc>
          <w:tcPr>
            <w:tcW w:w="1540" w:type="dxa"/>
          </w:tcPr>
          <w:p w14:paraId="3C57B312" w14:textId="77777777" w:rsidR="00935D2C" w:rsidRDefault="005D274B">
            <w:pPr>
              <w:rPr>
                <w:rFonts w:ascii="Arial" w:eastAsia="MS Mincho" w:hAnsi="Arial" w:cs="Arial"/>
                <w:lang w:eastAsia="ko-KR"/>
              </w:rPr>
            </w:pPr>
            <w:r>
              <w:rPr>
                <w:rFonts w:ascii="Arial" w:eastAsia="MS Mincho" w:hAnsi="Arial" w:cs="Arial"/>
                <w:lang w:eastAsia="ko-KR"/>
              </w:rPr>
              <w:t>Samsung</w:t>
            </w:r>
          </w:p>
        </w:tc>
        <w:tc>
          <w:tcPr>
            <w:tcW w:w="2940" w:type="dxa"/>
          </w:tcPr>
          <w:p w14:paraId="0B7D90C2" w14:textId="77777777" w:rsidR="00935D2C" w:rsidRDefault="005D274B">
            <w:pPr>
              <w:rPr>
                <w:rFonts w:ascii="Arial" w:eastAsia="MS Mincho" w:hAnsi="Arial" w:cs="Arial"/>
                <w:lang w:eastAsia="ko-KR"/>
              </w:rPr>
            </w:pPr>
            <w:r>
              <w:rPr>
                <w:rFonts w:ascii="Arial" w:eastAsia="MS Mincho" w:hAnsi="Arial" w:cs="Arial"/>
                <w:lang w:eastAsia="ko-KR"/>
              </w:rPr>
              <w:t>Option 2</w:t>
            </w:r>
          </w:p>
        </w:tc>
        <w:tc>
          <w:tcPr>
            <w:tcW w:w="5151" w:type="dxa"/>
          </w:tcPr>
          <w:p w14:paraId="6B27266F" w14:textId="77777777" w:rsidR="00935D2C" w:rsidRDefault="005D274B">
            <w:pPr>
              <w:rPr>
                <w:rFonts w:ascii="Arial" w:eastAsia="MS Mincho" w:hAnsi="Arial" w:cs="Arial"/>
                <w:lang w:eastAsia="ko-KR"/>
              </w:rPr>
            </w:pPr>
            <w:r>
              <w:rPr>
                <w:rFonts w:ascii="Arial" w:eastAsia="MS Mincho" w:hAnsi="Arial" w:cs="Arial"/>
                <w:lang w:eastAsia="ko-KR"/>
              </w:rPr>
              <w:t>We think the name should reflect that conditions cannot be specified for any kind of reconfiguration but only for SPCell change. Furthermore, we think that the names should reflect that entries added/ released concern SPCell candidates. Finally, we prefer to add tags like CPC at the end (as in LTE)</w:t>
            </w:r>
          </w:p>
        </w:tc>
      </w:tr>
      <w:tr w:rsidR="00935D2C" w14:paraId="62FC97B7" w14:textId="77777777">
        <w:tc>
          <w:tcPr>
            <w:tcW w:w="1540" w:type="dxa"/>
          </w:tcPr>
          <w:p w14:paraId="3C48ED8C" w14:textId="77777777" w:rsidR="00935D2C" w:rsidRDefault="005D274B">
            <w:pPr>
              <w:rPr>
                <w:rFonts w:ascii="Arial" w:eastAsia="MS Mincho" w:hAnsi="Arial" w:cs="Arial"/>
                <w:lang w:eastAsia="ko-KR"/>
              </w:rPr>
            </w:pPr>
            <w:r>
              <w:rPr>
                <w:rFonts w:ascii="Arial" w:eastAsia="MS Mincho" w:hAnsi="Arial" w:cs="Arial"/>
                <w:lang w:eastAsia="ko-KR"/>
              </w:rPr>
              <w:t>Ericsson</w:t>
            </w:r>
          </w:p>
        </w:tc>
        <w:tc>
          <w:tcPr>
            <w:tcW w:w="2940" w:type="dxa"/>
          </w:tcPr>
          <w:p w14:paraId="54CDF5B7" w14:textId="77777777" w:rsidR="00935D2C" w:rsidRDefault="005D274B">
            <w:pPr>
              <w:rPr>
                <w:rFonts w:ascii="Arial" w:eastAsia="MS Mincho" w:hAnsi="Arial" w:cs="Arial"/>
                <w:lang w:eastAsia="ko-KR"/>
              </w:rPr>
            </w:pPr>
            <w:r>
              <w:rPr>
                <w:rFonts w:ascii="Arial" w:eastAsia="MS Mincho" w:hAnsi="Arial" w:cs="Arial"/>
                <w:lang w:eastAsia="ko-KR"/>
              </w:rPr>
              <w:t>Option 1</w:t>
            </w:r>
          </w:p>
        </w:tc>
        <w:tc>
          <w:tcPr>
            <w:tcW w:w="5151" w:type="dxa"/>
          </w:tcPr>
          <w:p w14:paraId="7C584FDC" w14:textId="77777777" w:rsidR="00935D2C" w:rsidRDefault="005D274B">
            <w:pPr>
              <w:rPr>
                <w:rFonts w:ascii="Arial" w:eastAsia="MS Mincho" w:hAnsi="Arial" w:cs="Arial"/>
                <w:lang w:eastAsia="ko-KR"/>
              </w:rPr>
            </w:pPr>
            <w:r>
              <w:rPr>
                <w:rFonts w:ascii="Arial" w:eastAsia="MS Mincho" w:hAnsi="Arial" w:cs="Arial"/>
                <w:lang w:eastAsia="ko-KR"/>
              </w:rPr>
              <w:t xml:space="preserve">Option 2 is unclear regarding what the abbreviation means and it relies on specific name </w:t>
            </w:r>
            <w:r>
              <w:rPr>
                <w:rFonts w:ascii="Arial" w:hAnsi="Arial" w:cs="Arial"/>
                <w:lang w:val="en-US"/>
              </w:rPr>
              <w:t>while reconfiguration is more generic and in line with current naming rules for mobility</w:t>
            </w:r>
          </w:p>
        </w:tc>
      </w:tr>
      <w:tr w:rsidR="00935D2C" w14:paraId="3F3C30DD" w14:textId="77777777">
        <w:tc>
          <w:tcPr>
            <w:tcW w:w="1540" w:type="dxa"/>
          </w:tcPr>
          <w:p w14:paraId="0F553DCC" w14:textId="77777777" w:rsidR="00935D2C" w:rsidRDefault="005D274B">
            <w:pPr>
              <w:rPr>
                <w:rFonts w:ascii="Arial" w:eastAsia="MS Mincho" w:hAnsi="Arial" w:cs="Arial"/>
                <w:lang w:eastAsia="ko-KR"/>
              </w:rPr>
            </w:pPr>
            <w:r>
              <w:rPr>
                <w:rFonts w:ascii="Arial" w:eastAsia="PMingLiU" w:hAnsi="Arial" w:cs="Arial"/>
                <w:lang w:eastAsia="zh-TW"/>
              </w:rPr>
              <w:lastRenderedPageBreak/>
              <w:t>ITRI</w:t>
            </w:r>
          </w:p>
        </w:tc>
        <w:tc>
          <w:tcPr>
            <w:tcW w:w="2940" w:type="dxa"/>
          </w:tcPr>
          <w:p w14:paraId="54306751" w14:textId="77777777" w:rsidR="00935D2C" w:rsidRDefault="005D274B">
            <w:pPr>
              <w:rPr>
                <w:rFonts w:ascii="Arial" w:eastAsia="MS Mincho" w:hAnsi="Arial" w:cs="Arial"/>
                <w:lang w:eastAsia="ko-KR"/>
              </w:rPr>
            </w:pPr>
            <w:r>
              <w:rPr>
                <w:rFonts w:ascii="Arial" w:eastAsia="PMingLiU" w:hAnsi="Arial" w:cs="Arial"/>
                <w:lang w:eastAsia="zh-TW"/>
              </w:rPr>
              <w:t>Option 1</w:t>
            </w:r>
          </w:p>
        </w:tc>
        <w:tc>
          <w:tcPr>
            <w:tcW w:w="5151" w:type="dxa"/>
          </w:tcPr>
          <w:p w14:paraId="5FF86EB5" w14:textId="77777777" w:rsidR="00935D2C" w:rsidRDefault="005D274B">
            <w:pPr>
              <w:rPr>
                <w:rFonts w:ascii="Arial" w:eastAsia="PMingLiU" w:hAnsi="Arial" w:cs="Arial"/>
                <w:lang w:eastAsia="zh-TW"/>
              </w:rPr>
            </w:pPr>
            <w:r>
              <w:rPr>
                <w:rFonts w:ascii="Arial" w:eastAsia="PMingLiU" w:hAnsi="Arial" w:cs="Arial"/>
                <w:lang w:eastAsia="zh-TW"/>
              </w:rPr>
              <w:t>T</w:t>
            </w:r>
            <w:r>
              <w:rPr>
                <w:rFonts w:ascii="Arial" w:eastAsia="PMingLiU" w:hAnsi="Arial" w:cs="Arial" w:hint="eastAsia"/>
                <w:lang w:eastAsia="zh-TW"/>
              </w:rPr>
              <w:t xml:space="preserve">he </w:t>
            </w:r>
            <w:r>
              <w:rPr>
                <w:rFonts w:ascii="Arial" w:eastAsia="PMingLiU" w:hAnsi="Arial" w:cs="Arial"/>
                <w:lang w:eastAsia="zh-TW"/>
              </w:rPr>
              <w:t>abbreviation “</w:t>
            </w:r>
            <w:proofErr w:type="spellStart"/>
            <w:r>
              <w:rPr>
                <w:rFonts w:ascii="Arial" w:eastAsia="PMingLiU" w:hAnsi="Arial" w:cs="Arial"/>
                <w:lang w:eastAsia="zh-TW"/>
              </w:rPr>
              <w:t>csc</w:t>
            </w:r>
            <w:proofErr w:type="spellEnd"/>
            <w:r>
              <w:rPr>
                <w:rFonts w:ascii="Arial" w:eastAsia="PMingLiU" w:hAnsi="Arial" w:cs="Arial"/>
                <w:lang w:eastAsia="zh-TW"/>
              </w:rPr>
              <w:t>” in Option 2 is not clear enough. If reflecting only Conditional HO and Conditional PSCell Change is the purpose, using “</w:t>
            </w:r>
            <w:proofErr w:type="spellStart"/>
            <w:r>
              <w:rPr>
                <w:rFonts w:ascii="Arial" w:eastAsia="PMingLiU" w:hAnsi="Arial" w:cs="Arial"/>
                <w:lang w:eastAsia="zh-TW"/>
              </w:rPr>
              <w:t>condSPCellC</w:t>
            </w:r>
            <w:proofErr w:type="spellEnd"/>
            <w:r>
              <w:rPr>
                <w:rFonts w:ascii="Arial" w:eastAsia="PMingLiU" w:hAnsi="Arial" w:cs="Arial"/>
                <w:lang w:eastAsia="zh-TW"/>
              </w:rPr>
              <w:t>” could be clearer.</w:t>
            </w:r>
          </w:p>
          <w:p w14:paraId="58BBFF40" w14:textId="77777777" w:rsidR="00935D2C" w:rsidRDefault="005D274B">
            <w:pPr>
              <w:rPr>
                <w:rFonts w:ascii="Arial" w:eastAsia="MS Mincho" w:hAnsi="Arial" w:cs="Arial"/>
                <w:lang w:eastAsia="ko-KR"/>
              </w:rPr>
            </w:pPr>
            <w:r>
              <w:rPr>
                <w:rFonts w:ascii="Arial" w:eastAsia="PMingLiU" w:hAnsi="Arial" w:cs="Arial"/>
                <w:lang w:eastAsia="zh-TW"/>
              </w:rPr>
              <w:t>By contrast, Option 1 has no unclear terminology and retains generalization possibility.</w:t>
            </w:r>
          </w:p>
        </w:tc>
      </w:tr>
      <w:tr w:rsidR="00935D2C" w14:paraId="14191B2D" w14:textId="77777777">
        <w:tc>
          <w:tcPr>
            <w:tcW w:w="1540" w:type="dxa"/>
          </w:tcPr>
          <w:p w14:paraId="032B565F" w14:textId="77777777" w:rsidR="00935D2C" w:rsidRDefault="005D274B">
            <w:pPr>
              <w:rPr>
                <w:rFonts w:ascii="Arial" w:eastAsia="SimSun" w:hAnsi="Arial" w:cs="Arial"/>
                <w:lang w:val="en-US" w:eastAsia="zh-CN"/>
              </w:rPr>
            </w:pPr>
            <w:r>
              <w:rPr>
                <w:rFonts w:ascii="Arial" w:eastAsia="SimSun" w:hAnsi="Arial" w:cs="Arial" w:hint="eastAsia"/>
                <w:lang w:val="en-US" w:eastAsia="zh-CN"/>
              </w:rPr>
              <w:t>ZTE</w:t>
            </w:r>
          </w:p>
        </w:tc>
        <w:tc>
          <w:tcPr>
            <w:tcW w:w="2940" w:type="dxa"/>
          </w:tcPr>
          <w:p w14:paraId="309D23F3" w14:textId="77777777" w:rsidR="00935D2C" w:rsidRDefault="005D274B">
            <w:pPr>
              <w:rPr>
                <w:rFonts w:ascii="Arial" w:eastAsia="SimSun" w:hAnsi="Arial" w:cs="Arial"/>
                <w:lang w:val="en-US" w:eastAsia="zh-CN"/>
              </w:rPr>
            </w:pPr>
            <w:r>
              <w:rPr>
                <w:rFonts w:ascii="Arial" w:eastAsia="SimSun" w:hAnsi="Arial" w:cs="Arial" w:hint="eastAsia"/>
                <w:lang w:val="en-US" w:eastAsia="zh-CN"/>
              </w:rPr>
              <w:t>Option 1</w:t>
            </w:r>
          </w:p>
        </w:tc>
        <w:tc>
          <w:tcPr>
            <w:tcW w:w="5151" w:type="dxa"/>
          </w:tcPr>
          <w:p w14:paraId="1778E5EB" w14:textId="77777777" w:rsidR="00935D2C" w:rsidRDefault="005D274B">
            <w:pPr>
              <w:rPr>
                <w:rFonts w:ascii="Arial" w:eastAsia="SimSun" w:hAnsi="Arial" w:cs="Arial"/>
                <w:lang w:val="en-US" w:eastAsia="zh-CN"/>
              </w:rPr>
            </w:pPr>
            <w:r>
              <w:rPr>
                <w:rFonts w:ascii="Arial" w:eastAsia="SimSun" w:hAnsi="Arial" w:cs="Arial" w:hint="eastAsia"/>
                <w:lang w:val="en-US" w:eastAsia="zh-CN"/>
              </w:rPr>
              <w:t>Agree with Ericsson and ITRI.  The terminology used in option 1 is clearer.</w:t>
            </w:r>
          </w:p>
        </w:tc>
      </w:tr>
      <w:tr w:rsidR="005D274B" w14:paraId="14AD359F" w14:textId="77777777">
        <w:tc>
          <w:tcPr>
            <w:tcW w:w="1540" w:type="dxa"/>
          </w:tcPr>
          <w:p w14:paraId="708A3CF3" w14:textId="6341FAC0" w:rsidR="005D274B" w:rsidRDefault="005D274B" w:rsidP="005D274B">
            <w:pPr>
              <w:rPr>
                <w:rFonts w:ascii="Arial" w:eastAsia="SimSun" w:hAnsi="Arial" w:cs="Arial"/>
                <w:lang w:val="en-US" w:eastAsia="zh-CN"/>
              </w:rPr>
            </w:pPr>
            <w:r>
              <w:rPr>
                <w:rFonts w:ascii="Arial" w:eastAsia="PMingLiU" w:hAnsi="Arial" w:cs="Arial"/>
                <w:lang w:val="en-US" w:eastAsia="zh-CN"/>
              </w:rPr>
              <w:t>Apple</w:t>
            </w:r>
          </w:p>
        </w:tc>
        <w:tc>
          <w:tcPr>
            <w:tcW w:w="2940" w:type="dxa"/>
          </w:tcPr>
          <w:p w14:paraId="025118D0" w14:textId="5F7B19E5" w:rsidR="005D274B" w:rsidRDefault="005D274B" w:rsidP="005D274B">
            <w:pPr>
              <w:rPr>
                <w:rFonts w:ascii="Arial" w:eastAsia="SimSun" w:hAnsi="Arial" w:cs="Arial"/>
                <w:lang w:val="en-US" w:eastAsia="zh-CN"/>
              </w:rPr>
            </w:pPr>
            <w:r>
              <w:rPr>
                <w:rFonts w:ascii="Arial" w:eastAsia="PMingLiU" w:hAnsi="Arial" w:cs="Arial"/>
                <w:lang w:eastAsia="zh-TW"/>
              </w:rPr>
              <w:t>Option 1</w:t>
            </w:r>
          </w:p>
        </w:tc>
        <w:tc>
          <w:tcPr>
            <w:tcW w:w="5151" w:type="dxa"/>
          </w:tcPr>
          <w:p w14:paraId="7C3191A4" w14:textId="109D40EF" w:rsidR="005D274B" w:rsidRDefault="005D274B" w:rsidP="005D274B">
            <w:pPr>
              <w:rPr>
                <w:rFonts w:ascii="Arial" w:eastAsia="SimSun" w:hAnsi="Arial" w:cs="Arial"/>
                <w:lang w:val="en-US" w:eastAsia="zh-CN"/>
              </w:rPr>
            </w:pPr>
            <w:r>
              <w:rPr>
                <w:rFonts w:ascii="Arial" w:eastAsia="PMingLiU" w:hAnsi="Arial" w:cs="Arial"/>
                <w:lang w:val="en-US" w:eastAsia="zh-CN"/>
              </w:rPr>
              <w:t>Option 1 is clearer. “</w:t>
            </w:r>
            <w:proofErr w:type="spellStart"/>
            <w:r>
              <w:rPr>
                <w:rFonts w:ascii="Arial" w:eastAsia="PMingLiU" w:hAnsi="Arial" w:cs="Arial"/>
                <w:lang w:val="en-US" w:eastAsia="zh-CN"/>
              </w:rPr>
              <w:t>csc</w:t>
            </w:r>
            <w:proofErr w:type="spellEnd"/>
            <w:r>
              <w:rPr>
                <w:rFonts w:ascii="Arial" w:eastAsia="PMingLiU" w:hAnsi="Arial" w:cs="Arial"/>
                <w:lang w:val="en-US" w:eastAsia="zh-CN"/>
              </w:rPr>
              <w:t>” in Option 2 may bring up difficulties in reading spec.</w:t>
            </w:r>
          </w:p>
        </w:tc>
      </w:tr>
      <w:tr w:rsidR="008C7857" w14:paraId="24D48F82" w14:textId="77777777">
        <w:tc>
          <w:tcPr>
            <w:tcW w:w="1540" w:type="dxa"/>
          </w:tcPr>
          <w:p w14:paraId="11F7559F" w14:textId="35D2E569" w:rsidR="008C7857" w:rsidRPr="008C7857" w:rsidRDefault="008C7857" w:rsidP="008C7857">
            <w:pPr>
              <w:rPr>
                <w:rFonts w:ascii="Arial" w:eastAsia="PMingLiU" w:hAnsi="Arial" w:cs="Arial"/>
                <w:lang w:eastAsia="zh-CN"/>
              </w:rPr>
            </w:pPr>
            <w:r>
              <w:rPr>
                <w:rFonts w:ascii="Arial" w:eastAsia="PMingLiU" w:hAnsi="Arial" w:cs="Arial"/>
                <w:lang w:eastAsia="zh-TW"/>
              </w:rPr>
              <w:t>vivo</w:t>
            </w:r>
          </w:p>
        </w:tc>
        <w:tc>
          <w:tcPr>
            <w:tcW w:w="2940" w:type="dxa"/>
          </w:tcPr>
          <w:p w14:paraId="589C6B29" w14:textId="76B7CCFA" w:rsidR="008C7857" w:rsidRDefault="008C7857" w:rsidP="008C7857">
            <w:pPr>
              <w:rPr>
                <w:rFonts w:ascii="Arial" w:eastAsia="PMingLiU" w:hAnsi="Arial" w:cs="Arial"/>
                <w:lang w:eastAsia="zh-TW"/>
              </w:rPr>
            </w:pPr>
            <w:r>
              <w:rPr>
                <w:rFonts w:ascii="Arial" w:eastAsia="SimSun" w:hAnsi="Arial" w:cs="Arial" w:hint="eastAsia"/>
                <w:lang w:eastAsia="zh-CN"/>
              </w:rPr>
              <w:t>O</w:t>
            </w:r>
            <w:r>
              <w:rPr>
                <w:rFonts w:ascii="Arial" w:eastAsia="SimSun" w:hAnsi="Arial" w:cs="Arial"/>
                <w:lang w:eastAsia="zh-CN"/>
              </w:rPr>
              <w:t>ption 1</w:t>
            </w:r>
          </w:p>
        </w:tc>
        <w:tc>
          <w:tcPr>
            <w:tcW w:w="5151" w:type="dxa"/>
          </w:tcPr>
          <w:p w14:paraId="03C7D8CB" w14:textId="2A9FBE82" w:rsidR="008C7857" w:rsidRDefault="008C7857" w:rsidP="008C7857">
            <w:pPr>
              <w:rPr>
                <w:rFonts w:ascii="Arial" w:eastAsia="PMingLiU" w:hAnsi="Arial" w:cs="Arial"/>
                <w:lang w:val="en-US" w:eastAsia="zh-CN"/>
              </w:rPr>
            </w:pPr>
            <w:r>
              <w:rPr>
                <w:rFonts w:ascii="Arial" w:eastAsia="PMingLiU" w:hAnsi="Arial" w:cs="Arial"/>
                <w:lang w:eastAsia="zh-TW"/>
              </w:rPr>
              <w:t>Option 1 is the most straightforward. In Option 2, T</w:t>
            </w:r>
            <w:r>
              <w:rPr>
                <w:rFonts w:ascii="Arial" w:eastAsia="PMingLiU" w:hAnsi="Arial" w:cs="Arial" w:hint="eastAsia"/>
                <w:lang w:eastAsia="zh-TW"/>
              </w:rPr>
              <w:t xml:space="preserve">he </w:t>
            </w:r>
            <w:r w:rsidRPr="007B0350">
              <w:rPr>
                <w:rFonts w:ascii="Arial" w:eastAsia="PMingLiU" w:hAnsi="Arial" w:cs="Arial"/>
                <w:lang w:eastAsia="zh-TW"/>
              </w:rPr>
              <w:t>abbreviation “</w:t>
            </w:r>
            <w:proofErr w:type="spellStart"/>
            <w:r w:rsidRPr="007B0350">
              <w:rPr>
                <w:rFonts w:ascii="Arial" w:eastAsia="PMingLiU" w:hAnsi="Arial" w:cs="Arial"/>
                <w:lang w:eastAsia="zh-TW"/>
              </w:rPr>
              <w:t>csc</w:t>
            </w:r>
            <w:proofErr w:type="spellEnd"/>
            <w:r w:rsidRPr="007B0350">
              <w:rPr>
                <w:rFonts w:ascii="Arial" w:eastAsia="PMingLiU" w:hAnsi="Arial" w:cs="Arial"/>
                <w:lang w:eastAsia="zh-TW"/>
              </w:rPr>
              <w:t>”</w:t>
            </w:r>
            <w:r>
              <w:rPr>
                <w:rFonts w:ascii="Arial" w:eastAsia="PMingLiU" w:hAnsi="Arial" w:cs="Arial"/>
                <w:lang w:eastAsia="zh-TW"/>
              </w:rPr>
              <w:t xml:space="preserve"> is not clear.</w:t>
            </w:r>
          </w:p>
        </w:tc>
      </w:tr>
      <w:tr w:rsidR="007B58D2" w14:paraId="3CF9F08C" w14:textId="77777777">
        <w:tc>
          <w:tcPr>
            <w:tcW w:w="1540" w:type="dxa"/>
          </w:tcPr>
          <w:p w14:paraId="7963D9AE" w14:textId="5B8DFFC0" w:rsidR="007B58D2" w:rsidRDefault="007B58D2" w:rsidP="008C7857">
            <w:pPr>
              <w:rPr>
                <w:rFonts w:ascii="Arial" w:eastAsia="PMingLiU" w:hAnsi="Arial" w:cs="Arial"/>
                <w:lang w:eastAsia="zh-TW"/>
              </w:rPr>
            </w:pPr>
            <w:r>
              <w:rPr>
                <w:rFonts w:ascii="Arial" w:eastAsia="PMingLiU" w:hAnsi="Arial" w:cs="Arial"/>
                <w:lang w:eastAsia="zh-TW"/>
              </w:rPr>
              <w:t>CATT</w:t>
            </w:r>
          </w:p>
        </w:tc>
        <w:tc>
          <w:tcPr>
            <w:tcW w:w="2940" w:type="dxa"/>
          </w:tcPr>
          <w:p w14:paraId="06A2DA68" w14:textId="7199613B" w:rsidR="007B58D2" w:rsidRDefault="007B58D2" w:rsidP="008C7857">
            <w:pPr>
              <w:rPr>
                <w:rFonts w:ascii="Arial" w:eastAsia="SimSun" w:hAnsi="Arial" w:cs="Arial" w:hint="eastAsia"/>
                <w:lang w:eastAsia="zh-CN"/>
              </w:rPr>
            </w:pPr>
            <w:r>
              <w:rPr>
                <w:rFonts w:ascii="Arial" w:eastAsia="SimSun" w:hAnsi="Arial" w:cs="Arial"/>
                <w:lang w:eastAsia="zh-CN"/>
              </w:rPr>
              <w:t>Option 1</w:t>
            </w:r>
          </w:p>
        </w:tc>
        <w:tc>
          <w:tcPr>
            <w:tcW w:w="5151" w:type="dxa"/>
          </w:tcPr>
          <w:p w14:paraId="30A1745D" w14:textId="5D74B3BC" w:rsidR="007B58D2" w:rsidRDefault="007B58D2" w:rsidP="008C7857">
            <w:pPr>
              <w:rPr>
                <w:rFonts w:ascii="Arial" w:eastAsia="PMingLiU" w:hAnsi="Arial" w:cs="Arial"/>
                <w:lang w:eastAsia="zh-TW"/>
              </w:rPr>
            </w:pPr>
            <w:r>
              <w:rPr>
                <w:rFonts w:ascii="Arial" w:eastAsia="PMingLiU" w:hAnsi="Arial" w:cs="Arial"/>
                <w:lang w:eastAsia="zh-TW"/>
              </w:rPr>
              <w:t>We would like generic naming.</w:t>
            </w:r>
          </w:p>
        </w:tc>
      </w:tr>
    </w:tbl>
    <w:p w14:paraId="223446AC" w14:textId="77777777" w:rsidR="00935D2C" w:rsidRDefault="00935D2C">
      <w:pPr>
        <w:ind w:left="1138" w:hanging="1138"/>
        <w:rPr>
          <w:rFonts w:ascii="Arial" w:eastAsia="MS Mincho" w:hAnsi="Arial" w:cs="Arial"/>
          <w:b/>
          <w:lang w:eastAsia="ko-KR"/>
        </w:rPr>
      </w:pPr>
    </w:p>
    <w:p w14:paraId="4A87E63D" w14:textId="77777777" w:rsidR="00935D2C" w:rsidRDefault="005D274B">
      <w:pPr>
        <w:pStyle w:val="Heading1"/>
      </w:pPr>
      <w:r>
        <w:t>3</w:t>
      </w:r>
      <w:r>
        <w:tab/>
        <w:t>Any other issue for discussion</w:t>
      </w:r>
    </w:p>
    <w:p w14:paraId="5A987D03" w14:textId="77777777" w:rsidR="00935D2C" w:rsidRDefault="00935D2C">
      <w:pPr>
        <w:rPr>
          <w:rFonts w:ascii="Calibri" w:hAnsi="Calibri" w:cs="Calibri"/>
          <w:color w:val="1F497D"/>
          <w:sz w:val="22"/>
          <w:szCs w:val="22"/>
        </w:rPr>
      </w:pPr>
    </w:p>
    <w:p w14:paraId="2700C78A" w14:textId="77777777" w:rsidR="00935D2C" w:rsidRDefault="005D274B">
      <w:pPr>
        <w:tabs>
          <w:tab w:val="left" w:pos="1622"/>
        </w:tabs>
        <w:spacing w:line="276" w:lineRule="auto"/>
        <w:ind w:left="1622" w:hanging="1622"/>
        <w:rPr>
          <w:bCs/>
          <w:color w:val="222222"/>
          <w:shd w:val="clear" w:color="auto" w:fill="FFFFFF"/>
        </w:rPr>
      </w:pPr>
      <w:proofErr w:type="spellStart"/>
      <w:r>
        <w:rPr>
          <w:bCs/>
          <w:color w:val="222222"/>
          <w:shd w:val="clear" w:color="auto" w:fill="FFFFFF"/>
        </w:rPr>
        <w:t>Tdoc</w:t>
      </w:r>
      <w:proofErr w:type="spellEnd"/>
      <w:r>
        <w:rPr>
          <w:bCs/>
          <w:color w:val="222222"/>
          <w:shd w:val="clear" w:color="auto" w:fill="FFFFFF"/>
        </w:rPr>
        <w:t xml:space="preserve"> R2-2001163 [1] includes the following stage 3 related proposals:</w:t>
      </w:r>
    </w:p>
    <w:p w14:paraId="63F3BEBD" w14:textId="77777777" w:rsidR="00935D2C" w:rsidRDefault="005D274B">
      <w:pPr>
        <w:tabs>
          <w:tab w:val="left" w:pos="1622"/>
        </w:tabs>
        <w:spacing w:line="276" w:lineRule="auto"/>
        <w:ind w:left="1622" w:hanging="1622"/>
        <w:rPr>
          <w:bCs/>
          <w:color w:val="222222"/>
          <w:shd w:val="clear" w:color="auto" w:fill="FFFFFF"/>
        </w:rPr>
      </w:pPr>
      <w:r>
        <w:rPr>
          <w:bCs/>
          <w:color w:val="222222"/>
          <w:shd w:val="clear" w:color="auto" w:fill="FFFFFF"/>
        </w:rPr>
        <w:t>Proposal 8</w:t>
      </w:r>
      <w:r>
        <w:rPr>
          <w:bCs/>
          <w:color w:val="222222"/>
          <w:shd w:val="clear" w:color="auto" w:fill="FFFFFF"/>
        </w:rPr>
        <w:tab/>
        <w:t xml:space="preserve">Clarify that network includes reconfigurationWithSync/ mobilityControlInfo in the container comprising the conditional SPCell </w:t>
      </w:r>
      <w:proofErr w:type="spellStart"/>
      <w:r>
        <w:rPr>
          <w:bCs/>
          <w:color w:val="222222"/>
          <w:shd w:val="clear" w:color="auto" w:fill="FFFFFF"/>
        </w:rPr>
        <w:t>configuraton</w:t>
      </w:r>
      <w:proofErr w:type="spellEnd"/>
    </w:p>
    <w:p w14:paraId="18E94F0D" w14:textId="77777777" w:rsidR="00935D2C" w:rsidRDefault="005D274B">
      <w:pPr>
        <w:tabs>
          <w:tab w:val="left" w:pos="1622"/>
        </w:tabs>
        <w:spacing w:line="276" w:lineRule="auto"/>
        <w:ind w:left="1622" w:hanging="1622"/>
        <w:rPr>
          <w:bCs/>
          <w:color w:val="222222"/>
          <w:shd w:val="clear" w:color="auto" w:fill="FFFFFF"/>
        </w:rPr>
      </w:pPr>
      <w:r>
        <w:rPr>
          <w:bCs/>
          <w:color w:val="222222"/>
          <w:shd w:val="clear" w:color="auto" w:fill="FFFFFF"/>
        </w:rPr>
        <w:t>Proposal 9</w:t>
      </w:r>
      <w:r>
        <w:rPr>
          <w:bCs/>
          <w:color w:val="222222"/>
          <w:shd w:val="clear" w:color="auto" w:fill="FFFFFF"/>
        </w:rPr>
        <w:tab/>
        <w:t>On the radio interface, do not introduce signalling to distinguish whether candidate concerns PCell or PSCell (as not required). Distinguish PCell or PSCell candidates within the variables in order to simplify the procedural specification.</w:t>
      </w:r>
    </w:p>
    <w:p w14:paraId="498A58E6" w14:textId="77777777" w:rsidR="00935D2C" w:rsidRDefault="005D274B">
      <w:pPr>
        <w:tabs>
          <w:tab w:val="left" w:pos="1622"/>
        </w:tabs>
        <w:spacing w:line="276" w:lineRule="auto"/>
        <w:ind w:left="1622" w:hanging="1622"/>
        <w:rPr>
          <w:bCs/>
          <w:color w:val="222222"/>
          <w:shd w:val="clear" w:color="auto" w:fill="FFFFFF"/>
        </w:rPr>
      </w:pPr>
      <w:r>
        <w:rPr>
          <w:bCs/>
          <w:color w:val="222222"/>
          <w:shd w:val="clear" w:color="auto" w:fill="FFFFFF"/>
        </w:rPr>
        <w:t>Proposal 10</w:t>
      </w:r>
      <w:r>
        <w:rPr>
          <w:bCs/>
          <w:color w:val="222222"/>
          <w:shd w:val="clear" w:color="auto" w:fill="FFFFFF"/>
        </w:rPr>
        <w:tab/>
        <w:t xml:space="preserve">RAN2 is requested to review the text proposal included in the </w:t>
      </w:r>
      <w:proofErr w:type="spellStart"/>
      <w:r>
        <w:rPr>
          <w:bCs/>
          <w:color w:val="222222"/>
          <w:shd w:val="clear" w:color="auto" w:fill="FFFFFF"/>
        </w:rPr>
        <w:t>TDoc</w:t>
      </w:r>
      <w:proofErr w:type="spellEnd"/>
      <w:r>
        <w:rPr>
          <w:bCs/>
          <w:color w:val="222222"/>
          <w:shd w:val="clear" w:color="auto" w:fill="FFFFFF"/>
        </w:rPr>
        <w:t xml:space="preserve"> and endorse it for inclusion in the Running CR to NR RRC. In order to keep specifications aligned, the similar changes should be done for the LTE RRC CR.</w:t>
      </w:r>
    </w:p>
    <w:p w14:paraId="5B814BB7" w14:textId="77777777" w:rsidR="00935D2C" w:rsidRDefault="005D274B">
      <w:pPr>
        <w:ind w:left="1138" w:hanging="1138"/>
        <w:rPr>
          <w:rFonts w:ascii="Arial" w:eastAsia="MS Mincho" w:hAnsi="Arial" w:cs="Arial"/>
          <w:b/>
          <w:lang w:eastAsia="ko-KR"/>
        </w:rPr>
      </w:pPr>
      <w:r>
        <w:rPr>
          <w:rFonts w:ascii="Arial" w:eastAsia="MS Mincho" w:hAnsi="Arial" w:cs="Arial"/>
          <w:b/>
          <w:lang w:eastAsia="ko-KR"/>
        </w:rPr>
        <w:t>Question 2: Could company provide their preference for the terminology for capturing of CPC in TS38.331?</w:t>
      </w:r>
    </w:p>
    <w:tbl>
      <w:tblPr>
        <w:tblStyle w:val="TableGrid"/>
        <w:tblW w:w="9631" w:type="dxa"/>
        <w:tblLayout w:type="fixed"/>
        <w:tblLook w:val="04A0" w:firstRow="1" w:lastRow="0" w:firstColumn="1" w:lastColumn="0" w:noHBand="0" w:noVBand="1"/>
      </w:tblPr>
      <w:tblGrid>
        <w:gridCol w:w="1538"/>
        <w:gridCol w:w="2932"/>
        <w:gridCol w:w="5161"/>
      </w:tblGrid>
      <w:tr w:rsidR="00935D2C" w14:paraId="7E02F197" w14:textId="77777777">
        <w:tc>
          <w:tcPr>
            <w:tcW w:w="1538" w:type="dxa"/>
          </w:tcPr>
          <w:p w14:paraId="0A42955C" w14:textId="77777777" w:rsidR="00935D2C" w:rsidRDefault="005D274B">
            <w:pPr>
              <w:rPr>
                <w:rFonts w:ascii="Arial" w:eastAsia="MS Mincho" w:hAnsi="Arial" w:cs="Arial"/>
                <w:b/>
                <w:lang w:eastAsia="ko-KR"/>
              </w:rPr>
            </w:pPr>
            <w:r>
              <w:rPr>
                <w:rFonts w:ascii="Arial" w:eastAsia="MS Mincho" w:hAnsi="Arial" w:cs="Arial"/>
                <w:b/>
                <w:lang w:eastAsia="ko-KR"/>
              </w:rPr>
              <w:t>company</w:t>
            </w:r>
          </w:p>
        </w:tc>
        <w:tc>
          <w:tcPr>
            <w:tcW w:w="2932" w:type="dxa"/>
          </w:tcPr>
          <w:p w14:paraId="376890C9" w14:textId="77777777" w:rsidR="00935D2C" w:rsidRDefault="005D274B">
            <w:pPr>
              <w:rPr>
                <w:rFonts w:ascii="Arial" w:eastAsia="MS Mincho" w:hAnsi="Arial" w:cs="Arial"/>
                <w:b/>
                <w:lang w:eastAsia="ko-KR"/>
              </w:rPr>
            </w:pPr>
            <w:r>
              <w:rPr>
                <w:rFonts w:ascii="Arial" w:eastAsia="MS Mincho" w:hAnsi="Arial" w:cs="Arial"/>
                <w:b/>
                <w:lang w:eastAsia="ko-KR"/>
              </w:rPr>
              <w:t>Agreeable proposals</w:t>
            </w:r>
          </w:p>
        </w:tc>
        <w:tc>
          <w:tcPr>
            <w:tcW w:w="5161" w:type="dxa"/>
          </w:tcPr>
          <w:p w14:paraId="418748DC" w14:textId="77777777" w:rsidR="00935D2C" w:rsidRDefault="005D274B">
            <w:pPr>
              <w:rPr>
                <w:rFonts w:ascii="Arial" w:eastAsia="MS Mincho" w:hAnsi="Arial" w:cs="Arial"/>
                <w:b/>
                <w:lang w:eastAsia="ko-KR"/>
              </w:rPr>
            </w:pPr>
            <w:r>
              <w:rPr>
                <w:rFonts w:ascii="Arial" w:eastAsia="MS Mincho" w:hAnsi="Arial" w:cs="Arial"/>
                <w:b/>
                <w:lang w:eastAsia="ko-KR"/>
              </w:rPr>
              <w:t>Comment</w:t>
            </w:r>
          </w:p>
        </w:tc>
      </w:tr>
      <w:tr w:rsidR="00935D2C" w14:paraId="2AD435EF" w14:textId="77777777">
        <w:tc>
          <w:tcPr>
            <w:tcW w:w="1538" w:type="dxa"/>
          </w:tcPr>
          <w:p w14:paraId="51FB2D9C" w14:textId="77777777" w:rsidR="00935D2C" w:rsidRDefault="005D274B">
            <w:pPr>
              <w:rPr>
                <w:rFonts w:ascii="Arial" w:eastAsia="MS Mincho" w:hAnsi="Arial" w:cs="Arial"/>
                <w:lang w:eastAsia="ko-KR"/>
              </w:rPr>
            </w:pPr>
            <w:r>
              <w:rPr>
                <w:rFonts w:ascii="Arial" w:eastAsia="MS Mincho" w:hAnsi="Arial" w:cs="Arial"/>
                <w:lang w:eastAsia="ko-KR"/>
              </w:rPr>
              <w:t>Ericsson</w:t>
            </w:r>
          </w:p>
        </w:tc>
        <w:tc>
          <w:tcPr>
            <w:tcW w:w="2932" w:type="dxa"/>
          </w:tcPr>
          <w:p w14:paraId="2C1187F9" w14:textId="77777777" w:rsidR="00935D2C" w:rsidRDefault="00935D2C">
            <w:pPr>
              <w:rPr>
                <w:rFonts w:ascii="Arial" w:eastAsia="MS Mincho" w:hAnsi="Arial" w:cs="Arial"/>
                <w:lang w:eastAsia="ko-KR"/>
              </w:rPr>
            </w:pPr>
          </w:p>
        </w:tc>
        <w:tc>
          <w:tcPr>
            <w:tcW w:w="5161" w:type="dxa"/>
          </w:tcPr>
          <w:p w14:paraId="379A2E2E" w14:textId="77777777" w:rsidR="00935D2C" w:rsidRDefault="005D274B">
            <w:pPr>
              <w:rPr>
                <w:rFonts w:ascii="Arial" w:eastAsia="MS Mincho" w:hAnsi="Arial" w:cs="Arial"/>
                <w:lang w:eastAsia="ko-KR"/>
              </w:rPr>
            </w:pPr>
            <w:r>
              <w:rPr>
                <w:rFonts w:ascii="Arial" w:eastAsia="MS Mincho" w:hAnsi="Arial" w:cs="Arial"/>
                <w:lang w:eastAsia="ko-KR"/>
              </w:rPr>
              <w:t>Proposal 8: We don’t think reconfigurationWithSync/ mobilityControlInfo are included at PSCell change. It is just a reconfiguration message without reconfigurationWithSync/ mobilityControlInfo.</w:t>
            </w:r>
          </w:p>
          <w:p w14:paraId="30EA6292" w14:textId="77777777" w:rsidR="00935D2C" w:rsidRDefault="005D274B">
            <w:pPr>
              <w:rPr>
                <w:rFonts w:ascii="Arial" w:eastAsia="MS Mincho" w:hAnsi="Arial" w:cs="Arial"/>
                <w:lang w:eastAsia="ko-KR"/>
              </w:rPr>
            </w:pPr>
            <w:r>
              <w:rPr>
                <w:rFonts w:ascii="Arial" w:eastAsia="MS Mincho" w:hAnsi="Arial" w:cs="Arial"/>
                <w:lang w:eastAsia="ko-KR"/>
              </w:rPr>
              <w:t>Proposal 9: We don’t think they need to be distinguished. The network ensures the correct cells are configured for the different cases.</w:t>
            </w:r>
          </w:p>
        </w:tc>
      </w:tr>
      <w:tr w:rsidR="00935D2C" w14:paraId="33F12281" w14:textId="77777777">
        <w:tc>
          <w:tcPr>
            <w:tcW w:w="1538" w:type="dxa"/>
          </w:tcPr>
          <w:p w14:paraId="2A25E2D3" w14:textId="77777777" w:rsidR="00935D2C" w:rsidRDefault="005D274B">
            <w:pPr>
              <w:rPr>
                <w:rFonts w:ascii="Arial" w:eastAsia="MS Mincho" w:hAnsi="Arial" w:cs="Arial"/>
                <w:lang w:eastAsia="ko-KR"/>
              </w:rPr>
            </w:pPr>
            <w:r>
              <w:rPr>
                <w:rFonts w:ascii="Arial" w:eastAsia="PMingLiU" w:hAnsi="Arial" w:cs="Arial"/>
                <w:lang w:eastAsia="zh-TW"/>
              </w:rPr>
              <w:t>ITRI</w:t>
            </w:r>
          </w:p>
        </w:tc>
        <w:tc>
          <w:tcPr>
            <w:tcW w:w="2932" w:type="dxa"/>
          </w:tcPr>
          <w:p w14:paraId="0A7B79B2" w14:textId="77777777" w:rsidR="00935D2C" w:rsidRDefault="00935D2C">
            <w:pPr>
              <w:rPr>
                <w:rFonts w:ascii="Arial" w:eastAsia="MS Mincho" w:hAnsi="Arial" w:cs="Arial"/>
                <w:lang w:eastAsia="ko-KR"/>
              </w:rPr>
            </w:pPr>
          </w:p>
        </w:tc>
        <w:tc>
          <w:tcPr>
            <w:tcW w:w="5161" w:type="dxa"/>
          </w:tcPr>
          <w:p w14:paraId="3DF84841" w14:textId="77777777" w:rsidR="00935D2C" w:rsidRDefault="005D274B">
            <w:pPr>
              <w:rPr>
                <w:rFonts w:ascii="Arial" w:eastAsia="MS Mincho" w:hAnsi="Arial" w:cs="Arial"/>
                <w:lang w:eastAsia="ko-KR"/>
              </w:rPr>
            </w:pPr>
            <w:r>
              <w:rPr>
                <w:rFonts w:ascii="Arial" w:eastAsia="PMingLiU" w:hAnsi="Arial" w:cs="Arial"/>
                <w:lang w:eastAsia="zh-TW"/>
              </w:rPr>
              <w:t>W</w:t>
            </w:r>
            <w:r>
              <w:rPr>
                <w:rFonts w:ascii="Arial" w:eastAsia="PMingLiU" w:hAnsi="Arial" w:cs="Arial" w:hint="eastAsia"/>
                <w:lang w:eastAsia="zh-TW"/>
              </w:rPr>
              <w:t xml:space="preserve">e </w:t>
            </w:r>
            <w:r>
              <w:rPr>
                <w:rFonts w:ascii="Arial" w:eastAsia="PMingLiU" w:hAnsi="Arial" w:cs="Arial"/>
                <w:lang w:eastAsia="zh-TW"/>
              </w:rPr>
              <w:t xml:space="preserve">share the same view with </w:t>
            </w:r>
            <w:r>
              <w:rPr>
                <w:rFonts w:ascii="Arial" w:eastAsia="MS Mincho" w:hAnsi="Arial" w:cs="Arial"/>
                <w:lang w:eastAsia="ko-KR"/>
              </w:rPr>
              <w:t xml:space="preserve">Ericsson. </w:t>
            </w:r>
          </w:p>
          <w:p w14:paraId="78F8ADFE" w14:textId="77777777" w:rsidR="00935D2C" w:rsidRDefault="005D274B">
            <w:pPr>
              <w:rPr>
                <w:rFonts w:ascii="Arial" w:eastAsia="PMingLiU" w:hAnsi="Arial" w:cs="Arial"/>
                <w:lang w:eastAsia="zh-TW"/>
              </w:rPr>
            </w:pPr>
            <w:r>
              <w:rPr>
                <w:rFonts w:ascii="Arial" w:eastAsia="MS Mincho" w:hAnsi="Arial" w:cs="Arial"/>
                <w:lang w:eastAsia="ko-KR"/>
              </w:rPr>
              <w:t>D</w:t>
            </w:r>
            <w:r>
              <w:rPr>
                <w:rFonts w:ascii="Arial" w:eastAsia="PMingLiU" w:hAnsi="Arial" w:cs="Arial"/>
                <w:lang w:eastAsia="zh-TW"/>
              </w:rPr>
              <w:t xml:space="preserve">ifferent from PCell change, reconfigurationWithSync/ mobilityControlInfo need not be included in the reconfiguration message of PSCell change. </w:t>
            </w:r>
          </w:p>
          <w:p w14:paraId="7737D4F1" w14:textId="77777777" w:rsidR="00935D2C" w:rsidRDefault="005D274B">
            <w:pPr>
              <w:rPr>
                <w:rFonts w:ascii="Arial" w:eastAsia="MS Mincho" w:hAnsi="Arial" w:cs="Arial"/>
                <w:lang w:eastAsia="ko-KR"/>
              </w:rPr>
            </w:pPr>
            <w:r>
              <w:rPr>
                <w:rFonts w:ascii="Arial" w:eastAsia="PMingLiU" w:hAnsi="Arial" w:cs="Arial"/>
                <w:lang w:eastAsia="zh-TW"/>
              </w:rPr>
              <w:t>Moreover, whether the configuration is for PCell or PSCell candidates can be ensured by network.</w:t>
            </w:r>
          </w:p>
        </w:tc>
      </w:tr>
      <w:tr w:rsidR="00935D2C" w14:paraId="6DA943B4" w14:textId="77777777">
        <w:tc>
          <w:tcPr>
            <w:tcW w:w="1538" w:type="dxa"/>
          </w:tcPr>
          <w:p w14:paraId="44C57991" w14:textId="77777777" w:rsidR="00935D2C" w:rsidRDefault="005D274B">
            <w:pPr>
              <w:rPr>
                <w:rFonts w:ascii="Arial" w:eastAsia="SimSun" w:hAnsi="Arial" w:cs="Arial"/>
                <w:lang w:val="en-US" w:eastAsia="zh-CN"/>
              </w:rPr>
            </w:pPr>
            <w:r>
              <w:rPr>
                <w:rFonts w:ascii="Arial" w:eastAsia="SimSun" w:hAnsi="Arial" w:cs="Arial" w:hint="eastAsia"/>
                <w:lang w:val="en-US" w:eastAsia="zh-CN"/>
              </w:rPr>
              <w:t>ZTE</w:t>
            </w:r>
          </w:p>
        </w:tc>
        <w:tc>
          <w:tcPr>
            <w:tcW w:w="2932" w:type="dxa"/>
          </w:tcPr>
          <w:p w14:paraId="66D58D2F" w14:textId="77777777" w:rsidR="00935D2C" w:rsidRDefault="00935D2C">
            <w:pPr>
              <w:rPr>
                <w:rFonts w:ascii="Arial" w:eastAsia="MS Mincho" w:hAnsi="Arial" w:cs="Arial"/>
                <w:lang w:eastAsia="ko-KR"/>
              </w:rPr>
            </w:pPr>
          </w:p>
        </w:tc>
        <w:tc>
          <w:tcPr>
            <w:tcW w:w="5161" w:type="dxa"/>
          </w:tcPr>
          <w:p w14:paraId="2996384A" w14:textId="77777777" w:rsidR="00935D2C" w:rsidRDefault="005D274B">
            <w:pPr>
              <w:rPr>
                <w:rFonts w:ascii="Arial" w:eastAsia="MS Mincho" w:hAnsi="Arial" w:cs="Arial"/>
                <w:lang w:eastAsia="ko-KR"/>
              </w:rPr>
            </w:pPr>
            <w:r>
              <w:rPr>
                <w:rFonts w:ascii="Arial" w:eastAsia="PMingLiU" w:hAnsi="Arial" w:cs="Arial"/>
                <w:lang w:eastAsia="zh-TW"/>
              </w:rPr>
              <w:t>W</w:t>
            </w:r>
            <w:r>
              <w:rPr>
                <w:rFonts w:ascii="Arial" w:eastAsia="PMingLiU" w:hAnsi="Arial" w:cs="Arial" w:hint="eastAsia"/>
                <w:lang w:eastAsia="zh-TW"/>
              </w:rPr>
              <w:t xml:space="preserve">e </w:t>
            </w:r>
            <w:r>
              <w:rPr>
                <w:rFonts w:ascii="Arial" w:eastAsia="PMingLiU" w:hAnsi="Arial" w:cs="Arial"/>
                <w:lang w:eastAsia="zh-TW"/>
              </w:rPr>
              <w:t xml:space="preserve">share the same view with </w:t>
            </w:r>
            <w:r>
              <w:rPr>
                <w:rFonts w:ascii="Arial" w:eastAsia="MS Mincho" w:hAnsi="Arial" w:cs="Arial"/>
                <w:lang w:eastAsia="ko-KR"/>
              </w:rPr>
              <w:t xml:space="preserve">Ericsson. </w:t>
            </w:r>
          </w:p>
          <w:p w14:paraId="02FA3E29" w14:textId="77777777" w:rsidR="00935D2C" w:rsidRDefault="005D274B">
            <w:pPr>
              <w:rPr>
                <w:rFonts w:ascii="Arial" w:eastAsia="SimSun" w:hAnsi="Arial" w:cs="Arial"/>
                <w:lang w:val="en-US" w:eastAsia="zh-CN"/>
              </w:rPr>
            </w:pPr>
            <w:r>
              <w:rPr>
                <w:rFonts w:ascii="Arial" w:eastAsia="SimSun" w:hAnsi="Arial" w:cs="Arial" w:hint="eastAsia"/>
                <w:lang w:val="en-US" w:eastAsia="zh-CN"/>
              </w:rPr>
              <w:lastRenderedPageBreak/>
              <w:t xml:space="preserve">We prefer to have a unified structure for both CHO and CPC (i.e. not distinguish PCell and PSCell candidates in the </w:t>
            </w:r>
            <w:proofErr w:type="spellStart"/>
            <w:r>
              <w:rPr>
                <w:rFonts w:ascii="Arial" w:eastAsia="SimSun" w:hAnsi="Arial" w:cs="Arial" w:hint="eastAsia"/>
                <w:lang w:val="en-US" w:eastAsia="zh-CN"/>
              </w:rPr>
              <w:t>conditionalReconfiguration</w:t>
            </w:r>
            <w:proofErr w:type="spellEnd"/>
            <w:r>
              <w:rPr>
                <w:rFonts w:ascii="Arial" w:eastAsia="SimSun" w:hAnsi="Arial" w:cs="Arial" w:hint="eastAsia"/>
                <w:lang w:val="en-US" w:eastAsia="zh-CN"/>
              </w:rPr>
              <w:t xml:space="preserve"> container).</w:t>
            </w:r>
          </w:p>
          <w:p w14:paraId="552F651D" w14:textId="77777777" w:rsidR="00935D2C" w:rsidRDefault="005D274B">
            <w:pPr>
              <w:spacing w:afterLines="60" w:after="144"/>
              <w:jc w:val="both"/>
              <w:rPr>
                <w:rFonts w:ascii="Arial" w:hAnsi="Arial" w:cs="Arial"/>
                <w:bCs/>
                <w:lang w:val="en-US" w:eastAsia="zh-CN"/>
              </w:rPr>
            </w:pPr>
            <w:r>
              <w:rPr>
                <w:rFonts w:ascii="Arial" w:hAnsi="Arial" w:cs="Arial"/>
                <w:bCs/>
                <w:lang w:val="en-US" w:eastAsia="zh-CN"/>
              </w:rPr>
              <w:t xml:space="preserve">An example for </w:t>
            </w:r>
            <w:r>
              <w:rPr>
                <w:rFonts w:ascii="Arial" w:hAnsi="Arial" w:cs="Arial" w:hint="eastAsia"/>
                <w:bCs/>
                <w:lang w:val="en-US" w:eastAsia="zh-CN"/>
              </w:rPr>
              <w:t xml:space="preserve">the </w:t>
            </w:r>
            <w:r>
              <w:rPr>
                <w:rFonts w:ascii="Arial" w:hAnsi="Arial" w:cs="Arial"/>
                <w:bCs/>
                <w:lang w:val="en-US" w:eastAsia="zh-CN"/>
              </w:rPr>
              <w:t xml:space="preserve">structure of </w:t>
            </w:r>
            <w:proofErr w:type="spellStart"/>
            <w:r>
              <w:rPr>
                <w:rFonts w:ascii="Arial" w:eastAsia="SimSun" w:hAnsi="Arial" w:cs="Arial" w:hint="eastAsia"/>
                <w:lang w:val="en-US" w:eastAsia="zh-CN"/>
              </w:rPr>
              <w:t>conditionalReconfiguration</w:t>
            </w:r>
            <w:proofErr w:type="spellEnd"/>
            <w:r>
              <w:rPr>
                <w:rFonts w:ascii="Arial" w:hAnsi="Arial" w:cs="Arial"/>
                <w:bCs/>
                <w:lang w:val="en-US" w:eastAsia="zh-CN"/>
              </w:rPr>
              <w:t xml:space="preserve"> container is shown as follows:</w:t>
            </w:r>
          </w:p>
          <w:p w14:paraId="1646E88D" w14:textId="77777777" w:rsidR="00935D2C" w:rsidRDefault="005D274B">
            <w:pPr>
              <w:spacing w:afterLines="60" w:after="144"/>
              <w:jc w:val="both"/>
              <w:rPr>
                <w:rFonts w:ascii="Arial" w:hAnsi="Arial" w:cs="Arial"/>
                <w:bCs/>
                <w:lang w:val="en-US" w:eastAsia="zh-CN"/>
              </w:rPr>
            </w:pPr>
            <w:proofErr w:type="spellStart"/>
            <w:r>
              <w:rPr>
                <w:rFonts w:ascii="Arial" w:eastAsia="SimSun" w:hAnsi="Arial" w:cs="Arial" w:hint="eastAsia"/>
                <w:lang w:val="en-US" w:eastAsia="zh-CN"/>
              </w:rPr>
              <w:t>conditionalReconfiguration</w:t>
            </w:r>
            <w:proofErr w:type="spellEnd"/>
            <w:r>
              <w:rPr>
                <w:rFonts w:ascii="Arial" w:hAnsi="Arial" w:cs="Arial"/>
                <w:bCs/>
                <w:lang w:val="en-US" w:eastAsia="zh-CN"/>
              </w:rPr>
              <w:t xml:space="preserve"> container</w:t>
            </w:r>
            <w:r>
              <w:rPr>
                <w:rFonts w:ascii="Arial" w:hAnsi="Arial" w:cs="Arial" w:hint="eastAsia"/>
                <w:bCs/>
                <w:lang w:val="en-US" w:eastAsia="zh-CN"/>
              </w:rPr>
              <w:t>:</w:t>
            </w:r>
          </w:p>
          <w:p w14:paraId="395419A1" w14:textId="77777777" w:rsidR="00935D2C" w:rsidRDefault="005D274B">
            <w:pPr>
              <w:spacing w:afterLines="60" w:after="144"/>
              <w:jc w:val="both"/>
              <w:rPr>
                <w:rFonts w:ascii="Arial" w:hAnsi="Arial" w:cs="Arial"/>
                <w:bCs/>
                <w:lang w:val="en-US" w:eastAsia="zh-CN"/>
              </w:rPr>
            </w:pPr>
            <w:r>
              <w:rPr>
                <w:rFonts w:ascii="Arial" w:hAnsi="Arial" w:cs="Arial"/>
                <w:bCs/>
                <w:lang w:val="en-US" w:eastAsia="zh-CN"/>
              </w:rPr>
              <w:t>-&gt; RRC reconfiguration message generated by MN</w:t>
            </w:r>
          </w:p>
          <w:p w14:paraId="6A67F600" w14:textId="77777777" w:rsidR="00935D2C" w:rsidRDefault="005D274B" w:rsidP="00F233B8">
            <w:pPr>
              <w:spacing w:afterLines="60" w:after="144"/>
              <w:ind w:leftChars="100" w:left="200"/>
              <w:jc w:val="both"/>
              <w:rPr>
                <w:rFonts w:ascii="Arial" w:hAnsi="Arial" w:cs="Arial"/>
                <w:bCs/>
                <w:lang w:val="en-US" w:eastAsia="zh-CN"/>
              </w:rPr>
            </w:pPr>
            <w:r>
              <w:rPr>
                <w:rFonts w:ascii="Arial" w:hAnsi="Arial" w:cs="Arial"/>
                <w:bCs/>
                <w:lang w:val="en-US" w:eastAsia="zh-CN"/>
              </w:rPr>
              <w:t>--&gt; MRDC-</w:t>
            </w:r>
            <w:proofErr w:type="spellStart"/>
            <w:r>
              <w:rPr>
                <w:rFonts w:ascii="Arial" w:hAnsi="Arial" w:cs="Arial"/>
                <w:bCs/>
                <w:lang w:val="en-US" w:eastAsia="zh-CN"/>
              </w:rPr>
              <w:t>SecondaryCellGroupConfig</w:t>
            </w:r>
            <w:proofErr w:type="spellEnd"/>
          </w:p>
          <w:p w14:paraId="315546E7" w14:textId="77777777" w:rsidR="00935D2C" w:rsidRDefault="005D274B" w:rsidP="00F233B8">
            <w:pPr>
              <w:widowControl w:val="0"/>
              <w:numPr>
                <w:ilvl w:val="4"/>
                <w:numId w:val="0"/>
              </w:numPr>
              <w:ind w:leftChars="200" w:left="400"/>
              <w:jc w:val="both"/>
              <w:rPr>
                <w:rFonts w:ascii="Arial" w:hAnsi="Arial" w:cs="Arial"/>
                <w:bCs/>
                <w:lang w:val="en-US" w:eastAsia="zh-CN"/>
              </w:rPr>
            </w:pPr>
            <w:r>
              <w:rPr>
                <w:rFonts w:ascii="Arial" w:hAnsi="Arial" w:cs="Arial"/>
                <w:bCs/>
                <w:lang w:val="en-US" w:eastAsia="zh-CN"/>
              </w:rPr>
              <w:t>---&gt;nr-SCG (CONTAINING RRCReconfiguration generated by SN)</w:t>
            </w:r>
          </w:p>
          <w:p w14:paraId="2F8DCAC9" w14:textId="77777777" w:rsidR="00935D2C" w:rsidRDefault="005D274B">
            <w:pPr>
              <w:rPr>
                <w:rFonts w:ascii="Arial" w:eastAsia="SimSun" w:hAnsi="Arial" w:cs="Arial"/>
                <w:lang w:val="en-US" w:eastAsia="zh-CN"/>
              </w:rPr>
            </w:pPr>
            <w:r>
              <w:rPr>
                <w:rFonts w:ascii="Arial" w:eastAsia="SimSun" w:hAnsi="Arial" w:cs="Arial" w:hint="eastAsia"/>
                <w:lang w:val="en-US" w:eastAsia="zh-CN"/>
              </w:rPr>
              <w:t xml:space="preserve">In this way, the UE just needs to apply </w:t>
            </w:r>
            <w:proofErr w:type="gramStart"/>
            <w:r>
              <w:rPr>
                <w:rFonts w:ascii="Arial" w:eastAsia="SimSun" w:hAnsi="Arial" w:cs="Arial" w:hint="eastAsia"/>
                <w:lang w:val="en-US" w:eastAsia="zh-CN"/>
              </w:rPr>
              <w:t>the  reconfiguration</w:t>
            </w:r>
            <w:proofErr w:type="gramEnd"/>
            <w:r>
              <w:rPr>
                <w:rFonts w:ascii="Arial" w:eastAsia="SimSun" w:hAnsi="Arial" w:cs="Arial" w:hint="eastAsia"/>
                <w:lang w:val="en-US" w:eastAsia="zh-CN"/>
              </w:rPr>
              <w:t xml:space="preserve"> in the stored container upon satisfying the associated triggering conditions no matter which operation is configured.</w:t>
            </w:r>
          </w:p>
        </w:tc>
      </w:tr>
      <w:tr w:rsidR="005D274B" w14:paraId="45E70B14" w14:textId="77777777">
        <w:tc>
          <w:tcPr>
            <w:tcW w:w="1538" w:type="dxa"/>
          </w:tcPr>
          <w:p w14:paraId="2EBF6F19" w14:textId="3DEDFF50" w:rsidR="005D274B" w:rsidRDefault="005D274B" w:rsidP="005D274B">
            <w:pPr>
              <w:rPr>
                <w:rFonts w:ascii="Arial" w:eastAsia="SimSun" w:hAnsi="Arial" w:cs="Arial"/>
                <w:lang w:val="en-US" w:eastAsia="zh-CN"/>
              </w:rPr>
            </w:pPr>
            <w:r>
              <w:rPr>
                <w:rFonts w:ascii="Arial" w:eastAsia="PMingLiU" w:hAnsi="Arial" w:cs="Arial"/>
                <w:lang w:val="en-US" w:eastAsia="zh-CN"/>
              </w:rPr>
              <w:lastRenderedPageBreak/>
              <w:t>Apple</w:t>
            </w:r>
          </w:p>
        </w:tc>
        <w:tc>
          <w:tcPr>
            <w:tcW w:w="2932" w:type="dxa"/>
          </w:tcPr>
          <w:p w14:paraId="0115D094" w14:textId="77777777" w:rsidR="005D274B" w:rsidRDefault="005D274B" w:rsidP="005D274B">
            <w:pPr>
              <w:rPr>
                <w:rFonts w:ascii="Arial" w:eastAsia="MS Mincho" w:hAnsi="Arial" w:cs="Arial"/>
                <w:lang w:eastAsia="ko-KR"/>
              </w:rPr>
            </w:pPr>
          </w:p>
        </w:tc>
        <w:tc>
          <w:tcPr>
            <w:tcW w:w="5161" w:type="dxa"/>
          </w:tcPr>
          <w:p w14:paraId="14505F24" w14:textId="060BCB3B" w:rsidR="005D274B" w:rsidRDefault="005D274B" w:rsidP="005D274B">
            <w:pPr>
              <w:rPr>
                <w:rFonts w:ascii="Arial" w:eastAsia="PMingLiU" w:hAnsi="Arial" w:cs="Arial"/>
                <w:lang w:eastAsia="zh-TW"/>
              </w:rPr>
            </w:pPr>
            <w:r>
              <w:rPr>
                <w:rFonts w:ascii="Arial" w:eastAsia="PMingLiU" w:hAnsi="Arial" w:cs="Arial"/>
                <w:lang w:eastAsia="zh-TW"/>
              </w:rPr>
              <w:t xml:space="preserve">1) We agree with the intention of Proposal 8 since 38.331 </w:t>
            </w:r>
            <w:proofErr w:type="gramStart"/>
            <w:r>
              <w:rPr>
                <w:rFonts w:ascii="Arial" w:eastAsia="PMingLiU" w:hAnsi="Arial" w:cs="Arial"/>
                <w:lang w:eastAsia="zh-TW"/>
              </w:rPr>
              <w:t>defines</w:t>
            </w:r>
            <w:proofErr w:type="gramEnd"/>
            <w:r>
              <w:rPr>
                <w:rFonts w:ascii="Arial" w:eastAsia="PMingLiU" w:hAnsi="Arial" w:cs="Arial"/>
                <w:lang w:eastAsia="zh-TW"/>
              </w:rPr>
              <w:t xml:space="preserve"> that “</w:t>
            </w:r>
            <w:proofErr w:type="spellStart"/>
            <w:r>
              <w:rPr>
                <w:rFonts w:ascii="Arial" w:eastAsia="PMingLiU" w:hAnsi="Arial" w:cs="Arial"/>
                <w:lang w:eastAsia="zh-TW"/>
              </w:rPr>
              <w:t>ReconfWithSync</w:t>
            </w:r>
            <w:proofErr w:type="spellEnd"/>
            <w:r>
              <w:rPr>
                <w:rFonts w:ascii="Arial" w:eastAsia="PMingLiU" w:hAnsi="Arial" w:cs="Arial"/>
                <w:lang w:eastAsia="zh-TW"/>
              </w:rPr>
              <w:t xml:space="preserve">” is mandatory present in case of </w:t>
            </w:r>
            <w:proofErr w:type="spellStart"/>
            <w:r w:rsidRPr="00737454">
              <w:rPr>
                <w:rFonts w:ascii="Arial" w:eastAsia="PMingLiU" w:hAnsi="Arial" w:cs="Arial"/>
                <w:lang w:eastAsia="zh-TW"/>
              </w:rPr>
              <w:t>SpCell</w:t>
            </w:r>
            <w:proofErr w:type="spellEnd"/>
            <w:r w:rsidRPr="00737454">
              <w:rPr>
                <w:rFonts w:ascii="Arial" w:eastAsia="PMingLiU" w:hAnsi="Arial" w:cs="Arial"/>
                <w:lang w:eastAsia="zh-TW"/>
              </w:rPr>
              <w:t xml:space="preserve"> change</w:t>
            </w:r>
            <w:r>
              <w:rPr>
                <w:rFonts w:ascii="Arial" w:eastAsia="PMingLiU" w:hAnsi="Arial" w:cs="Arial"/>
                <w:lang w:eastAsia="zh-TW"/>
              </w:rPr>
              <w:t xml:space="preserve">. However, it also makes sense to not mention it at all but only referring it is </w:t>
            </w:r>
            <w:proofErr w:type="gramStart"/>
            <w:r>
              <w:rPr>
                <w:rFonts w:ascii="Arial" w:eastAsia="PMingLiU" w:hAnsi="Arial" w:cs="Arial"/>
                <w:lang w:eastAsia="zh-TW"/>
              </w:rPr>
              <w:t>a</w:t>
            </w:r>
            <w:proofErr w:type="gramEnd"/>
            <w:r>
              <w:rPr>
                <w:rFonts w:ascii="Arial" w:eastAsia="PMingLiU" w:hAnsi="Arial" w:cs="Arial"/>
                <w:lang w:eastAsia="zh-TW"/>
              </w:rPr>
              <w:t xml:space="preserve"> RRCReconfiguration message.</w:t>
            </w:r>
          </w:p>
          <w:p w14:paraId="3CEF5D9C" w14:textId="6A5EB5C7" w:rsidR="005D274B" w:rsidRDefault="005D274B" w:rsidP="005D274B">
            <w:pPr>
              <w:rPr>
                <w:rFonts w:ascii="Arial" w:eastAsia="PMingLiU" w:hAnsi="Arial" w:cs="Arial"/>
                <w:lang w:eastAsia="zh-TW"/>
              </w:rPr>
            </w:pPr>
            <w:r>
              <w:rPr>
                <w:rFonts w:ascii="Arial" w:eastAsia="PMingLiU" w:hAnsi="Arial" w:cs="Arial"/>
                <w:lang w:eastAsia="zh-TW"/>
              </w:rPr>
              <w:t>2) Agree with Ericsson.</w:t>
            </w:r>
          </w:p>
        </w:tc>
      </w:tr>
      <w:tr w:rsidR="002C2138" w14:paraId="57484D1C" w14:textId="77777777">
        <w:tc>
          <w:tcPr>
            <w:tcW w:w="1538" w:type="dxa"/>
          </w:tcPr>
          <w:p w14:paraId="0051ED1A" w14:textId="71A9D86B" w:rsidR="002C2138" w:rsidRDefault="002C2138" w:rsidP="005D274B">
            <w:pPr>
              <w:rPr>
                <w:rFonts w:ascii="Arial" w:eastAsia="PMingLiU" w:hAnsi="Arial" w:cs="Arial"/>
                <w:lang w:val="en-US" w:eastAsia="zh-CN"/>
              </w:rPr>
            </w:pPr>
            <w:r>
              <w:rPr>
                <w:rFonts w:ascii="Arial" w:eastAsia="PMingLiU" w:hAnsi="Arial" w:cs="Arial"/>
                <w:lang w:val="en-US" w:eastAsia="zh-CN"/>
              </w:rPr>
              <w:t>vivo</w:t>
            </w:r>
          </w:p>
        </w:tc>
        <w:tc>
          <w:tcPr>
            <w:tcW w:w="2932" w:type="dxa"/>
          </w:tcPr>
          <w:p w14:paraId="62019F0A" w14:textId="77777777" w:rsidR="002C2138" w:rsidRDefault="002C2138" w:rsidP="005D274B">
            <w:pPr>
              <w:rPr>
                <w:rFonts w:ascii="Arial" w:eastAsia="MS Mincho" w:hAnsi="Arial" w:cs="Arial"/>
                <w:lang w:eastAsia="ko-KR"/>
              </w:rPr>
            </w:pPr>
          </w:p>
        </w:tc>
        <w:tc>
          <w:tcPr>
            <w:tcW w:w="5161" w:type="dxa"/>
          </w:tcPr>
          <w:p w14:paraId="733F1CFF" w14:textId="71665E56" w:rsidR="002C2138" w:rsidRDefault="00323C97" w:rsidP="005408D9">
            <w:pPr>
              <w:rPr>
                <w:rFonts w:ascii="Arial" w:eastAsia="PMingLiU" w:hAnsi="Arial" w:cs="Arial"/>
                <w:lang w:eastAsia="zh-TW"/>
              </w:rPr>
            </w:pPr>
            <w:r>
              <w:rPr>
                <w:rFonts w:ascii="Arial" w:eastAsia="PMingLiU" w:hAnsi="Arial" w:cs="Arial"/>
                <w:lang w:eastAsia="zh-TW"/>
              </w:rPr>
              <w:t xml:space="preserve">We have the similar understanding as Ericsson and ZTE. </w:t>
            </w:r>
            <w:r w:rsidR="005408D9">
              <w:rPr>
                <w:rFonts w:ascii="Arial" w:eastAsia="PMingLiU" w:hAnsi="Arial" w:cs="Arial"/>
                <w:lang w:eastAsia="zh-TW"/>
              </w:rPr>
              <w:t xml:space="preserve">The unified </w:t>
            </w:r>
            <w:r w:rsidR="005408D9">
              <w:rPr>
                <w:rFonts w:ascii="Arial" w:eastAsia="SimSun" w:hAnsi="Arial" w:cs="Arial" w:hint="eastAsia"/>
                <w:lang w:val="en-US" w:eastAsia="zh-CN"/>
              </w:rPr>
              <w:t>structure for both CHO and CPC</w:t>
            </w:r>
            <w:r w:rsidR="005408D9">
              <w:rPr>
                <w:rFonts w:ascii="Arial" w:eastAsia="SimSun" w:hAnsi="Arial" w:cs="Arial"/>
                <w:lang w:val="en-US" w:eastAsia="zh-CN"/>
              </w:rPr>
              <w:t xml:space="preserve"> should be used. </w:t>
            </w:r>
          </w:p>
        </w:tc>
      </w:tr>
      <w:tr w:rsidR="007B58D2" w14:paraId="4C67C59B" w14:textId="77777777">
        <w:tc>
          <w:tcPr>
            <w:tcW w:w="1538" w:type="dxa"/>
          </w:tcPr>
          <w:p w14:paraId="2773DBC6" w14:textId="4414ABD1" w:rsidR="007B58D2" w:rsidRDefault="007B58D2" w:rsidP="005D274B">
            <w:pPr>
              <w:rPr>
                <w:rFonts w:ascii="Arial" w:eastAsia="PMingLiU" w:hAnsi="Arial" w:cs="Arial"/>
                <w:lang w:val="en-US" w:eastAsia="zh-CN"/>
              </w:rPr>
            </w:pPr>
            <w:r>
              <w:rPr>
                <w:rFonts w:ascii="Arial" w:eastAsia="PMingLiU" w:hAnsi="Arial" w:cs="Arial"/>
                <w:lang w:val="en-US" w:eastAsia="zh-CN"/>
              </w:rPr>
              <w:t>CATT</w:t>
            </w:r>
          </w:p>
        </w:tc>
        <w:tc>
          <w:tcPr>
            <w:tcW w:w="2932" w:type="dxa"/>
          </w:tcPr>
          <w:p w14:paraId="22C30915" w14:textId="77777777" w:rsidR="007B58D2" w:rsidRDefault="007B58D2" w:rsidP="005D274B">
            <w:pPr>
              <w:rPr>
                <w:rFonts w:ascii="Arial" w:eastAsia="MS Mincho" w:hAnsi="Arial" w:cs="Arial"/>
                <w:lang w:eastAsia="ko-KR"/>
              </w:rPr>
            </w:pPr>
          </w:p>
        </w:tc>
        <w:tc>
          <w:tcPr>
            <w:tcW w:w="5161" w:type="dxa"/>
          </w:tcPr>
          <w:p w14:paraId="1AA15354" w14:textId="77777777" w:rsidR="007B58D2" w:rsidRDefault="007B58D2" w:rsidP="007B58D2">
            <w:pPr>
              <w:rPr>
                <w:rFonts w:ascii="Arial" w:eastAsia="PMingLiU" w:hAnsi="Arial" w:cs="Arial"/>
                <w:lang w:eastAsia="zh-TW"/>
              </w:rPr>
            </w:pPr>
            <w:r>
              <w:rPr>
                <w:rFonts w:ascii="Arial" w:eastAsia="PMingLiU" w:hAnsi="Arial" w:cs="Arial"/>
                <w:lang w:eastAsia="zh-TW"/>
              </w:rPr>
              <w:t>We agree with above company comments that unified structure for both CHO and CPC to be used. This principle was used in the draft 38.331 CR.</w:t>
            </w:r>
          </w:p>
          <w:p w14:paraId="2F402F6A" w14:textId="4E159D40" w:rsidR="007B58D2" w:rsidRDefault="007B58D2" w:rsidP="007B58D2">
            <w:pPr>
              <w:rPr>
                <w:rFonts w:ascii="Arial" w:eastAsia="PMingLiU" w:hAnsi="Arial" w:cs="Arial"/>
                <w:lang w:eastAsia="zh-TW"/>
              </w:rPr>
            </w:pPr>
            <w:bookmarkStart w:id="0" w:name="_GoBack"/>
            <w:bookmarkEnd w:id="0"/>
          </w:p>
        </w:tc>
      </w:tr>
    </w:tbl>
    <w:p w14:paraId="1197438F" w14:textId="77777777" w:rsidR="00935D2C" w:rsidRDefault="00935D2C">
      <w:pPr>
        <w:ind w:left="1138" w:hanging="1138"/>
        <w:rPr>
          <w:rFonts w:ascii="Arial" w:eastAsia="MS Mincho" w:hAnsi="Arial" w:cs="Arial"/>
          <w:b/>
          <w:lang w:eastAsia="ko-KR"/>
        </w:rPr>
      </w:pPr>
    </w:p>
    <w:p w14:paraId="73077F77" w14:textId="77777777" w:rsidR="00935D2C" w:rsidRDefault="00935D2C">
      <w:pPr>
        <w:rPr>
          <w:u w:val="single"/>
        </w:rPr>
      </w:pPr>
    </w:p>
    <w:p w14:paraId="01B1F31E" w14:textId="77777777" w:rsidR="00935D2C" w:rsidRDefault="00935D2C">
      <w:pPr>
        <w:rPr>
          <w:u w:val="single"/>
        </w:rPr>
      </w:pPr>
    </w:p>
    <w:p w14:paraId="22C8752E" w14:textId="77777777" w:rsidR="00935D2C" w:rsidRDefault="005D274B">
      <w:pPr>
        <w:pStyle w:val="Heading1"/>
      </w:pPr>
      <w:r>
        <w:t>3</w:t>
      </w:r>
      <w:r>
        <w:tab/>
        <w:t>Conclusions</w:t>
      </w:r>
    </w:p>
    <w:p w14:paraId="7F4430CA" w14:textId="77777777" w:rsidR="00935D2C" w:rsidRDefault="00935D2C"/>
    <w:p w14:paraId="7610A65F" w14:textId="77777777" w:rsidR="00935D2C" w:rsidRDefault="005D274B">
      <w:pPr>
        <w:pStyle w:val="Heading1"/>
      </w:pPr>
      <w:r>
        <w:t>4</w:t>
      </w:r>
      <w:r>
        <w:tab/>
        <w:t>References</w:t>
      </w:r>
    </w:p>
    <w:p w14:paraId="77CB876A" w14:textId="77777777" w:rsidR="00935D2C" w:rsidRDefault="005D274B">
      <w:r>
        <w:t>[1] R2-2001163 Remaining issues concerning conditional change (mostly PSCell)</w:t>
      </w:r>
      <w:r>
        <w:tab/>
        <w:t>Samsung Telecommunications</w:t>
      </w:r>
    </w:p>
    <w:sectPr w:rsidR="00935D2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008C4" w14:textId="77777777" w:rsidR="002162F4" w:rsidRDefault="002162F4" w:rsidP="008C7857">
      <w:pPr>
        <w:spacing w:after="0"/>
      </w:pPr>
      <w:r>
        <w:separator/>
      </w:r>
    </w:p>
  </w:endnote>
  <w:endnote w:type="continuationSeparator" w:id="0">
    <w:p w14:paraId="2C0D00C1" w14:textId="77777777" w:rsidR="002162F4" w:rsidRDefault="002162F4" w:rsidP="008C78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9CA2F" w14:textId="77777777" w:rsidR="002162F4" w:rsidRDefault="002162F4" w:rsidP="008C7857">
      <w:pPr>
        <w:spacing w:after="0"/>
      </w:pPr>
      <w:r>
        <w:separator/>
      </w:r>
    </w:p>
  </w:footnote>
  <w:footnote w:type="continuationSeparator" w:id="0">
    <w:p w14:paraId="2DE2FB90" w14:textId="77777777" w:rsidR="002162F4" w:rsidRDefault="002162F4" w:rsidP="008C785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6E8B0AE2"/>
    <w:multiLevelType w:val="multilevel"/>
    <w:tmpl w:val="6E8B0A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16557"/>
    <w:rsid w:val="00023C40"/>
    <w:rsid w:val="000248D3"/>
    <w:rsid w:val="00033397"/>
    <w:rsid w:val="00040095"/>
    <w:rsid w:val="00042449"/>
    <w:rsid w:val="00063BEF"/>
    <w:rsid w:val="00073C9C"/>
    <w:rsid w:val="0007499E"/>
    <w:rsid w:val="00080512"/>
    <w:rsid w:val="00080CE1"/>
    <w:rsid w:val="00085E43"/>
    <w:rsid w:val="00086A67"/>
    <w:rsid w:val="00090468"/>
    <w:rsid w:val="000942F3"/>
    <w:rsid w:val="00094568"/>
    <w:rsid w:val="000A0A90"/>
    <w:rsid w:val="000A7F92"/>
    <w:rsid w:val="000B7BCF"/>
    <w:rsid w:val="000C2B74"/>
    <w:rsid w:val="000C3673"/>
    <w:rsid w:val="000C522B"/>
    <w:rsid w:val="000D150A"/>
    <w:rsid w:val="000D58AB"/>
    <w:rsid w:val="000F2814"/>
    <w:rsid w:val="000F3DFD"/>
    <w:rsid w:val="000F50D5"/>
    <w:rsid w:val="00110773"/>
    <w:rsid w:val="00112F1A"/>
    <w:rsid w:val="00145075"/>
    <w:rsid w:val="00162896"/>
    <w:rsid w:val="001741A0"/>
    <w:rsid w:val="00175FA0"/>
    <w:rsid w:val="00194CD0"/>
    <w:rsid w:val="001A5DB1"/>
    <w:rsid w:val="001B49C9"/>
    <w:rsid w:val="001C23F4"/>
    <w:rsid w:val="001C4F79"/>
    <w:rsid w:val="001E229F"/>
    <w:rsid w:val="001E3AE0"/>
    <w:rsid w:val="001E6337"/>
    <w:rsid w:val="001F168B"/>
    <w:rsid w:val="001F4B62"/>
    <w:rsid w:val="001F592D"/>
    <w:rsid w:val="001F7831"/>
    <w:rsid w:val="002012C7"/>
    <w:rsid w:val="00204045"/>
    <w:rsid w:val="0020712B"/>
    <w:rsid w:val="002162F4"/>
    <w:rsid w:val="00221B22"/>
    <w:rsid w:val="0022606D"/>
    <w:rsid w:val="00231728"/>
    <w:rsid w:val="00250404"/>
    <w:rsid w:val="002610D8"/>
    <w:rsid w:val="002747EC"/>
    <w:rsid w:val="002855BF"/>
    <w:rsid w:val="0029595A"/>
    <w:rsid w:val="002B0A69"/>
    <w:rsid w:val="002C2138"/>
    <w:rsid w:val="002F0D22"/>
    <w:rsid w:val="00311B17"/>
    <w:rsid w:val="003172DC"/>
    <w:rsid w:val="00323C97"/>
    <w:rsid w:val="00325AE3"/>
    <w:rsid w:val="00326069"/>
    <w:rsid w:val="00344600"/>
    <w:rsid w:val="0035462D"/>
    <w:rsid w:val="00356F67"/>
    <w:rsid w:val="00364B41"/>
    <w:rsid w:val="00371193"/>
    <w:rsid w:val="00374A3F"/>
    <w:rsid w:val="00383096"/>
    <w:rsid w:val="00385D75"/>
    <w:rsid w:val="003A41EF"/>
    <w:rsid w:val="003B40AD"/>
    <w:rsid w:val="003C4E37"/>
    <w:rsid w:val="003C5CAB"/>
    <w:rsid w:val="003D06FA"/>
    <w:rsid w:val="003D5E0C"/>
    <w:rsid w:val="003E16BE"/>
    <w:rsid w:val="003E5ECE"/>
    <w:rsid w:val="003F4E28"/>
    <w:rsid w:val="004002D0"/>
    <w:rsid w:val="004006E8"/>
    <w:rsid w:val="00401855"/>
    <w:rsid w:val="004020B2"/>
    <w:rsid w:val="00411CED"/>
    <w:rsid w:val="004332A2"/>
    <w:rsid w:val="00451BC6"/>
    <w:rsid w:val="00465587"/>
    <w:rsid w:val="00473B75"/>
    <w:rsid w:val="00477455"/>
    <w:rsid w:val="004A1F7B"/>
    <w:rsid w:val="004A25E8"/>
    <w:rsid w:val="004B71E9"/>
    <w:rsid w:val="004C226A"/>
    <w:rsid w:val="004C44D2"/>
    <w:rsid w:val="004D3578"/>
    <w:rsid w:val="004D380D"/>
    <w:rsid w:val="004E213A"/>
    <w:rsid w:val="004E760A"/>
    <w:rsid w:val="00503171"/>
    <w:rsid w:val="00506C28"/>
    <w:rsid w:val="00527275"/>
    <w:rsid w:val="00534DA0"/>
    <w:rsid w:val="005408D9"/>
    <w:rsid w:val="00542C98"/>
    <w:rsid w:val="00543E6C"/>
    <w:rsid w:val="00565087"/>
    <w:rsid w:val="0056573F"/>
    <w:rsid w:val="0057274C"/>
    <w:rsid w:val="005752B0"/>
    <w:rsid w:val="00596C0D"/>
    <w:rsid w:val="005B33DF"/>
    <w:rsid w:val="005C3C09"/>
    <w:rsid w:val="005D274B"/>
    <w:rsid w:val="00611566"/>
    <w:rsid w:val="00616A2F"/>
    <w:rsid w:val="00623B03"/>
    <w:rsid w:val="00633DCC"/>
    <w:rsid w:val="00641F74"/>
    <w:rsid w:val="00646D99"/>
    <w:rsid w:val="00656910"/>
    <w:rsid w:val="006574C0"/>
    <w:rsid w:val="00680D20"/>
    <w:rsid w:val="00687F2B"/>
    <w:rsid w:val="00692E6D"/>
    <w:rsid w:val="006C2C33"/>
    <w:rsid w:val="006C3FBB"/>
    <w:rsid w:val="006C66D8"/>
    <w:rsid w:val="006D0A7D"/>
    <w:rsid w:val="006D1E24"/>
    <w:rsid w:val="006E1417"/>
    <w:rsid w:val="006F2271"/>
    <w:rsid w:val="006F6A2C"/>
    <w:rsid w:val="007069DC"/>
    <w:rsid w:val="00710201"/>
    <w:rsid w:val="0072073A"/>
    <w:rsid w:val="00732313"/>
    <w:rsid w:val="007339EF"/>
    <w:rsid w:val="007342B5"/>
    <w:rsid w:val="00734A5B"/>
    <w:rsid w:val="0074383A"/>
    <w:rsid w:val="00744E76"/>
    <w:rsid w:val="00756A33"/>
    <w:rsid w:val="00757D40"/>
    <w:rsid w:val="007662B5"/>
    <w:rsid w:val="00781F0F"/>
    <w:rsid w:val="0078727C"/>
    <w:rsid w:val="0079049D"/>
    <w:rsid w:val="00793DC5"/>
    <w:rsid w:val="007B18D8"/>
    <w:rsid w:val="007B58D2"/>
    <w:rsid w:val="007C095F"/>
    <w:rsid w:val="007C2DD0"/>
    <w:rsid w:val="007E422C"/>
    <w:rsid w:val="007E5DF8"/>
    <w:rsid w:val="007F2E08"/>
    <w:rsid w:val="007F4D29"/>
    <w:rsid w:val="008028A4"/>
    <w:rsid w:val="00813245"/>
    <w:rsid w:val="00824452"/>
    <w:rsid w:val="00827A9E"/>
    <w:rsid w:val="00840DE0"/>
    <w:rsid w:val="00843762"/>
    <w:rsid w:val="0085285C"/>
    <w:rsid w:val="00860D2D"/>
    <w:rsid w:val="0086354A"/>
    <w:rsid w:val="008665C0"/>
    <w:rsid w:val="008768CA"/>
    <w:rsid w:val="00877EF9"/>
    <w:rsid w:val="00880559"/>
    <w:rsid w:val="00890F7D"/>
    <w:rsid w:val="008A1AD2"/>
    <w:rsid w:val="008B5306"/>
    <w:rsid w:val="008C16EA"/>
    <w:rsid w:val="008C2E2A"/>
    <w:rsid w:val="008C3057"/>
    <w:rsid w:val="008C452E"/>
    <w:rsid w:val="008C5ADD"/>
    <w:rsid w:val="008C7857"/>
    <w:rsid w:val="008D1643"/>
    <w:rsid w:val="008D2E4D"/>
    <w:rsid w:val="008E5173"/>
    <w:rsid w:val="008F396F"/>
    <w:rsid w:val="008F3DCD"/>
    <w:rsid w:val="0090271F"/>
    <w:rsid w:val="00902DB9"/>
    <w:rsid w:val="0090466A"/>
    <w:rsid w:val="00923655"/>
    <w:rsid w:val="00935D2C"/>
    <w:rsid w:val="00936071"/>
    <w:rsid w:val="009376CD"/>
    <w:rsid w:val="00940212"/>
    <w:rsid w:val="00942EC2"/>
    <w:rsid w:val="0094587C"/>
    <w:rsid w:val="00961B32"/>
    <w:rsid w:val="00962509"/>
    <w:rsid w:val="009705F8"/>
    <w:rsid w:val="00970DB3"/>
    <w:rsid w:val="00974BB0"/>
    <w:rsid w:val="00975BCD"/>
    <w:rsid w:val="0099212D"/>
    <w:rsid w:val="009A0AF3"/>
    <w:rsid w:val="009B07CD"/>
    <w:rsid w:val="009B4BFB"/>
    <w:rsid w:val="009B5D5E"/>
    <w:rsid w:val="009C19E9"/>
    <w:rsid w:val="009C5FA3"/>
    <w:rsid w:val="009D74A6"/>
    <w:rsid w:val="009E5B79"/>
    <w:rsid w:val="00A01647"/>
    <w:rsid w:val="00A01E92"/>
    <w:rsid w:val="00A06437"/>
    <w:rsid w:val="00A10F02"/>
    <w:rsid w:val="00A204CA"/>
    <w:rsid w:val="00A209D6"/>
    <w:rsid w:val="00A448BE"/>
    <w:rsid w:val="00A53724"/>
    <w:rsid w:val="00A54B2B"/>
    <w:rsid w:val="00A61FC4"/>
    <w:rsid w:val="00A82346"/>
    <w:rsid w:val="00A9671C"/>
    <w:rsid w:val="00A97142"/>
    <w:rsid w:val="00AA1553"/>
    <w:rsid w:val="00AD4A05"/>
    <w:rsid w:val="00B05380"/>
    <w:rsid w:val="00B05962"/>
    <w:rsid w:val="00B15449"/>
    <w:rsid w:val="00B16C2F"/>
    <w:rsid w:val="00B25CD7"/>
    <w:rsid w:val="00B27303"/>
    <w:rsid w:val="00B36E2B"/>
    <w:rsid w:val="00B46AD0"/>
    <w:rsid w:val="00B47FD1"/>
    <w:rsid w:val="00B516BB"/>
    <w:rsid w:val="00B601A4"/>
    <w:rsid w:val="00B73E64"/>
    <w:rsid w:val="00B84DB2"/>
    <w:rsid w:val="00B9527D"/>
    <w:rsid w:val="00B96438"/>
    <w:rsid w:val="00BC3555"/>
    <w:rsid w:val="00BC4883"/>
    <w:rsid w:val="00C12B51"/>
    <w:rsid w:val="00C13904"/>
    <w:rsid w:val="00C22718"/>
    <w:rsid w:val="00C24650"/>
    <w:rsid w:val="00C25465"/>
    <w:rsid w:val="00C33079"/>
    <w:rsid w:val="00C83A13"/>
    <w:rsid w:val="00C8560D"/>
    <w:rsid w:val="00C9068C"/>
    <w:rsid w:val="00C92967"/>
    <w:rsid w:val="00CA01D6"/>
    <w:rsid w:val="00CA3D0C"/>
    <w:rsid w:val="00CA654B"/>
    <w:rsid w:val="00CB72B8"/>
    <w:rsid w:val="00CC59A5"/>
    <w:rsid w:val="00CD4C7B"/>
    <w:rsid w:val="00CD58FE"/>
    <w:rsid w:val="00CD7036"/>
    <w:rsid w:val="00D30C53"/>
    <w:rsid w:val="00D33BE3"/>
    <w:rsid w:val="00D3792D"/>
    <w:rsid w:val="00D41ED3"/>
    <w:rsid w:val="00D55E47"/>
    <w:rsid w:val="00D62E19"/>
    <w:rsid w:val="00D647C4"/>
    <w:rsid w:val="00D67CD1"/>
    <w:rsid w:val="00D738D6"/>
    <w:rsid w:val="00D77756"/>
    <w:rsid w:val="00D80795"/>
    <w:rsid w:val="00D854BE"/>
    <w:rsid w:val="00D87E00"/>
    <w:rsid w:val="00D9134D"/>
    <w:rsid w:val="00D96D11"/>
    <w:rsid w:val="00DA38AA"/>
    <w:rsid w:val="00DA5B3B"/>
    <w:rsid w:val="00DA7A03"/>
    <w:rsid w:val="00DB0DB8"/>
    <w:rsid w:val="00DB1818"/>
    <w:rsid w:val="00DC309B"/>
    <w:rsid w:val="00DC4DA2"/>
    <w:rsid w:val="00DC5261"/>
    <w:rsid w:val="00DD4442"/>
    <w:rsid w:val="00DE25D2"/>
    <w:rsid w:val="00DF1825"/>
    <w:rsid w:val="00E3664C"/>
    <w:rsid w:val="00E46C08"/>
    <w:rsid w:val="00E471CF"/>
    <w:rsid w:val="00E560B4"/>
    <w:rsid w:val="00E62835"/>
    <w:rsid w:val="00E64305"/>
    <w:rsid w:val="00E65BC9"/>
    <w:rsid w:val="00E72474"/>
    <w:rsid w:val="00E77645"/>
    <w:rsid w:val="00E80738"/>
    <w:rsid w:val="00E83697"/>
    <w:rsid w:val="00E86F30"/>
    <w:rsid w:val="00EA66C9"/>
    <w:rsid w:val="00EB0E02"/>
    <w:rsid w:val="00EB7137"/>
    <w:rsid w:val="00EC4A25"/>
    <w:rsid w:val="00ED6070"/>
    <w:rsid w:val="00F025A2"/>
    <w:rsid w:val="00F036E9"/>
    <w:rsid w:val="00F07388"/>
    <w:rsid w:val="00F2026E"/>
    <w:rsid w:val="00F2210A"/>
    <w:rsid w:val="00F233B8"/>
    <w:rsid w:val="00F310F0"/>
    <w:rsid w:val="00F37743"/>
    <w:rsid w:val="00F54A3D"/>
    <w:rsid w:val="00F54CB0"/>
    <w:rsid w:val="00F579CD"/>
    <w:rsid w:val="00F653B8"/>
    <w:rsid w:val="00F71B89"/>
    <w:rsid w:val="00F7353C"/>
    <w:rsid w:val="00F75CE5"/>
    <w:rsid w:val="00F76F8F"/>
    <w:rsid w:val="00F941DF"/>
    <w:rsid w:val="00FA1266"/>
    <w:rsid w:val="00FB36FA"/>
    <w:rsid w:val="00FB456C"/>
    <w:rsid w:val="00FC1192"/>
    <w:rsid w:val="00FD0F82"/>
    <w:rsid w:val="00FD5E78"/>
    <w:rsid w:val="00FE251B"/>
    <w:rsid w:val="78C44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F3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rFonts w:eastAsia="Batang"/>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semiHidden/>
    <w:unhideWhenUsed/>
    <w:rPr>
      <w:b/>
      <w:bCs/>
    </w:rPr>
  </w:style>
  <w:style w:type="paragraph" w:styleId="CommentText">
    <w:name w:val="annotation text"/>
    <w:basedOn w:val="Normal"/>
    <w:link w:val="CommentTextCha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Batang"/>
      <w:sz w:val="22"/>
      <w:lang w:val="en-GB"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Batang" w:hAnsi="Arial"/>
      <w:b/>
      <w:sz w:val="18"/>
      <w:lang w:val="en-GB" w:eastAsia="ja-JP"/>
    </w:rPr>
  </w:style>
  <w:style w:type="paragraph" w:styleId="TOC9">
    <w:name w:val="toc 9"/>
    <w:basedOn w:val="TOC8"/>
    <w:next w:val="Normal"/>
    <w:semiHidden/>
    <w:pPr>
      <w:ind w:left="1418" w:hanging="1418"/>
    </w:p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Batang"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Batang"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Batang"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Batang"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semiHidden/>
    <w:rPr>
      <w:b/>
      <w:bCs/>
      <w:lang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Observation">
    <w:name w:val="Observation"/>
    <w:basedOn w:val="Normal"/>
    <w:qFormat/>
    <w:pPr>
      <w:numPr>
        <w:numId w:val="1"/>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rFonts w:eastAsia="Batang"/>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semiHidden/>
    <w:unhideWhenUsed/>
    <w:rPr>
      <w:b/>
      <w:bCs/>
    </w:rPr>
  </w:style>
  <w:style w:type="paragraph" w:styleId="CommentText">
    <w:name w:val="annotation text"/>
    <w:basedOn w:val="Normal"/>
    <w:link w:val="CommentTextCha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Batang"/>
      <w:sz w:val="22"/>
      <w:lang w:val="en-GB"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Batang" w:hAnsi="Arial"/>
      <w:b/>
      <w:sz w:val="18"/>
      <w:lang w:val="en-GB" w:eastAsia="ja-JP"/>
    </w:rPr>
  </w:style>
  <w:style w:type="paragraph" w:styleId="TOC9">
    <w:name w:val="toc 9"/>
    <w:basedOn w:val="TOC8"/>
    <w:next w:val="Normal"/>
    <w:semiHidden/>
    <w:pPr>
      <w:ind w:left="1418" w:hanging="1418"/>
    </w:p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Batang"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Batang"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Batang"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Batang"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semiHidden/>
    <w:rPr>
      <w:b/>
      <w:bCs/>
      <w:lang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Observation">
    <w:name w:val="Observation"/>
    <w:basedOn w:val="Normal"/>
    <w:qFormat/>
    <w:pPr>
      <w:numPr>
        <w:numId w:val="1"/>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Template>
  <TotalTime>7</TotalTime>
  <Pages>3</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CATT</cp:lastModifiedBy>
  <cp:revision>3</cp:revision>
  <dcterms:created xsi:type="dcterms:W3CDTF">2020-02-28T16:04:00Z</dcterms:created>
  <dcterms:modified xsi:type="dcterms:W3CDTF">2020-02-28T16:11:00Z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NSCPROP_SA">
    <vt:lpwstr>C:\Shared data\3GPP\TDocs\R2\R2-109e Online\Inbox\Drafts\[Offline-217]\draft R2-20xxxxx Discussion on terminology for stage 3 capturing.docx</vt:lpwstr>
  </property>
  <property fmtid="{D5CDD505-2E9C-101B-9397-08002B2CF9AE}" pid="5" name="KSOProductBuildVer">
    <vt:lpwstr>2052-10.8.2.7027</vt:lpwstr>
  </property>
</Properties>
</file>