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BodyText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Heading2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lastRenderedPageBreak/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5pt" o:ole="">
                  <v:imagedata r:id="rId11" o:title=""/>
                </v:shape>
                <o:OLEObject Type="Embed" ProgID="Visio.Drawing.15" ShapeID="_x0000_i1025" DrawAspect="Content" ObjectID="_1644171665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AD368E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729DA4AA" w14:textId="4279D12C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24C2EF8B" w14:textId="304FD1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62C4B0D0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04419C23" w14:textId="65A3C2EC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40FAE26" w14:textId="60BABADD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4D23A2D6" w14:textId="4F157DC0" w:rsidR="00AB716D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ListParagraph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3E86D8AA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5632C2E7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30C16625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06785EC1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Heading2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77777777" w:rsidR="00F332BB" w:rsidRPr="000855B1" w:rsidRDefault="00F332BB" w:rsidP="00E75FAC">
            <w:pPr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lastRenderedPageBreak/>
              <w:t xml:space="preserve">                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lastRenderedPageBreak/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pt" o:ole="">
                  <v:imagedata r:id="rId13" o:title=""/>
                </v:shape>
                <o:OLEObject Type="Embed" ProgID="Visio.Drawing.15" ShapeID="_x0000_i1026" DrawAspect="Content" ObjectID="_1644171666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0BBD7C77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F5C8737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2B5E660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753EED4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27B56216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eMIMIO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5ACE93C7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42081AED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234EC05B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1F3619D5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77777777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Rapporteur Note: We don't have agreement on whether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2057DF5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 w:rsidR="006B2ED3">
        <w:rPr>
          <w:b/>
          <w:bCs/>
          <w:spacing w:val="2"/>
          <w:lang w:val="en-US" w:eastAsia="ko-KR"/>
        </w:rPr>
        <w:t>to send a LS</w:t>
      </w:r>
      <w:r>
        <w:rPr>
          <w:b/>
          <w:bCs/>
          <w:spacing w:val="2"/>
          <w:lang w:val="en-US" w:eastAsia="ko-KR"/>
        </w:rPr>
        <w:t xml:space="preserve"> </w:t>
      </w:r>
      <w:r w:rsidR="006B2ED3">
        <w:rPr>
          <w:b/>
          <w:bCs/>
          <w:spacing w:val="2"/>
          <w:lang w:val="en-US" w:eastAsia="ko-KR"/>
        </w:rPr>
        <w:t xml:space="preserve">to </w:t>
      </w:r>
      <w:r>
        <w:rPr>
          <w:b/>
          <w:bCs/>
          <w:spacing w:val="2"/>
          <w:lang w:val="en-US" w:eastAsia="ko-KR"/>
        </w:rPr>
        <w:t xml:space="preserve">RAN1 </w:t>
      </w:r>
      <w:r w:rsidR="006B2ED3">
        <w:rPr>
          <w:b/>
          <w:bCs/>
          <w:spacing w:val="2"/>
          <w:lang w:val="en-US" w:eastAsia="ko-KR"/>
        </w:rPr>
        <w:t xml:space="preserve">to ask for clarification on the </w:t>
      </w:r>
      <w:r w:rsidRPr="004175C7">
        <w:rPr>
          <w:b/>
          <w:bCs/>
          <w:spacing w:val="2"/>
          <w:lang w:val="en-US" w:eastAsia="ko-KR"/>
        </w:rPr>
        <w:t>maximum number of PUCCH resource per BWP when two HARQ-ACK codebooks are configured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771AFCA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0F71D42B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5DA72A91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1DEC3E7E" w14:textId="21DCFB54" w:rsidR="00EE2B94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ab/>
      </w: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  <w:bookmarkStart w:id="2" w:name="_GoBack"/>
      <w:bookmarkEnd w:id="2"/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476CD713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583BFBB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D581A64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7F966D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BodyText"/>
      </w:pPr>
    </w:p>
    <w:p w14:paraId="7B485C79" w14:textId="77777777" w:rsidR="00F507D1" w:rsidRPr="00CE0424" w:rsidRDefault="00EC4447" w:rsidP="00CE0424">
      <w:pPr>
        <w:pStyle w:val="Heading1"/>
      </w:pPr>
      <w:bookmarkStart w:id="3" w:name="_In-sequence_SDU_delivery"/>
      <w:bookmarkEnd w:id="3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4" w:name="_Ref33513147"/>
      <w:r>
        <w:t>R2-2000799</w:t>
      </w:r>
      <w:r w:rsidR="00E735ED">
        <w:t>,</w:t>
      </w:r>
      <w:bookmarkEnd w:id="4"/>
      <w:r w:rsidR="00E735ED">
        <w:t xml:space="preserve"> </w:t>
      </w:r>
      <w:r>
        <w:rPr>
          <w:vanish/>
        </w:rPr>
        <w:t xml:space="preserve">on MAC CE design for </w:t>
      </w:r>
      <w:proofErr w:type="spellStart"/>
      <w:r>
        <w:rPr>
          <w:vanish/>
        </w:rPr>
        <w:t>eURLLC</w:t>
      </w:r>
      <w:proofErr w:type="spellEnd"/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5" w:name="_Ref28854711"/>
      <w:bookmarkStart w:id="6" w:name="_Ref32326642"/>
      <w:r>
        <w:rPr>
          <w:rFonts w:cs="Arial"/>
        </w:rPr>
        <w:t xml:space="preserve">R1-1913674, </w:t>
      </w:r>
      <w:bookmarkEnd w:id="5"/>
      <w:r w:rsidRPr="00335F57">
        <w:rPr>
          <w:rFonts w:cs="Arial"/>
        </w:rPr>
        <w:t>Updated consolidated parameter list for Rel-16 NR</w:t>
      </w:r>
      <w:bookmarkEnd w:id="6"/>
    </w:p>
    <w:p w14:paraId="6C6C63E2" w14:textId="162267F7" w:rsidR="007D7D2C" w:rsidRDefault="007D7D2C" w:rsidP="004A718D">
      <w:pPr>
        <w:pStyle w:val="Reference"/>
      </w:pPr>
      <w:bookmarkStart w:id="7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7"/>
    </w:p>
    <w:p w14:paraId="7703EDFE" w14:textId="5D3B9CA8" w:rsidR="00ED23BF" w:rsidRPr="00502D63" w:rsidRDefault="00532202" w:rsidP="006F0D50">
      <w:pPr>
        <w:pStyle w:val="Reference"/>
      </w:pPr>
      <w:bookmarkStart w:id="8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8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D126" w14:textId="77777777" w:rsidR="007D461D" w:rsidRDefault="007D461D" w:rsidP="00B2168E">
      <w:r>
        <w:separator/>
      </w:r>
    </w:p>
  </w:endnote>
  <w:endnote w:type="continuationSeparator" w:id="0">
    <w:p w14:paraId="683D5C84" w14:textId="77777777" w:rsidR="007D461D" w:rsidRDefault="007D461D" w:rsidP="00B2168E">
      <w:r>
        <w:continuationSeparator/>
      </w:r>
    </w:p>
  </w:endnote>
  <w:endnote w:type="continuationNotice" w:id="1">
    <w:p w14:paraId="187AA59C" w14:textId="77777777" w:rsidR="007D461D" w:rsidRDefault="007D46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7D461D" w:rsidRDefault="007D461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2570" w14:textId="77777777" w:rsidR="007D461D" w:rsidRDefault="007D461D" w:rsidP="00B2168E">
      <w:r>
        <w:separator/>
      </w:r>
    </w:p>
  </w:footnote>
  <w:footnote w:type="continuationSeparator" w:id="0">
    <w:p w14:paraId="154330C2" w14:textId="77777777" w:rsidR="007D461D" w:rsidRDefault="007D461D" w:rsidP="00B2168E">
      <w:r>
        <w:continuationSeparator/>
      </w:r>
    </w:p>
  </w:footnote>
  <w:footnote w:type="continuationNotice" w:id="1">
    <w:p w14:paraId="4CC63588" w14:textId="77777777" w:rsidR="007D461D" w:rsidRDefault="007D46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14EC"/>
    <w:rsid w:val="00001C7B"/>
    <w:rsid w:val="00002116"/>
    <w:rsid w:val="0000263F"/>
    <w:rsid w:val="00002A37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2FF"/>
    <w:rsid w:val="001427E2"/>
    <w:rsid w:val="00143502"/>
    <w:rsid w:val="00143A07"/>
    <w:rsid w:val="00143DEA"/>
    <w:rsid w:val="001451F1"/>
    <w:rsid w:val="00145AE4"/>
    <w:rsid w:val="00145FA7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4DA8"/>
    <w:rsid w:val="00215423"/>
    <w:rsid w:val="002158FA"/>
    <w:rsid w:val="0021597F"/>
    <w:rsid w:val="00217247"/>
    <w:rsid w:val="0021785C"/>
    <w:rsid w:val="00220600"/>
    <w:rsid w:val="0022105B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C6F"/>
    <w:rsid w:val="002A7C1C"/>
    <w:rsid w:val="002B0B1F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CAE"/>
    <w:rsid w:val="002F1F81"/>
    <w:rsid w:val="002F2771"/>
    <w:rsid w:val="002F2959"/>
    <w:rsid w:val="002F3733"/>
    <w:rsid w:val="002F37A9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FA"/>
    <w:rsid w:val="00427248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60C1"/>
    <w:rsid w:val="004964F1"/>
    <w:rsid w:val="004A0098"/>
    <w:rsid w:val="004A1296"/>
    <w:rsid w:val="004A16BC"/>
    <w:rsid w:val="004A2B94"/>
    <w:rsid w:val="004A4CE8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639E"/>
    <w:rsid w:val="005664DB"/>
    <w:rsid w:val="005667B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83C"/>
    <w:rsid w:val="00604F14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7052"/>
    <w:rsid w:val="006A2EEA"/>
    <w:rsid w:val="006A46FB"/>
    <w:rsid w:val="006A472E"/>
    <w:rsid w:val="006A4A82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7D3B"/>
    <w:rsid w:val="006F0BAE"/>
    <w:rsid w:val="006F0D50"/>
    <w:rsid w:val="006F1B70"/>
    <w:rsid w:val="006F2396"/>
    <w:rsid w:val="006F28D9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B008E"/>
    <w:rsid w:val="007B05EA"/>
    <w:rsid w:val="007B3D2D"/>
    <w:rsid w:val="007B50AE"/>
    <w:rsid w:val="007B51DF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EDF"/>
    <w:rsid w:val="00935007"/>
    <w:rsid w:val="009363C4"/>
    <w:rsid w:val="009366C6"/>
    <w:rsid w:val="00936875"/>
    <w:rsid w:val="009368F3"/>
    <w:rsid w:val="00937645"/>
    <w:rsid w:val="00937830"/>
    <w:rsid w:val="0093791B"/>
    <w:rsid w:val="00937971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48A8"/>
    <w:rsid w:val="00A04F49"/>
    <w:rsid w:val="00A10042"/>
    <w:rsid w:val="00A104FF"/>
    <w:rsid w:val="00A13E54"/>
    <w:rsid w:val="00A15986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B75"/>
    <w:rsid w:val="00B02FA3"/>
    <w:rsid w:val="00B03578"/>
    <w:rsid w:val="00B04A7D"/>
    <w:rsid w:val="00B05084"/>
    <w:rsid w:val="00B05DE1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929"/>
    <w:rsid w:val="00B31D5E"/>
    <w:rsid w:val="00B321B5"/>
    <w:rsid w:val="00B354FA"/>
    <w:rsid w:val="00B35FAD"/>
    <w:rsid w:val="00B372AA"/>
    <w:rsid w:val="00B400D2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3316"/>
    <w:rsid w:val="00B733A5"/>
    <w:rsid w:val="00B739F6"/>
    <w:rsid w:val="00B74392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2075"/>
    <w:rsid w:val="00C325AE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9AA"/>
    <w:rsid w:val="00C64672"/>
    <w:rsid w:val="00C65C30"/>
    <w:rsid w:val="00C66AD7"/>
    <w:rsid w:val="00C67B50"/>
    <w:rsid w:val="00C70697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764A"/>
    <w:rsid w:val="00CA7C93"/>
    <w:rsid w:val="00CB05B9"/>
    <w:rsid w:val="00CB15F5"/>
    <w:rsid w:val="00CB1F63"/>
    <w:rsid w:val="00CB33AE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150"/>
    <w:rsid w:val="00D017BE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998"/>
    <w:rsid w:val="00D45750"/>
    <w:rsid w:val="00D45D87"/>
    <w:rsid w:val="00D472B7"/>
    <w:rsid w:val="00D477E4"/>
    <w:rsid w:val="00D51B9C"/>
    <w:rsid w:val="00D52BAB"/>
    <w:rsid w:val="00D546FF"/>
    <w:rsid w:val="00D55AD5"/>
    <w:rsid w:val="00D576CA"/>
    <w:rsid w:val="00D614B7"/>
    <w:rsid w:val="00D61946"/>
    <w:rsid w:val="00D61AF5"/>
    <w:rsid w:val="00D6264A"/>
    <w:rsid w:val="00D633AB"/>
    <w:rsid w:val="00D6359B"/>
    <w:rsid w:val="00D652B5"/>
    <w:rsid w:val="00D66155"/>
    <w:rsid w:val="00D67259"/>
    <w:rsid w:val="00D708B0"/>
    <w:rsid w:val="00D71101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654F"/>
    <w:rsid w:val="00DF0B6E"/>
    <w:rsid w:val="00DF15E0"/>
    <w:rsid w:val="00DF1EE4"/>
    <w:rsid w:val="00DF1FAD"/>
    <w:rsid w:val="00DF2620"/>
    <w:rsid w:val="00DF29C8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F18FE"/>
    <w:rsid w:val="00EF1DFC"/>
    <w:rsid w:val="00EF21EB"/>
    <w:rsid w:val="00EF23FD"/>
    <w:rsid w:val="00EF30F1"/>
    <w:rsid w:val="00EF520E"/>
    <w:rsid w:val="00EF56FA"/>
    <w:rsid w:val="00EF5787"/>
    <w:rsid w:val="00EF60D0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1536"/>
    <w:rsid w:val="00FB21A3"/>
    <w:rsid w:val="00FB49D0"/>
    <w:rsid w:val="00FB4C80"/>
    <w:rsid w:val="00FB6A6A"/>
    <w:rsid w:val="00FB6D76"/>
    <w:rsid w:val="00FC07C6"/>
    <w:rsid w:val="00FC223C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E18379"/>
  <w15:chartTrackingRefBased/>
  <w15:docId w15:val="{6A3F47A0-03A8-4FD3-976C-D69BBBB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6590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26590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920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2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documentManagement/types"/>
    <ds:schemaRef ds:uri="9b239327-9e80-40e4-b1b7-4394fed77a33"/>
    <ds:schemaRef ds:uri="2f282d3b-eb4a-4b09-b61f-b9593442e286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9E63AE-2770-40F7-8C57-2EC668D2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1910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12163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32</cp:revision>
  <cp:lastPrinted>2008-01-31T07:09:00Z</cp:lastPrinted>
  <dcterms:created xsi:type="dcterms:W3CDTF">2020-02-25T20:06:00Z</dcterms:created>
  <dcterms:modified xsi:type="dcterms:W3CDTF">2020-02-25T20:31:00Z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