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Header"/>
        <w:tabs>
          <w:tab w:val="clear" w:pos="4536"/>
          <w:tab w:val="left" w:pos="1910"/>
        </w:tabs>
        <w:ind w:left="1800" w:hanging="1800"/>
        <w:jc w:val="both"/>
        <w:rPr>
          <w:rFonts w:eastAsiaTheme="minorEastAsia"/>
          <w:sz w:val="22"/>
          <w:szCs w:val="22"/>
          <w:lang w:val="en-GB" w:eastAsia="zh-CN"/>
        </w:rPr>
      </w:pPr>
    </w:p>
    <w:p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w:t>
      </w:r>
      <w:proofErr w:type="gramStart"/>
      <w:r>
        <w:rPr>
          <w:rFonts w:cs="Arial"/>
          <w:sz w:val="22"/>
          <w:szCs w:val="22"/>
        </w:rPr>
        <w:t>035][</w:t>
      </w:r>
      <w:proofErr w:type="gramEnd"/>
      <w:r>
        <w:rPr>
          <w:rFonts w:cs="Arial"/>
          <w:sz w:val="22"/>
          <w:szCs w:val="22"/>
        </w:rPr>
        <w:t>IIOT] Deprioritized transmissions</w:t>
      </w:r>
    </w:p>
    <w:p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Heading1"/>
        <w:jc w:val="both"/>
        <w:rPr>
          <w:szCs w:val="28"/>
        </w:rPr>
      </w:pPr>
      <w:bookmarkStart w:id="3" w:name="_Ref528762725"/>
      <w:r>
        <w:rPr>
          <w:szCs w:val="28"/>
        </w:rPr>
        <w:t>Introduction</w:t>
      </w:r>
      <w:bookmarkEnd w:id="3"/>
    </w:p>
    <w:p w:rsidR="00AD00A7" w:rsidRDefault="009E5AE7">
      <w:pPr>
        <w:pStyle w:val="BodyText"/>
      </w:pPr>
      <w:bookmarkStart w:id="4" w:name="OLE_LINK1"/>
      <w:bookmarkStart w:id="5" w:name="OLE_LINK2"/>
      <w:r>
        <w:rPr>
          <w:rFonts w:eastAsia="SimSun"/>
          <w:lang w:eastAsia="zh-CN"/>
        </w:rPr>
        <w:t>This contribution provides the report of the email discussion [</w:t>
      </w:r>
      <w:proofErr w:type="gramStart"/>
      <w:r>
        <w:rPr>
          <w:rFonts w:eastAsia="SimSun"/>
          <w:lang w:eastAsia="zh-CN"/>
        </w:rPr>
        <w:t>035][</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BodyText"/>
        <w:numPr>
          <w:ilvl w:val="0"/>
          <w:numId w:val="8"/>
        </w:numPr>
        <w:rPr>
          <w:rFonts w:eastAsia="SimSun"/>
          <w:lang w:eastAsia="zh-CN"/>
        </w:rPr>
      </w:pPr>
      <w:r>
        <w:rPr>
          <w:rFonts w:eastAsia="SimSun"/>
          <w:lang w:eastAsia="zh-CN"/>
        </w:rPr>
        <w:t>Expecting easy agreement</w:t>
      </w:r>
    </w:p>
    <w:p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Heading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Caption"/>
        <w:numPr>
          <w:ilvl w:val="0"/>
          <w:numId w:val="9"/>
        </w:numPr>
        <w:rPr>
          <w:bCs/>
          <w:lang w:val="en-US"/>
        </w:rPr>
      </w:pPr>
      <w:r>
        <w:rPr>
          <w:bCs/>
          <w:lang w:val="en-US"/>
        </w:rPr>
        <w:t>Support UE autonomous retransmission on different CG configuration: 3</w:t>
      </w:r>
    </w:p>
    <w:p w:rsidR="00AD00A7" w:rsidRDefault="009E5AE7">
      <w:pPr>
        <w:pStyle w:val="ListParagraph"/>
        <w:numPr>
          <w:ilvl w:val="0"/>
          <w:numId w:val="9"/>
        </w:numPr>
      </w:pPr>
      <w:r>
        <w:t>Not support: 10</w:t>
      </w:r>
    </w:p>
    <w:p w:rsidR="00AD00A7" w:rsidRDefault="009E5AE7">
      <w:pPr>
        <w:pStyle w:val="Caption"/>
        <w:rPr>
          <w:bCs/>
        </w:rPr>
      </w:pPr>
      <w:r>
        <w:rPr>
          <w:bCs/>
        </w:rPr>
        <w:t>This issue seems not much controversial and a possible agreement could be attempted:</w:t>
      </w:r>
    </w:p>
    <w:p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145286">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hint="eastAsia"/>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hint="eastAsia"/>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hint="eastAsia"/>
                <w:lang w:eastAsia="ko-KR"/>
              </w:rPr>
            </w:pPr>
          </w:p>
        </w:tc>
        <w:tc>
          <w:tcPr>
            <w:tcW w:w="810" w:type="dxa"/>
            <w:vAlign w:val="center"/>
          </w:tcPr>
          <w:p w:rsidR="00E3475F" w:rsidRDefault="00E3475F" w:rsidP="00BF3511">
            <w:pPr>
              <w:spacing w:before="60" w:after="60"/>
              <w:rPr>
                <w:rFonts w:eastAsia="Malgun Gothic" w:cs="Arial" w:hint="eastAsia"/>
                <w:lang w:eastAsia="ko-KR"/>
              </w:rPr>
            </w:pPr>
          </w:p>
        </w:tc>
        <w:tc>
          <w:tcPr>
            <w:tcW w:w="6263" w:type="dxa"/>
            <w:vAlign w:val="center"/>
          </w:tcPr>
          <w:p w:rsidR="00E3475F" w:rsidRDefault="00E3475F" w:rsidP="00BF3511">
            <w:pPr>
              <w:rPr>
                <w:rFonts w:cs="Arial"/>
              </w:rPr>
            </w:pPr>
          </w:p>
        </w:tc>
      </w:tr>
    </w:tbl>
    <w:p w:rsidR="00AD00A7" w:rsidRDefault="00AD00A7">
      <w:pPr>
        <w:rPr>
          <w:lang w:val="en-GB"/>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Caption"/>
        <w:numPr>
          <w:ilvl w:val="0"/>
          <w:numId w:val="9"/>
        </w:numPr>
        <w:rPr>
          <w:bCs/>
          <w:lang w:val="en-US"/>
        </w:rPr>
      </w:pPr>
      <w:r>
        <w:rPr>
          <w:bCs/>
          <w:lang w:val="en-US"/>
        </w:rPr>
        <w:t>Support: 1</w:t>
      </w:r>
    </w:p>
    <w:p w:rsidR="00AD00A7" w:rsidRDefault="009E5AE7">
      <w:pPr>
        <w:pStyle w:val="ListParagraph"/>
        <w:numPr>
          <w:ilvl w:val="0"/>
          <w:numId w:val="9"/>
        </w:numPr>
      </w:pPr>
      <w:r>
        <w:t>Not support: 5</w:t>
      </w:r>
    </w:p>
    <w:p w:rsidR="00AD00A7" w:rsidRDefault="009E5AE7">
      <w:pPr>
        <w:pStyle w:val="Caption"/>
        <w:rPr>
          <w:bCs/>
        </w:rPr>
      </w:pPr>
      <w:r>
        <w:rPr>
          <w:bCs/>
        </w:rPr>
        <w:t>This issue seems not much controversial and an agreement should be attempted:</w:t>
      </w:r>
    </w:p>
    <w:p w:rsidR="00AD00A7" w:rsidRDefault="009E5AE7">
      <w:pPr>
        <w:pStyle w:val="Caption"/>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145286">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hint="eastAsia"/>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hint="eastAsia"/>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hint="eastAsia"/>
                <w:lang w:eastAsia="ko-KR"/>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hint="eastAsia"/>
                <w:lang w:eastAsia="ko-KR"/>
              </w:rPr>
            </w:pPr>
          </w:p>
        </w:tc>
        <w:tc>
          <w:tcPr>
            <w:tcW w:w="810" w:type="dxa"/>
            <w:vAlign w:val="center"/>
          </w:tcPr>
          <w:p w:rsidR="00E3475F" w:rsidRDefault="00E3475F" w:rsidP="00BF3511">
            <w:pPr>
              <w:spacing w:before="60" w:after="60"/>
              <w:rPr>
                <w:rFonts w:eastAsia="Malgun Gothic" w:cs="Arial" w:hint="eastAsia"/>
                <w:lang w:eastAsia="ko-KR"/>
              </w:rPr>
            </w:pPr>
          </w:p>
        </w:tc>
        <w:tc>
          <w:tcPr>
            <w:tcW w:w="6263" w:type="dxa"/>
            <w:vAlign w:val="center"/>
          </w:tcPr>
          <w:p w:rsidR="00E3475F" w:rsidRDefault="00E3475F" w:rsidP="00BF3511">
            <w:pPr>
              <w:spacing w:before="60" w:after="60"/>
              <w:rPr>
                <w:rFonts w:eastAsia="Malgun Gothic" w:cs="Arial" w:hint="eastAsia"/>
                <w:lang w:eastAsia="ko-KR"/>
              </w:rPr>
            </w:pPr>
          </w:p>
        </w:tc>
      </w:tr>
    </w:tbl>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lastRenderedPageBreak/>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MediaTek</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automatically,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145286">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145286">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145286">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bookmarkStart w:id="8"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after="120"/>
        <w:rPr>
          <w:i/>
          <w:lang w:val="en-GB"/>
        </w:rPr>
      </w:pPr>
    </w:p>
    <w:p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to stick with the same mechanism for </w:t>
            </w:r>
            <w:proofErr w:type="spellStart"/>
            <w:r>
              <w:rPr>
                <w:rFonts w:cs="Arial"/>
              </w:rPr>
              <w:t>IIoT</w:t>
            </w:r>
            <w:proofErr w:type="spellEnd"/>
            <w:r>
              <w:rPr>
                <w:rFonts w:cs="Arial"/>
              </w:rPr>
              <w: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Either a timer or a counter seems the simplest approach. No strong view though between timer or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requirements,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pStyle w:val="Caption"/>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MediaTek</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proofErr w:type="spellStart"/>
            <w:r w:rsidRPr="00954354">
              <w:rPr>
                <w:rFonts w:eastAsia="Malgun Gothic" w:cs="Arial"/>
                <w:lang w:eastAsia="ko-KR"/>
              </w:rPr>
              <w:t>signalling</w:t>
            </w:r>
            <w:proofErr w:type="spellEnd"/>
            <w:r w:rsidRPr="00954354">
              <w:rPr>
                <w:rFonts w:eastAsia="Malgun Gothic" w:cs="Arial"/>
                <w:lang w:eastAsia="ko-KR"/>
              </w:rPr>
              <w:t xml:space="preserve">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lastRenderedPageBreak/>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ListParagraph"/>
        <w:numPr>
          <w:ilvl w:val="0"/>
          <w:numId w:val="10"/>
        </w:numPr>
      </w:pPr>
      <w:r>
        <w:t>2 companies suggest specifying explicit timers/time restrictions by which either the CG or DG can be used.</w:t>
      </w:r>
    </w:p>
    <w:p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ListParagraph"/>
        <w:numPr>
          <w:ilvl w:val="0"/>
          <w:numId w:val="11"/>
        </w:numPr>
        <w:spacing w:before="40"/>
        <w:rPr>
          <w:bCs/>
        </w:rPr>
      </w:pPr>
      <w:r>
        <w:rPr>
          <w:bCs/>
        </w:rPr>
        <w:t>Option 1: No need to capture anything</w:t>
      </w:r>
    </w:p>
    <w:p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ListParagraph"/>
        <w:numPr>
          <w:ilvl w:val="0"/>
          <w:numId w:val="11"/>
        </w:numPr>
        <w:spacing w:before="40"/>
        <w:rPr>
          <w:bCs/>
        </w:rPr>
      </w:pPr>
      <w:r>
        <w:t>Option 3: Capture explicit timer(s)</w:t>
      </w:r>
    </w:p>
    <w:p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ListParagraph"/>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 xml:space="preserve">We don’t need to specify anything, a proper UE-implementation should know how much time it needs (following RAN1 </w:t>
            </w:r>
            <w:proofErr w:type="gramStart"/>
            <w:r>
              <w:rPr>
                <w:rFonts w:cs="Arial"/>
              </w:rPr>
              <w:t>spec. )</w:t>
            </w:r>
            <w:proofErr w:type="gramEnd"/>
            <w:r>
              <w:rPr>
                <w:rFonts w:cs="Arial"/>
              </w:rPr>
              <w:t xml:space="preserve">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lastRenderedPageBreak/>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before="40"/>
      </w:pPr>
    </w:p>
    <w:p w:rsidR="00AD00A7" w:rsidRDefault="00AD00A7"/>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w:t>
      </w:r>
      <w:proofErr w:type="spellStart"/>
      <w:r>
        <w:rPr>
          <w:rFonts w:ascii="Times New Roman" w:eastAsiaTheme="minorEastAsia" w:hAnsi="Times New Roman" w:cs="Times New Roman"/>
          <w:i/>
          <w:sz w:val="20"/>
          <w:szCs w:val="20"/>
          <w:lang w:eastAsia="zh-CN"/>
        </w:rPr>
        <w:t>the</w:t>
      </w:r>
      <w:proofErr w:type="spellEnd"/>
      <w:r>
        <w:rPr>
          <w:rFonts w:ascii="Times New Roman" w:eastAsiaTheme="minorEastAsia" w:hAnsi="Times New Roman" w:cs="Times New Roman"/>
          <w:i/>
          <w:sz w:val="20"/>
          <w:szCs w:val="20"/>
          <w:lang w:eastAsia="zh-CN"/>
        </w:rPr>
        <w:t xml:space="preserve"> gNB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rsidR="00AD00A7" w:rsidRDefault="009E5AE7">
            <w:pPr>
              <w:pStyle w:val="ListParagraph"/>
              <w:numPr>
                <w:ilvl w:val="0"/>
                <w:numId w:val="10"/>
              </w:numPr>
              <w:spacing w:before="60" w:after="60"/>
              <w:rPr>
                <w:rFonts w:cs="Arial"/>
              </w:rPr>
            </w:pPr>
            <w:proofErr w:type="spellStart"/>
            <w:r>
              <w:rPr>
                <w:rFonts w:cs="Arial"/>
              </w:rPr>
              <w:t>gNB</w:t>
            </w:r>
            <w:proofErr w:type="spellEnd"/>
            <w:r>
              <w:rPr>
                <w:rFonts w:cs="Arial"/>
              </w:rPr>
              <w:t xml:space="preserve">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ListParagraph"/>
              <w:numPr>
                <w:ilvl w:val="0"/>
                <w:numId w:val="10"/>
              </w:numPr>
              <w:spacing w:before="60" w:after="60"/>
              <w:rPr>
                <w:rFonts w:cs="Arial"/>
              </w:rPr>
            </w:pPr>
            <w:proofErr w:type="spellStart"/>
            <w:r>
              <w:rPr>
                <w:rFonts w:cs="Arial"/>
              </w:rPr>
              <w:lastRenderedPageBreak/>
              <w:t>deprioritization</w:t>
            </w:r>
            <w:proofErr w:type="spellEnd"/>
            <w:r>
              <w:rPr>
                <w:rFonts w:cs="Arial"/>
              </w:rPr>
              <w:t xml:space="preserve"> empties HARQ buffer if PDU is not generated.</w:t>
            </w:r>
          </w:p>
          <w:p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r>
              <w:rPr>
                <w:rFonts w:eastAsia="Malgun Gothic" w:cs="Arial"/>
                <w:lang w:eastAsia="ko-KR"/>
              </w:rPr>
              <w:t>gNB</w:t>
            </w:r>
            <w:proofErr w:type="spellEnd"/>
            <w:r>
              <w:rPr>
                <w:rFonts w:eastAsia="Malgun Gothic" w:cs="Arial"/>
                <w:lang w:eastAsia="ko-KR"/>
              </w:rPr>
              <w:t xml:space="preserve">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pStyle w:val="Caption"/>
        <w:rPr>
          <w:b/>
          <w:bCs/>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ko-KR"/>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Such scenarios can be avoided by the scheduler which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before="40"/>
        <w:rPr>
          <w:szCs w:val="20"/>
        </w:rPr>
      </w:pPr>
    </w:p>
    <w:p w:rsidR="00AD00A7" w:rsidRDefault="00AD00A7">
      <w:pPr>
        <w:spacing w:before="40"/>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lastRenderedPageBreak/>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145286">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145286">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490ECB">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490ECB">
            <w:pPr>
              <w:spacing w:before="60" w:after="60"/>
              <w:rPr>
                <w:rFonts w:cs="Arial"/>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mis-detecting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lastRenderedPageBreak/>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hint="eastAsia"/>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hint="eastAsia"/>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hint="eastAsia"/>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490ECB">
            <w:pPr>
              <w:spacing w:before="60" w:after="60"/>
              <w:contextualSpacing/>
              <w:rPr>
                <w:rFonts w:eastAsia="Malgun Gothic" w:cs="Arial" w:hint="eastAsia"/>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490ECB">
            <w:pPr>
              <w:spacing w:before="60" w:after="60"/>
              <w:rPr>
                <w:rFonts w:eastAsia="Malgun Gothic" w:cs="Arial" w:hint="eastAsia"/>
                <w:lang w:eastAsia="ko-KR"/>
              </w:rPr>
            </w:pPr>
          </w:p>
        </w:tc>
      </w:tr>
    </w:tbl>
    <w:p w:rsidR="00AD00A7" w:rsidRDefault="00AD00A7">
      <w:pPr>
        <w:spacing w:before="40"/>
        <w:rPr>
          <w:szCs w:val="20"/>
        </w:rPr>
      </w:pPr>
      <w:bookmarkStart w:id="9" w:name="_GoBack"/>
      <w:bookmarkEnd w:id="9"/>
    </w:p>
    <w:p w:rsidR="00AD00A7" w:rsidRDefault="00AD00A7">
      <w:pPr>
        <w:spacing w:before="40"/>
      </w:pPr>
    </w:p>
    <w:p w:rsidR="00AD00A7" w:rsidRDefault="00AD00A7">
      <w:pPr>
        <w:spacing w:before="40"/>
        <w:rPr>
          <w:szCs w:val="20"/>
        </w:rPr>
      </w:pPr>
    </w:p>
    <w:p w:rsidR="00AD00A7" w:rsidRDefault="009E5AE7">
      <w:pPr>
        <w:pStyle w:val="Heading1"/>
        <w:jc w:val="both"/>
      </w:pPr>
      <w:r>
        <w:lastRenderedPageBreak/>
        <w:t>Conclusion</w:t>
      </w:r>
    </w:p>
    <w:p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TableofFigures"/>
        <w:tabs>
          <w:tab w:val="right" w:leader="dot" w:pos="8396"/>
        </w:tabs>
        <w:spacing w:before="120" w:after="120"/>
        <w:rPr>
          <w:color w:val="1F497D"/>
        </w:rPr>
      </w:pPr>
    </w:p>
    <w:p w:rsidR="00AD00A7" w:rsidRDefault="009E5AE7">
      <w:pPr>
        <w:pStyle w:val="Heading1"/>
        <w:jc w:val="both"/>
      </w:pPr>
      <w:r>
        <w:rPr>
          <w:rFonts w:hint="eastAsia"/>
        </w:rPr>
        <w:t>Reference</w:t>
      </w:r>
    </w:p>
    <w:p w:rsidR="00AD00A7" w:rsidRDefault="009E5AE7">
      <w:pPr>
        <w:pStyle w:val="BodyText"/>
        <w:numPr>
          <w:ilvl w:val="0"/>
          <w:numId w:val="13"/>
        </w:numPr>
      </w:pPr>
      <w:bookmarkStart w:id="10" w:name="_Ref33470137"/>
      <w:bookmarkStart w:id="11" w:name="_Ref23856846"/>
      <w:bookmarkStart w:id="12" w:name="_Ref23429571"/>
      <w:bookmarkStart w:id="13" w:name="_Ref31725485"/>
      <w:bookmarkStart w:id="14" w:name="_Ref32846707"/>
      <w:r>
        <w:t>R2-2000485 Summary on deprioritized transmissions; CATT</w:t>
      </w:r>
      <w:bookmarkEnd w:id="10"/>
    </w:p>
    <w:p w:rsidR="00AD00A7" w:rsidRDefault="009E5AE7">
      <w:pPr>
        <w:pStyle w:val="BodyText"/>
        <w:numPr>
          <w:ilvl w:val="0"/>
          <w:numId w:val="13"/>
        </w:numPr>
      </w:pPr>
      <w:bookmarkStart w:id="15" w:name="_Ref33471450"/>
      <w:r>
        <w:t>R2-2002046</w:t>
      </w:r>
      <w:r>
        <w:tab/>
        <w:t xml:space="preserve"> RAN2 109-e Methods and Guidance RAN2 chairman, RAN2 vice chairmen, session chairs</w:t>
      </w:r>
      <w:bookmarkEnd w:id="15"/>
    </w:p>
    <w:p w:rsidR="00AD00A7" w:rsidRDefault="009E5AE7">
      <w:pPr>
        <w:pStyle w:val="BodyText"/>
        <w:numPr>
          <w:ilvl w:val="0"/>
          <w:numId w:val="13"/>
        </w:numPr>
        <w:rPr>
          <w:color w:val="808080"/>
        </w:rPr>
      </w:pPr>
      <w:bookmarkStart w:id="16" w:name="_Ref33470122"/>
      <w:r>
        <w:rPr>
          <w:rFonts w:eastAsiaTheme="minorEastAsia"/>
          <w:lang w:val="en-GB" w:eastAsia="zh-CN"/>
        </w:rPr>
        <w:t xml:space="preserve">R2-2001487 </w:t>
      </w:r>
      <w:bookmarkEnd w:id="11"/>
      <w:bookmarkEnd w:id="12"/>
      <w:bookmarkEnd w:id="13"/>
      <w:r>
        <w:rPr>
          <w:rFonts w:eastAsiaTheme="minorEastAsia"/>
          <w:lang w:val="en-GB" w:eastAsia="zh-CN"/>
        </w:rPr>
        <w:t>MAC Running CR for NR IIOT; Samsung</w:t>
      </w:r>
      <w:bookmarkEnd w:id="14"/>
      <w:bookmarkEnd w:id="16"/>
    </w:p>
    <w:p w:rsidR="00AD00A7" w:rsidRDefault="009E5AE7">
      <w:pPr>
        <w:pStyle w:val="BodyText"/>
        <w:numPr>
          <w:ilvl w:val="0"/>
          <w:numId w:val="13"/>
        </w:numPr>
        <w:rPr>
          <w:rFonts w:eastAsiaTheme="minorEastAsia"/>
          <w:lang w:val="en-GB" w:eastAsia="zh-CN"/>
        </w:rPr>
      </w:pPr>
      <w:bookmarkStart w:id="17" w:name="_Ref31725887"/>
      <w:bookmarkStart w:id="18" w:name="_Ref32846716"/>
      <w:r>
        <w:rPr>
          <w:rFonts w:eastAsiaTheme="minorEastAsia"/>
          <w:lang w:val="en-GB" w:eastAsia="zh-CN"/>
        </w:rPr>
        <w:t>R2-2000783</w:t>
      </w:r>
      <w:bookmarkEnd w:id="17"/>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18"/>
    </w:p>
    <w:p w:rsidR="00AD00A7" w:rsidRDefault="009E5AE7">
      <w:pPr>
        <w:pStyle w:val="BodyText"/>
        <w:numPr>
          <w:ilvl w:val="0"/>
          <w:numId w:val="13"/>
        </w:numPr>
        <w:rPr>
          <w:rFonts w:eastAsiaTheme="minorEastAsia"/>
          <w:lang w:val="en-GB" w:eastAsia="zh-CN"/>
        </w:rPr>
      </w:pPr>
      <w:bookmarkStart w:id="19" w:name="_Ref32057026"/>
      <w:bookmarkStart w:id="20" w:name="_Ref32846718"/>
      <w:r>
        <w:rPr>
          <w:rFonts w:eastAsiaTheme="minorEastAsia"/>
          <w:lang w:val="en-GB" w:eastAsia="zh-CN"/>
        </w:rPr>
        <w:t>R2-2000785</w:t>
      </w:r>
      <w:bookmarkEnd w:id="19"/>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20"/>
    </w:p>
    <w:p w:rsidR="00AD00A7" w:rsidRDefault="009E5AE7">
      <w:pPr>
        <w:pStyle w:val="BodyText"/>
        <w:numPr>
          <w:ilvl w:val="0"/>
          <w:numId w:val="13"/>
        </w:numPr>
        <w:rPr>
          <w:rFonts w:eastAsiaTheme="minorEastAsia"/>
          <w:lang w:val="en-GB" w:eastAsia="zh-CN"/>
        </w:rPr>
      </w:pPr>
      <w:bookmarkStart w:id="21" w:name="_Ref32847546"/>
      <w:r>
        <w:rPr>
          <w:rFonts w:eastAsiaTheme="minorEastAsia"/>
          <w:lang w:val="en-GB" w:eastAsia="zh-CN"/>
        </w:rPr>
        <w:t>R2-2000114 Remaining Issues on Autonomous Transmission; CATT</w:t>
      </w:r>
      <w:bookmarkEnd w:id="21"/>
    </w:p>
    <w:p w:rsidR="00AD00A7" w:rsidRDefault="009E5AE7">
      <w:pPr>
        <w:pStyle w:val="BodyText"/>
        <w:numPr>
          <w:ilvl w:val="0"/>
          <w:numId w:val="13"/>
        </w:numPr>
        <w:rPr>
          <w:rFonts w:eastAsiaTheme="minorEastAsia"/>
          <w:lang w:val="en-GB" w:eastAsia="zh-CN"/>
        </w:rPr>
      </w:pPr>
      <w:bookmarkStart w:id="22" w:name="_Ref32848860"/>
      <w:r>
        <w:rPr>
          <w:rFonts w:eastAsiaTheme="minorEastAsia"/>
          <w:lang w:val="en-GB" w:eastAsia="zh-CN"/>
        </w:rPr>
        <w:t>R2-2000495 Discussion on the MAC PDU recovery procedure; vivo</w:t>
      </w:r>
      <w:bookmarkEnd w:id="22"/>
    </w:p>
    <w:p w:rsidR="00AD00A7" w:rsidRDefault="009E5AE7">
      <w:pPr>
        <w:pStyle w:val="BodyText"/>
        <w:numPr>
          <w:ilvl w:val="0"/>
          <w:numId w:val="13"/>
        </w:numPr>
        <w:rPr>
          <w:rFonts w:eastAsiaTheme="minorEastAsia"/>
          <w:lang w:val="en-GB" w:eastAsia="zh-CN"/>
        </w:rPr>
      </w:pPr>
      <w:bookmarkStart w:id="23" w:name="_Ref32848938"/>
      <w:r>
        <w:rPr>
          <w:rFonts w:eastAsiaTheme="minorEastAsia"/>
          <w:lang w:val="en-GB" w:eastAsia="zh-CN"/>
        </w:rPr>
        <w:t>R2-2000593 Open Issues on TSC Scheduling Enhancement; Apple</w:t>
      </w:r>
      <w:bookmarkEnd w:id="23"/>
    </w:p>
    <w:p w:rsidR="00AD00A7" w:rsidRDefault="009E5AE7">
      <w:pPr>
        <w:pStyle w:val="BodyText"/>
        <w:numPr>
          <w:ilvl w:val="0"/>
          <w:numId w:val="13"/>
        </w:numPr>
        <w:rPr>
          <w:rFonts w:eastAsiaTheme="minorEastAsia"/>
          <w:lang w:val="en-GB" w:eastAsia="zh-CN"/>
        </w:rPr>
      </w:pPr>
      <w:bookmarkStart w:id="24" w:name="_Ref32849005"/>
      <w:r>
        <w:rPr>
          <w:rFonts w:eastAsiaTheme="minorEastAsia"/>
          <w:lang w:val="en-GB" w:eastAsia="zh-CN"/>
        </w:rPr>
        <w:t>R2-2000698 Left issues on autonomous transmission; OPPO</w:t>
      </w:r>
      <w:bookmarkEnd w:id="24"/>
    </w:p>
    <w:p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BodyText"/>
        <w:numPr>
          <w:ilvl w:val="0"/>
          <w:numId w:val="13"/>
        </w:numPr>
        <w:rPr>
          <w:rFonts w:eastAsiaTheme="minorEastAsia"/>
          <w:lang w:val="en-GB" w:eastAsia="zh-CN"/>
        </w:rPr>
      </w:pPr>
      <w:bookmarkStart w:id="25" w:name="_Ref32849068"/>
      <w:r>
        <w:rPr>
          <w:rFonts w:eastAsiaTheme="minorEastAsia"/>
          <w:lang w:val="en-GB" w:eastAsia="zh-CN"/>
        </w:rPr>
        <w:t>R2-2000755 Deprioritized transmissions on configured grants; III</w:t>
      </w:r>
      <w:bookmarkEnd w:id="25"/>
    </w:p>
    <w:p w:rsidR="00AD00A7" w:rsidRDefault="009E5AE7">
      <w:pPr>
        <w:pStyle w:val="BodyText"/>
        <w:numPr>
          <w:ilvl w:val="0"/>
          <w:numId w:val="13"/>
        </w:numPr>
        <w:rPr>
          <w:rFonts w:eastAsiaTheme="minorEastAsia"/>
          <w:lang w:val="en-GB" w:eastAsia="zh-CN"/>
        </w:rPr>
      </w:pPr>
      <w:bookmarkStart w:id="26" w:name="_Ref32849146"/>
      <w:r>
        <w:rPr>
          <w:rFonts w:eastAsiaTheme="minorEastAsia"/>
          <w:lang w:val="en-GB" w:eastAsia="zh-CN"/>
        </w:rPr>
        <w:t>R2-2000794 Handling of de-prioritized MAC PDUs; Ericsson</w:t>
      </w:r>
      <w:bookmarkEnd w:id="26"/>
    </w:p>
    <w:p w:rsidR="00AD00A7" w:rsidRDefault="009E5AE7">
      <w:pPr>
        <w:pStyle w:val="BodyText"/>
        <w:numPr>
          <w:ilvl w:val="0"/>
          <w:numId w:val="13"/>
        </w:numPr>
        <w:rPr>
          <w:rFonts w:eastAsiaTheme="minorEastAsia"/>
          <w:lang w:val="en-GB" w:eastAsia="zh-CN"/>
        </w:rPr>
      </w:pPr>
      <w:bookmarkStart w:id="27"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27"/>
    </w:p>
    <w:p w:rsidR="00AD00A7" w:rsidRDefault="009E5AE7">
      <w:pPr>
        <w:pStyle w:val="BodyText"/>
        <w:numPr>
          <w:ilvl w:val="0"/>
          <w:numId w:val="13"/>
        </w:numPr>
        <w:rPr>
          <w:rFonts w:eastAsiaTheme="minorEastAsia"/>
          <w:lang w:val="en-GB" w:eastAsia="zh-CN"/>
        </w:rPr>
      </w:pPr>
      <w:bookmarkStart w:id="28" w:name="_Ref32864690"/>
      <w:r>
        <w:rPr>
          <w:rFonts w:eastAsiaTheme="minorEastAsia"/>
          <w:lang w:val="en-GB" w:eastAsia="zh-CN"/>
        </w:rPr>
        <w:t>R2-2000825 HARQ retransmissions for deprioritized PDU with empty HARQ buffer; Sony</w:t>
      </w:r>
      <w:bookmarkEnd w:id="28"/>
    </w:p>
    <w:p w:rsidR="00AD00A7" w:rsidRDefault="009E5AE7">
      <w:pPr>
        <w:pStyle w:val="BodyText"/>
        <w:numPr>
          <w:ilvl w:val="0"/>
          <w:numId w:val="13"/>
        </w:numPr>
        <w:rPr>
          <w:rFonts w:eastAsiaTheme="minorEastAsia"/>
          <w:lang w:val="en-GB" w:eastAsia="zh-CN"/>
        </w:rPr>
      </w:pPr>
      <w:bookmarkStart w:id="29"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29"/>
    </w:p>
    <w:p w:rsidR="00AD00A7" w:rsidRDefault="009E5AE7">
      <w:pPr>
        <w:pStyle w:val="BodyText"/>
        <w:numPr>
          <w:ilvl w:val="0"/>
          <w:numId w:val="13"/>
        </w:numPr>
        <w:rPr>
          <w:rFonts w:eastAsiaTheme="minorEastAsia"/>
          <w:lang w:val="fr-FR" w:eastAsia="zh-CN"/>
        </w:rPr>
      </w:pPr>
      <w:bookmarkStart w:id="30" w:name="_Ref32857107"/>
      <w:r>
        <w:rPr>
          <w:rFonts w:eastAsiaTheme="minorEastAsia"/>
          <w:lang w:val="fr-FR" w:eastAsia="zh-CN"/>
        </w:rPr>
        <w:t>R2-2000845 On UL intra-UE prioritisation ;MediaTek Inc.</w:t>
      </w:r>
      <w:bookmarkEnd w:id="30"/>
    </w:p>
    <w:p w:rsidR="00AD00A7" w:rsidRDefault="009E5AE7">
      <w:pPr>
        <w:pStyle w:val="BodyText"/>
        <w:numPr>
          <w:ilvl w:val="0"/>
          <w:numId w:val="13"/>
        </w:numPr>
        <w:rPr>
          <w:rFonts w:eastAsiaTheme="minorEastAsia"/>
          <w:lang w:val="en-GB" w:eastAsia="zh-CN"/>
        </w:rPr>
      </w:pPr>
      <w:bookmarkStart w:id="31"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1"/>
    </w:p>
    <w:p w:rsidR="00AD00A7" w:rsidRDefault="009E5AE7">
      <w:pPr>
        <w:pStyle w:val="BodyText"/>
        <w:numPr>
          <w:ilvl w:val="0"/>
          <w:numId w:val="13"/>
        </w:numPr>
        <w:rPr>
          <w:rFonts w:eastAsiaTheme="minorEastAsia"/>
          <w:lang w:eastAsia="zh-CN"/>
        </w:rPr>
      </w:pPr>
      <w:bookmarkStart w:id="32"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32"/>
      <w:proofErr w:type="spellEnd"/>
    </w:p>
    <w:p w:rsidR="00AD00A7" w:rsidRDefault="009E5AE7">
      <w:pPr>
        <w:pStyle w:val="BodyText"/>
        <w:numPr>
          <w:ilvl w:val="0"/>
          <w:numId w:val="13"/>
        </w:numPr>
        <w:rPr>
          <w:rFonts w:eastAsiaTheme="minorEastAsia"/>
          <w:lang w:eastAsia="zh-CN"/>
        </w:rPr>
      </w:pPr>
      <w:bookmarkStart w:id="33" w:name="_Ref32849541"/>
      <w:r>
        <w:rPr>
          <w:rFonts w:eastAsiaTheme="minorEastAsia"/>
          <w:lang w:eastAsia="zh-CN"/>
        </w:rPr>
        <w:t>R2-2001291 Open issues in autonomous retransmission; Qualcomm Incorporated</w:t>
      </w:r>
      <w:bookmarkEnd w:id="33"/>
    </w:p>
    <w:p w:rsidR="00AD00A7" w:rsidRDefault="009E5AE7">
      <w:pPr>
        <w:pStyle w:val="BodyText"/>
        <w:numPr>
          <w:ilvl w:val="0"/>
          <w:numId w:val="13"/>
        </w:numPr>
        <w:rPr>
          <w:rFonts w:eastAsiaTheme="minorEastAsia"/>
          <w:lang w:eastAsia="zh-CN"/>
        </w:rPr>
      </w:pPr>
      <w:bookmarkStart w:id="34"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34"/>
      <w:proofErr w:type="spellEnd"/>
    </w:p>
    <w:p w:rsidR="00AD00A7" w:rsidRDefault="009E5AE7">
      <w:pPr>
        <w:pStyle w:val="BodyText"/>
        <w:numPr>
          <w:ilvl w:val="0"/>
          <w:numId w:val="13"/>
        </w:numPr>
        <w:rPr>
          <w:rFonts w:eastAsiaTheme="minorEastAsia"/>
          <w:lang w:eastAsia="zh-CN"/>
        </w:rPr>
      </w:pPr>
      <w:bookmarkStart w:id="35" w:name="_Ref32849710"/>
      <w:r>
        <w:rPr>
          <w:rFonts w:eastAsiaTheme="minorEastAsia"/>
          <w:lang w:eastAsia="zh-CN"/>
        </w:rPr>
        <w:t>R2-2001477 Remaining Issues for Handling of deprioritized transmission; CMCC</w:t>
      </w:r>
      <w:bookmarkEnd w:id="35"/>
    </w:p>
    <w:p w:rsidR="00AD00A7" w:rsidRDefault="009E5AE7">
      <w:pPr>
        <w:pStyle w:val="BodyText"/>
        <w:numPr>
          <w:ilvl w:val="0"/>
          <w:numId w:val="13"/>
        </w:numPr>
        <w:rPr>
          <w:rFonts w:eastAsiaTheme="minorEastAsia"/>
          <w:lang w:eastAsia="zh-CN"/>
        </w:rPr>
      </w:pPr>
      <w:bookmarkStart w:id="36" w:name="_Ref32849801"/>
      <w:r>
        <w:rPr>
          <w:rFonts w:eastAsiaTheme="minorEastAsia"/>
          <w:lang w:eastAsia="zh-CN"/>
        </w:rPr>
        <w:t>R2-2001490 Autonomous Retransmissions of Different CG Configurations and Timeline Restriction; Samsung</w:t>
      </w:r>
      <w:bookmarkEnd w:id="36"/>
    </w:p>
    <w:p w:rsidR="00AD00A7" w:rsidRDefault="009E5AE7">
      <w:pPr>
        <w:pStyle w:val="BodyText"/>
        <w:numPr>
          <w:ilvl w:val="0"/>
          <w:numId w:val="13"/>
        </w:numPr>
        <w:rPr>
          <w:rFonts w:eastAsiaTheme="minorEastAsia"/>
          <w:lang w:eastAsia="zh-CN"/>
        </w:rPr>
      </w:pPr>
      <w:bookmarkStart w:id="37" w:name="_Ref33002064"/>
      <w:bookmarkStart w:id="38" w:name="_Ref32867173"/>
      <w:r>
        <w:rPr>
          <w:rFonts w:eastAsiaTheme="minorEastAsia"/>
          <w:lang w:eastAsia="zh-CN"/>
        </w:rPr>
        <w:t>R2-2001495 Transmission of Deprioritized Data by Retransmission Grant; Samsung</w:t>
      </w:r>
      <w:bookmarkEnd w:id="37"/>
    </w:p>
    <w:p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38"/>
    </w:p>
    <w:p w:rsidR="00AD00A7" w:rsidRDefault="009E5AE7">
      <w:pPr>
        <w:pStyle w:val="ListParagraph"/>
        <w:numPr>
          <w:ilvl w:val="0"/>
          <w:numId w:val="13"/>
        </w:numPr>
        <w:rPr>
          <w:rFonts w:eastAsiaTheme="minorEastAsia"/>
          <w:szCs w:val="24"/>
          <w:lang w:val="en-US" w:eastAsia="zh-CN"/>
        </w:rPr>
      </w:pPr>
      <w:bookmarkStart w:id="39" w:name="_Ref32864767"/>
      <w:r>
        <w:rPr>
          <w:rFonts w:eastAsiaTheme="minorEastAsia"/>
          <w:szCs w:val="24"/>
          <w:lang w:val="en-US" w:eastAsia="zh-CN"/>
        </w:rPr>
        <w:t>R2-1913641, Views on handling of PDUs and data of deprioritized grants, Qualcomm Incorporated, RAN2#107bis, Chongqing, China, 14 – 18 October 2019</w:t>
      </w:r>
      <w:bookmarkEnd w:id="39"/>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E30" w:rsidRDefault="00896E30">
      <w:r>
        <w:separator/>
      </w:r>
    </w:p>
  </w:endnote>
  <w:endnote w:type="continuationSeparator" w:id="0">
    <w:p w:rsidR="00896E30" w:rsidRDefault="0089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0A7" w:rsidRDefault="009E5A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00A7" w:rsidRDefault="00AD0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0A7" w:rsidRDefault="009E5A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511">
      <w:rPr>
        <w:rStyle w:val="PageNumber"/>
        <w:noProof/>
      </w:rPr>
      <w:t>13</w:t>
    </w:r>
    <w:r>
      <w:rPr>
        <w:rStyle w:val="PageNumber"/>
      </w:rPr>
      <w:fldChar w:fldCharType="end"/>
    </w:r>
  </w:p>
  <w:p w:rsidR="00AD00A7" w:rsidRDefault="009E5AE7">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E30" w:rsidRDefault="00896E30">
      <w:r>
        <w:separator/>
      </w:r>
    </w:p>
  </w:footnote>
  <w:footnote w:type="continuationSeparator" w:id="0">
    <w:p w:rsidR="00896E30" w:rsidRDefault="0089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0A7" w:rsidRDefault="00AD00A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475F"/>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83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6D636"/>
  <w15:docId w15:val="{89335B2C-21D3-4ED8-B269-65B67FB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E0AC1-3792-463D-9195-ABDE9071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Yassin Awad</cp:lastModifiedBy>
  <cp:revision>6</cp:revision>
  <cp:lastPrinted>2007-08-28T14:45:00Z</cp:lastPrinted>
  <dcterms:created xsi:type="dcterms:W3CDTF">2020-02-26T04:12:00Z</dcterms:created>
  <dcterms:modified xsi:type="dcterms:W3CDTF">2020-02-26T05:04:00Z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