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96140" w14:textId="02F73B0C" w:rsidR="00FB6C5D" w:rsidRDefault="00FB6C5D" w:rsidP="00FB6C5D">
      <w:pPr>
        <w:pStyle w:val="3GPPHeader"/>
        <w:spacing w:after="0"/>
        <w:rPr>
          <w:rFonts w:ascii="Arial" w:hAnsi="Arial" w:cs="Arial"/>
          <w:sz w:val="22"/>
        </w:rPr>
      </w:pPr>
      <w:r>
        <w:rPr>
          <w:rFonts w:ascii="Arial" w:hAnsi="Arial" w:cs="Arial"/>
          <w:sz w:val="22"/>
        </w:rPr>
        <w:t>3GPP TSG-RAN2 Meeting #10</w:t>
      </w:r>
      <w:r w:rsidR="00185C24">
        <w:rPr>
          <w:rFonts w:ascii="Arial" w:hAnsi="Arial" w:cs="Arial"/>
          <w:sz w:val="22"/>
        </w:rPr>
        <w:t>8</w:t>
      </w:r>
      <w:r>
        <w:rPr>
          <w:rFonts w:ascii="Arial" w:hAnsi="Arial" w:cs="Arial"/>
          <w:sz w:val="22"/>
        </w:rPr>
        <w:tab/>
      </w:r>
      <w:r w:rsidR="00B27B85" w:rsidRPr="00B27B85">
        <w:rPr>
          <w:rFonts w:ascii="Arial" w:hAnsi="Arial" w:cs="Arial"/>
          <w:sz w:val="22"/>
        </w:rPr>
        <w:t>R2-</w:t>
      </w:r>
      <w:r w:rsidR="00E97FBD">
        <w:rPr>
          <w:rFonts w:ascii="Arial" w:hAnsi="Arial" w:cs="Arial"/>
          <w:sz w:val="22"/>
        </w:rPr>
        <w:t>1915883</w:t>
      </w:r>
      <w:bookmarkStart w:id="0" w:name="_GoBack"/>
      <w:bookmarkEnd w:id="0"/>
    </w:p>
    <w:p w14:paraId="3B74D700" w14:textId="3E4A1EDF" w:rsidR="00FB6C5D" w:rsidRDefault="00185C24" w:rsidP="00FB6C5D">
      <w:pPr>
        <w:spacing w:after="60"/>
        <w:ind w:left="1985" w:hanging="1985"/>
        <w:rPr>
          <w:rFonts w:cs="Arial"/>
          <w:b/>
        </w:rPr>
      </w:pPr>
      <w:r>
        <w:rPr>
          <w:rFonts w:cs="Arial"/>
          <w:b/>
        </w:rPr>
        <w:t>Reno, Nevada</w:t>
      </w:r>
      <w:r w:rsidR="00FB6C5D">
        <w:rPr>
          <w:rFonts w:cs="Arial"/>
          <w:b/>
        </w:rPr>
        <w:t xml:space="preserve">, </w:t>
      </w:r>
      <w:r>
        <w:rPr>
          <w:rFonts w:cs="Arial"/>
          <w:b/>
        </w:rPr>
        <w:t>USA, 18 - 22</w:t>
      </w:r>
      <w:r w:rsidR="00FB6C5D">
        <w:rPr>
          <w:rFonts w:cs="Arial"/>
          <w:b/>
        </w:rPr>
        <w:t xml:space="preserve"> </w:t>
      </w:r>
      <w:r w:rsidR="008F208D">
        <w:rPr>
          <w:rFonts w:cs="Arial"/>
          <w:b/>
        </w:rPr>
        <w:t>Novem</w:t>
      </w:r>
      <w:r>
        <w:rPr>
          <w:rFonts w:cs="Arial"/>
          <w:b/>
        </w:rPr>
        <w:t>ber</w:t>
      </w:r>
      <w:r w:rsidR="00FB6C5D">
        <w:rPr>
          <w:rFonts w:cs="Arial"/>
          <w:b/>
        </w:rPr>
        <w:t xml:space="preserve"> 2019</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39F95B8"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B4387D">
        <w:rPr>
          <w:rFonts w:ascii="Arial" w:hAnsi="Arial" w:cs="Arial"/>
          <w:b w:val="0"/>
          <w:sz w:val="22"/>
        </w:rPr>
        <w:t>[7.1.8</w:t>
      </w:r>
      <w:r w:rsidR="00185C24">
        <w:rPr>
          <w:rFonts w:ascii="Arial" w:hAnsi="Arial" w:cs="Arial"/>
          <w:b w:val="0"/>
          <w:sz w:val="22"/>
        </w:rPr>
        <w:t xml:space="preserve">] Improvements </w:t>
      </w:r>
      <w:r w:rsidR="00B902EA">
        <w:rPr>
          <w:rFonts w:ascii="Arial" w:hAnsi="Arial" w:cs="Arial"/>
          <w:b w:val="0"/>
          <w:sz w:val="22"/>
        </w:rPr>
        <w:t>for non-BL UEs</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E02C041"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C5A41">
        <w:rPr>
          <w:rFonts w:ascii="Arial" w:hAnsi="Arial" w:cs="Arial"/>
          <w:b w:val="0"/>
          <w:bCs/>
          <w:sz w:val="22"/>
          <w:lang w:val="en-US"/>
        </w:rPr>
        <w:t>Improvements for non-BL UEs camping in CE Mode</w:t>
      </w:r>
      <w:r w:rsidR="00A02C31">
        <w:rPr>
          <w:rFonts w:ascii="Arial" w:hAnsi="Arial" w:cs="Arial"/>
          <w:b w:val="0"/>
          <w:bCs/>
          <w:sz w:val="22"/>
          <w:lang w:val="en-US"/>
        </w:rPr>
        <w:t xml:space="preserve"> </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F88CA4B" w:rsidR="00120D47" w:rsidRDefault="004D10CC" w:rsidP="00120D47">
      <w:pPr>
        <w:pStyle w:val="Heading1"/>
      </w:pPr>
      <w:r>
        <w:t>Introduction</w:t>
      </w:r>
    </w:p>
    <w:p w14:paraId="09D0753D" w14:textId="77777777" w:rsidR="00BC5A41" w:rsidRDefault="00BC5A41" w:rsidP="00BC5A41">
      <w:pPr>
        <w:jc w:val="both"/>
        <w:rPr>
          <w:lang w:val="en-GB"/>
        </w:rPr>
      </w:pPr>
      <w:bookmarkStart w:id="1" w:name="_Toc242573354"/>
      <w:r>
        <w:rPr>
          <w:lang w:val="en-GB"/>
        </w:rPr>
        <w:t>In RAN2#107 meeting, following agreement was made.</w:t>
      </w:r>
    </w:p>
    <w:p w14:paraId="1D2E6C58" w14:textId="77777777" w:rsidR="00BC5A41" w:rsidRDefault="00BC5A41" w:rsidP="00BC5A41">
      <w:pPr>
        <w:pStyle w:val="Agreement"/>
        <w:tabs>
          <w:tab w:val="clear" w:pos="1619"/>
          <w:tab w:val="num" w:pos="900"/>
        </w:tabs>
        <w:ind w:left="900"/>
        <w:rPr>
          <w:noProof/>
        </w:rPr>
      </w:pPr>
      <w:r>
        <w:rPr>
          <w:noProof/>
        </w:rPr>
        <w:t>FFS if, from Rel-16, it should be possible for a non-BL UE that fullfills S criteria for normal coverage to camp in a “normal” cell, i.e. not standalone, in enhanced coverage.</w:t>
      </w:r>
    </w:p>
    <w:p w14:paraId="18FF34E0" w14:textId="77777777" w:rsidR="00BC5A41" w:rsidRDefault="00BC5A41" w:rsidP="00BC5A41">
      <w:pPr>
        <w:pStyle w:val="Agreement"/>
        <w:tabs>
          <w:tab w:val="clear" w:pos="1619"/>
          <w:tab w:val="num" w:pos="900"/>
        </w:tabs>
        <w:ind w:left="900"/>
      </w:pPr>
      <w:r>
        <w:t xml:space="preserve">This discussion will continue as part of the AI </w:t>
      </w:r>
      <w:r w:rsidRPr="00F9744D">
        <w:t>12.1.8</w:t>
      </w:r>
      <w:r>
        <w:t xml:space="preserve"> </w:t>
      </w:r>
      <w:r w:rsidRPr="00F9744D">
        <w:t>Improvements for non-BL UEs</w:t>
      </w:r>
      <w:r>
        <w:t>.</w:t>
      </w:r>
    </w:p>
    <w:p w14:paraId="15B2668E" w14:textId="77777777" w:rsidR="00BC5A41" w:rsidRPr="00BC5A41" w:rsidRDefault="00BC5A41" w:rsidP="00FE7F8A">
      <w:pPr>
        <w:pStyle w:val="Doc-text2"/>
        <w:ind w:left="0" w:firstLine="0"/>
      </w:pPr>
    </w:p>
    <w:p w14:paraId="6F8A1D5D" w14:textId="25CB39DD" w:rsidR="004D10CC" w:rsidRDefault="004D10CC" w:rsidP="004D10CC">
      <w:pPr>
        <w:pStyle w:val="Heading1"/>
      </w:pPr>
      <w:r>
        <w:t>Background</w:t>
      </w:r>
    </w:p>
    <w:p w14:paraId="39859F2E" w14:textId="7F35E8A0" w:rsidR="00BC5A41" w:rsidRDefault="00BC5A41" w:rsidP="00BC5A41">
      <w:pPr>
        <w:jc w:val="both"/>
        <w:rPr>
          <w:lang w:val="en-GB"/>
        </w:rPr>
      </w:pPr>
      <w:r>
        <w:rPr>
          <w:lang w:val="en-GB"/>
        </w:rPr>
        <w:t xml:space="preserve">In RAN2#107bis meeting, [1] was discussed, and it was </w:t>
      </w:r>
      <w:r w:rsidR="00BD6439">
        <w:rPr>
          <w:lang w:val="en-GB"/>
        </w:rPr>
        <w:t xml:space="preserve">suggested that non-BL UEs with S criterion in normal coverage fulfilled, if allowed to camp in coverage enhancement mode would benefit from power savings, which it might otherwise not be able to if camped in normal coverage. As part of the discussion it was indicated that any such power saving should be presented. </w:t>
      </w:r>
    </w:p>
    <w:p w14:paraId="10854132" w14:textId="4E79F637" w:rsidR="00F4372E" w:rsidRDefault="00BD6439" w:rsidP="00F4372E">
      <w:pPr>
        <w:jc w:val="both"/>
        <w:rPr>
          <w:lang w:val="en-GB"/>
        </w:rPr>
      </w:pPr>
      <w:r>
        <w:rPr>
          <w:lang w:val="en-GB"/>
        </w:rPr>
        <w:t xml:space="preserve">In this contribution, </w:t>
      </w:r>
      <w:r w:rsidR="00F4372E">
        <w:rPr>
          <w:lang w:val="en-GB"/>
        </w:rPr>
        <w:t xml:space="preserve">we provide our observations and propose that </w:t>
      </w:r>
      <w:r w:rsidR="00F4372E">
        <w:rPr>
          <w:noProof/>
        </w:rPr>
        <w:t>a non-BL UE that fullfills S criteria for normal coverage to camp in a “normal” cell</w:t>
      </w:r>
      <w:r w:rsidR="00D85057">
        <w:rPr>
          <w:noProof/>
        </w:rPr>
        <w:t xml:space="preserve"> in CE mode</w:t>
      </w:r>
      <w:r w:rsidR="00F4372E">
        <w:rPr>
          <w:lang w:val="en-GB"/>
        </w:rPr>
        <w:t>.</w:t>
      </w:r>
    </w:p>
    <w:p w14:paraId="1DEB3AB7" w14:textId="6322D42F" w:rsidR="00FA27C0" w:rsidRDefault="009D725A" w:rsidP="00F4372E">
      <w:pPr>
        <w:pStyle w:val="Heading1"/>
      </w:pPr>
      <w:r>
        <w:t>Discussion</w:t>
      </w:r>
      <w:bookmarkEnd w:id="1"/>
    </w:p>
    <w:p w14:paraId="0FC6501F" w14:textId="752793A6" w:rsidR="00DB17A3" w:rsidRPr="0015193A" w:rsidRDefault="00C8780A" w:rsidP="00FE7F8A">
      <w:pPr>
        <w:pStyle w:val="Heading2"/>
      </w:pPr>
      <w:r w:rsidRPr="0015193A">
        <w:t>Uplink and Downlink PRB allocation distribution</w:t>
      </w:r>
    </w:p>
    <w:p w14:paraId="24FCDEA9" w14:textId="0F5F2314" w:rsidR="00F14488" w:rsidRDefault="00C8780A" w:rsidP="00254193">
      <w:pPr>
        <w:jc w:val="both"/>
        <w:rPr>
          <w:lang w:val="en-GB" w:eastAsia="zh-CN"/>
        </w:rPr>
      </w:pPr>
      <w:r>
        <w:rPr>
          <w:lang w:val="en-GB" w:eastAsia="zh-CN"/>
        </w:rPr>
        <w:t>Based on data from field, it is observed that NW on an average allocates 6 PRBs or less</w:t>
      </w:r>
      <w:r w:rsidR="00F14488">
        <w:rPr>
          <w:lang w:val="en-GB" w:eastAsia="zh-CN"/>
        </w:rPr>
        <w:t xml:space="preserve"> over a 20 MHz carrier bandwidth</w:t>
      </w:r>
      <w:r>
        <w:rPr>
          <w:lang w:val="en-GB" w:eastAsia="zh-CN"/>
        </w:rPr>
        <w:t xml:space="preserve"> for about 85% of time on UL and about 50% o</w:t>
      </w:r>
      <w:r w:rsidR="00F14488">
        <w:rPr>
          <w:lang w:val="en-GB" w:eastAsia="zh-CN"/>
        </w:rPr>
        <w:t>f time on DL. Given this statistical distribution, UEs can still satisfy all the service requirements in a majority of scenarios, if the same number of PRBs are allocated over a smaller carrier bandwidth (e.g. 1.4 MHz as is the case with CE mode). The additional benefit is that UEs has to monitor a smaller carrier bandwidth.</w:t>
      </w:r>
    </w:p>
    <w:p w14:paraId="3BF8C4FD" w14:textId="77777777" w:rsidR="00B250A0" w:rsidRDefault="00B250A0" w:rsidP="00254193">
      <w:pPr>
        <w:jc w:val="both"/>
      </w:pPr>
      <w:r w:rsidRPr="0015193A">
        <w:rPr>
          <w:b/>
          <w:bCs/>
        </w:rPr>
        <w:t>Observat</w:t>
      </w:r>
      <w:r>
        <w:rPr>
          <w:b/>
          <w:bCs/>
        </w:rPr>
        <w:t>i</w:t>
      </w:r>
      <w:r w:rsidRPr="0015193A">
        <w:rPr>
          <w:b/>
          <w:bCs/>
        </w:rPr>
        <w:t>on 1</w:t>
      </w:r>
      <w:r>
        <w:t>: NW resource allocation over 6 or less PRBs seems to be the most preferred configuration in a majority of UL (85%) and DL (50%) deployments. Continuing with the same deployment over a smaller carrier bandwidth does not seem to affect any UE service requirements.</w:t>
      </w:r>
    </w:p>
    <w:p w14:paraId="537D7786" w14:textId="3EF3E675" w:rsidR="00F14488" w:rsidRPr="0015193A" w:rsidRDefault="00F14488" w:rsidP="00FE7F8A">
      <w:pPr>
        <w:pStyle w:val="Heading2"/>
      </w:pPr>
      <w:r w:rsidRPr="0015193A">
        <w:t>Power Savings</w:t>
      </w:r>
    </w:p>
    <w:p w14:paraId="6D1DB9EE" w14:textId="2EC6F968" w:rsidR="00D05040" w:rsidRDefault="00B3261D" w:rsidP="00254193">
      <w:pPr>
        <w:jc w:val="both"/>
        <w:rPr>
          <w:lang w:val="en-GB" w:eastAsia="zh-CN"/>
        </w:rPr>
      </w:pPr>
      <w:r>
        <w:rPr>
          <w:lang w:val="en-GB" w:eastAsia="zh-CN"/>
        </w:rPr>
        <w:t>To compare the power savings for UE between mPDCCH and PDCCH,</w:t>
      </w:r>
      <w:r w:rsidR="00D05040">
        <w:rPr>
          <w:lang w:val="en-GB" w:eastAsia="zh-CN"/>
        </w:rPr>
        <w:t xml:space="preserve"> the test profile included a typical background and foreground data usage, with </w:t>
      </w:r>
      <w:r w:rsidR="000171DD">
        <w:rPr>
          <w:lang w:val="en-GB" w:eastAsia="zh-CN"/>
        </w:rPr>
        <w:t>periodic</w:t>
      </w:r>
      <w:r w:rsidR="00D05040">
        <w:rPr>
          <w:lang w:val="en-GB" w:eastAsia="zh-CN"/>
        </w:rPr>
        <w:t xml:space="preserve"> NW signalling (TAU every 54 min and IMS registration every 2 hours). </w:t>
      </w:r>
    </w:p>
    <w:p w14:paraId="1B75FBAC" w14:textId="43D1EF5A" w:rsidR="009D5990" w:rsidRDefault="00D05040" w:rsidP="00254193">
      <w:pPr>
        <w:jc w:val="both"/>
        <w:rPr>
          <w:lang w:val="en-GB" w:eastAsia="zh-CN"/>
        </w:rPr>
      </w:pPr>
      <w:r>
        <w:rPr>
          <w:lang w:val="en-GB" w:eastAsia="zh-CN"/>
        </w:rPr>
        <w:t>T</w:t>
      </w:r>
      <w:r w:rsidR="00B3261D">
        <w:rPr>
          <w:lang w:val="en-GB" w:eastAsia="zh-CN"/>
        </w:rPr>
        <w:t xml:space="preserve">he following </w:t>
      </w:r>
      <w:r>
        <w:rPr>
          <w:lang w:val="en-GB" w:eastAsia="zh-CN"/>
        </w:rPr>
        <w:t>PDCCH sub states were considered</w:t>
      </w:r>
    </w:p>
    <w:p w14:paraId="0C765C26" w14:textId="71D3AE73" w:rsidR="00B3261D" w:rsidRDefault="00B3261D" w:rsidP="00254193">
      <w:pPr>
        <w:pStyle w:val="ListParagraph"/>
        <w:numPr>
          <w:ilvl w:val="0"/>
          <w:numId w:val="50"/>
        </w:numPr>
        <w:jc w:val="both"/>
        <w:rPr>
          <w:lang w:val="en-GB" w:eastAsia="zh-CN"/>
        </w:rPr>
      </w:pPr>
      <w:r>
        <w:rPr>
          <w:lang w:val="en-GB" w:eastAsia="zh-CN"/>
        </w:rPr>
        <w:lastRenderedPageBreak/>
        <w:t>PDCCH only – UE attempts PDCCH decoding but no DL or UL grant decoded</w:t>
      </w:r>
    </w:p>
    <w:p w14:paraId="7AE30214" w14:textId="0D60B6F2" w:rsidR="00B3261D" w:rsidRDefault="00B3261D" w:rsidP="00254193">
      <w:pPr>
        <w:pStyle w:val="ListParagraph"/>
        <w:numPr>
          <w:ilvl w:val="1"/>
          <w:numId w:val="50"/>
        </w:numPr>
        <w:jc w:val="both"/>
        <w:rPr>
          <w:lang w:val="en-GB" w:eastAsia="zh-CN"/>
        </w:rPr>
      </w:pPr>
      <w:r>
        <w:rPr>
          <w:lang w:val="en-GB" w:eastAsia="zh-CN"/>
        </w:rPr>
        <w:t xml:space="preserve">Within this, there are </w:t>
      </w:r>
      <w:r w:rsidR="00D05040">
        <w:rPr>
          <w:lang w:val="en-GB" w:eastAsia="zh-CN"/>
        </w:rPr>
        <w:t>three different sub-states</w:t>
      </w:r>
    </w:p>
    <w:p w14:paraId="7CEC3957" w14:textId="6711BC12" w:rsidR="00D05040" w:rsidRDefault="00D05040" w:rsidP="00254193">
      <w:pPr>
        <w:pStyle w:val="ListParagraph"/>
        <w:numPr>
          <w:ilvl w:val="2"/>
          <w:numId w:val="50"/>
        </w:numPr>
        <w:jc w:val="both"/>
        <w:rPr>
          <w:lang w:val="en-GB" w:eastAsia="zh-CN"/>
        </w:rPr>
      </w:pPr>
      <w:r>
        <w:rPr>
          <w:lang w:val="en-GB" w:eastAsia="zh-CN"/>
        </w:rPr>
        <w:t>PDCCH Alone – RF ON only for PDCCH symbols (i.e. 3 symbols) and decode PDCCH offline when mid to high SNR</w:t>
      </w:r>
    </w:p>
    <w:p w14:paraId="7115A96D" w14:textId="17C312E9" w:rsidR="00D05040" w:rsidRDefault="00D05040" w:rsidP="00254193">
      <w:pPr>
        <w:pStyle w:val="ListParagraph"/>
        <w:numPr>
          <w:ilvl w:val="2"/>
          <w:numId w:val="50"/>
        </w:numPr>
        <w:jc w:val="both"/>
        <w:rPr>
          <w:lang w:val="en-GB" w:eastAsia="zh-CN"/>
        </w:rPr>
      </w:pPr>
      <w:r>
        <w:rPr>
          <w:lang w:val="en-GB" w:eastAsia="zh-CN"/>
        </w:rPr>
        <w:t xml:space="preserve">PDCCH Early – RF ON until PDCCH decoding is done </w:t>
      </w:r>
      <w:r w:rsidR="000171DD">
        <w:rPr>
          <w:lang w:val="en-GB" w:eastAsia="zh-CN"/>
        </w:rPr>
        <w:t xml:space="preserve">in </w:t>
      </w:r>
      <w:r>
        <w:rPr>
          <w:lang w:val="en-GB" w:eastAsia="zh-CN"/>
        </w:rPr>
        <w:t>mid to high SNR</w:t>
      </w:r>
    </w:p>
    <w:p w14:paraId="183E79EA" w14:textId="2F41984D" w:rsidR="00D05040" w:rsidRDefault="00D05040" w:rsidP="00254193">
      <w:pPr>
        <w:pStyle w:val="ListParagraph"/>
        <w:numPr>
          <w:ilvl w:val="2"/>
          <w:numId w:val="50"/>
        </w:numPr>
        <w:jc w:val="both"/>
        <w:rPr>
          <w:lang w:val="en-GB" w:eastAsia="zh-CN"/>
        </w:rPr>
      </w:pPr>
      <w:r>
        <w:rPr>
          <w:lang w:val="en-GB" w:eastAsia="zh-CN"/>
        </w:rPr>
        <w:t xml:space="preserve">PDCCH Normal – RF ON for all 14 symbols within one </w:t>
      </w:r>
      <w:r w:rsidR="00C3421A">
        <w:rPr>
          <w:lang w:val="en-GB" w:eastAsia="zh-CN"/>
        </w:rPr>
        <w:t>sub frame</w:t>
      </w:r>
      <w:r>
        <w:rPr>
          <w:lang w:val="en-GB" w:eastAsia="zh-CN"/>
        </w:rPr>
        <w:t xml:space="preserve"> (low SNR case)</w:t>
      </w:r>
    </w:p>
    <w:p w14:paraId="28C10A7A" w14:textId="289F14AD" w:rsidR="00D05040" w:rsidRPr="00D05040" w:rsidRDefault="00D05040" w:rsidP="00254193">
      <w:pPr>
        <w:pStyle w:val="ListParagraph"/>
        <w:numPr>
          <w:ilvl w:val="0"/>
          <w:numId w:val="50"/>
        </w:numPr>
        <w:jc w:val="both"/>
        <w:rPr>
          <w:lang w:val="en-GB" w:eastAsia="zh-CN"/>
        </w:rPr>
      </w:pPr>
      <w:r>
        <w:rPr>
          <w:lang w:val="en-GB" w:eastAsia="zh-CN"/>
        </w:rPr>
        <w:t>mPDCCH only – UE attempts to decoding within the 1.4 MHz narrowband but no grant decoded</w:t>
      </w:r>
    </w:p>
    <w:p w14:paraId="52CA88EE" w14:textId="73A1D021" w:rsidR="00F14488" w:rsidRDefault="00D05040" w:rsidP="00254193">
      <w:pPr>
        <w:jc w:val="both"/>
        <w:rPr>
          <w:lang w:val="en-GB" w:eastAsia="zh-CN"/>
        </w:rPr>
      </w:pPr>
      <w:r>
        <w:rPr>
          <w:lang w:val="en-GB" w:eastAsia="zh-CN"/>
        </w:rPr>
        <w:t xml:space="preserve">Based on field test data and lab simulation it was observed that </w:t>
      </w:r>
      <w:r w:rsidR="00F14488">
        <w:rPr>
          <w:lang w:val="en-GB" w:eastAsia="zh-CN"/>
        </w:rPr>
        <w:t xml:space="preserve">a UE camped in </w:t>
      </w:r>
      <w:r w:rsidR="00140B75">
        <w:rPr>
          <w:lang w:val="en-GB" w:eastAsia="zh-CN"/>
        </w:rPr>
        <w:t>BR mode</w:t>
      </w:r>
      <w:r w:rsidR="00F14488">
        <w:rPr>
          <w:lang w:val="en-GB" w:eastAsia="zh-CN"/>
        </w:rPr>
        <w:t xml:space="preserve"> compared to </w:t>
      </w:r>
      <w:r w:rsidR="00140B75">
        <w:rPr>
          <w:lang w:val="en-GB" w:eastAsia="zh-CN"/>
        </w:rPr>
        <w:t>normal mode</w:t>
      </w:r>
      <w:r w:rsidR="00F14488">
        <w:rPr>
          <w:lang w:val="en-GB" w:eastAsia="zh-CN"/>
        </w:rPr>
        <w:t xml:space="preserve"> </w:t>
      </w:r>
      <w:r w:rsidR="002325D8">
        <w:rPr>
          <w:lang w:val="en-GB" w:eastAsia="zh-CN"/>
        </w:rPr>
        <w:t>achieves</w:t>
      </w:r>
      <w:r w:rsidR="00A00905">
        <w:rPr>
          <w:lang w:val="en-GB" w:eastAsia="zh-CN"/>
        </w:rPr>
        <w:t xml:space="preserve"> 13</w:t>
      </w:r>
      <w:r w:rsidR="00F14488">
        <w:rPr>
          <w:lang w:val="en-GB" w:eastAsia="zh-CN"/>
        </w:rPr>
        <w:t>% power savings. This is especially useful for power limited devices.</w:t>
      </w:r>
    </w:p>
    <w:p w14:paraId="4FD1701C" w14:textId="01D97A13" w:rsidR="00F14488" w:rsidRDefault="001E1586" w:rsidP="00DB17A3">
      <w:r w:rsidRPr="0015193A">
        <w:rPr>
          <w:b/>
          <w:bCs/>
        </w:rPr>
        <w:t>Observat</w:t>
      </w:r>
      <w:r>
        <w:rPr>
          <w:b/>
          <w:bCs/>
        </w:rPr>
        <w:t>i</w:t>
      </w:r>
      <w:r w:rsidRPr="0015193A">
        <w:rPr>
          <w:b/>
          <w:bCs/>
        </w:rPr>
        <w:t xml:space="preserve">on </w:t>
      </w:r>
      <w:r>
        <w:rPr>
          <w:b/>
          <w:bCs/>
        </w:rPr>
        <w:t>2</w:t>
      </w:r>
      <w:r>
        <w:t xml:space="preserve">: UEs camping in </w:t>
      </w:r>
      <w:r w:rsidR="00140B75">
        <w:t>BR mode compared to normal mode</w:t>
      </w:r>
      <w:r>
        <w:t xml:space="preserve"> on an average save about 13% of power, resulting in increased battery performance.</w:t>
      </w:r>
    </w:p>
    <w:p w14:paraId="57AD7C71" w14:textId="091B8FBC" w:rsidR="001E1586" w:rsidRDefault="001E1586" w:rsidP="00DB17A3">
      <w:pPr>
        <w:rPr>
          <w:lang w:val="en-GB" w:eastAsia="zh-CN"/>
        </w:rPr>
      </w:pPr>
      <w:r w:rsidRPr="001E1586">
        <w:rPr>
          <w:b/>
          <w:bCs/>
        </w:rPr>
        <w:t>Proposal 1:</w:t>
      </w:r>
      <w:r>
        <w:t xml:space="preserve"> The current (pre-REL16) CE mode behavior should be carried over for REL16, wherein a REL16 non-BL UE should be allowed to camp in a cell in BR mode, even if it satisfies the S criteria for normal </w:t>
      </w:r>
      <w:r w:rsidR="00FE7F8A">
        <w:t>coverage.</w:t>
      </w:r>
    </w:p>
    <w:p w14:paraId="3290FE9A" w14:textId="77777777" w:rsidR="00C8780A" w:rsidRPr="00A52051" w:rsidRDefault="00C8780A" w:rsidP="00DB17A3">
      <w:pPr>
        <w:rPr>
          <w:lang w:val="en-GB" w:eastAsia="zh-CN"/>
        </w:rPr>
      </w:pPr>
    </w:p>
    <w:p w14:paraId="5E650D32" w14:textId="77777777" w:rsidR="009D725A" w:rsidRDefault="009D725A" w:rsidP="009D725A">
      <w:pPr>
        <w:pStyle w:val="Heading1"/>
        <w:jc w:val="both"/>
      </w:pPr>
      <w:bookmarkStart w:id="2" w:name="_Toc242573360"/>
      <w:r>
        <w:t>Summary</w:t>
      </w:r>
      <w:bookmarkEnd w:id="2"/>
    </w:p>
    <w:p w14:paraId="65B81F03" w14:textId="5235D88A" w:rsidR="001659F2" w:rsidRDefault="0015193A" w:rsidP="00863E5D">
      <w:pPr>
        <w:jc w:val="both"/>
      </w:pPr>
      <w:bookmarkStart w:id="3" w:name="_Toc242573361"/>
      <w:r w:rsidRPr="0015193A">
        <w:rPr>
          <w:b/>
          <w:bCs/>
        </w:rPr>
        <w:t>Observat</w:t>
      </w:r>
      <w:r>
        <w:rPr>
          <w:b/>
          <w:bCs/>
        </w:rPr>
        <w:t>i</w:t>
      </w:r>
      <w:r w:rsidRPr="0015193A">
        <w:rPr>
          <w:b/>
          <w:bCs/>
        </w:rPr>
        <w:t>on 1</w:t>
      </w:r>
      <w:r>
        <w:t xml:space="preserve">: NW resource allocation over 6 or less PRBs seems to be the most preferred configuration in a majority of UL </w:t>
      </w:r>
      <w:r w:rsidR="00B250A0">
        <w:t xml:space="preserve">(85%) </w:t>
      </w:r>
      <w:r>
        <w:t>and DL</w:t>
      </w:r>
      <w:r w:rsidR="00B250A0">
        <w:t xml:space="preserve"> (50%)</w:t>
      </w:r>
      <w:r>
        <w:t xml:space="preserve"> deployments. </w:t>
      </w:r>
      <w:r w:rsidR="00B250A0">
        <w:t>Continuing with the same deployment o</w:t>
      </w:r>
      <w:r w:rsidR="004E41C5">
        <w:t>ver a smaller carrier bandwidth will not affect</w:t>
      </w:r>
      <w:r w:rsidR="00B250A0">
        <w:t xml:space="preserve"> any UE service requirements.</w:t>
      </w:r>
    </w:p>
    <w:p w14:paraId="3CE02896" w14:textId="21E808DA" w:rsidR="004A7727" w:rsidRDefault="0015193A" w:rsidP="00863E5D">
      <w:pPr>
        <w:jc w:val="both"/>
      </w:pPr>
      <w:r>
        <w:rPr>
          <w:b/>
          <w:lang w:val="en-GB" w:eastAsia="zh-CN"/>
        </w:rPr>
        <w:t xml:space="preserve">Observation 2: </w:t>
      </w:r>
      <w:r w:rsidR="001E1586">
        <w:t xml:space="preserve">UEs camping in </w:t>
      </w:r>
      <w:r w:rsidR="00140B75">
        <w:t xml:space="preserve">BR mode compared </w:t>
      </w:r>
      <w:r w:rsidR="004E41C5">
        <w:t>to</w:t>
      </w:r>
      <w:r w:rsidR="00140B75">
        <w:t xml:space="preserve"> normal mode </w:t>
      </w:r>
      <w:r w:rsidR="001E1586">
        <w:t>on an average save about 13% of power, resulting in increased battery performance.</w:t>
      </w:r>
    </w:p>
    <w:p w14:paraId="1986BED7" w14:textId="74CCFB2D" w:rsidR="001E1586" w:rsidRDefault="001E1586" w:rsidP="00863E5D">
      <w:pPr>
        <w:jc w:val="both"/>
        <w:rPr>
          <w:lang w:val="en-GB" w:eastAsia="zh-CN"/>
        </w:rPr>
      </w:pPr>
      <w:r w:rsidRPr="001E1586">
        <w:rPr>
          <w:b/>
          <w:bCs/>
          <w:lang w:eastAsia="zh-CN"/>
        </w:rPr>
        <w:t>Proposal 1:</w:t>
      </w:r>
      <w:r w:rsidRPr="001E1586">
        <w:rPr>
          <w:lang w:eastAsia="zh-CN"/>
        </w:rPr>
        <w:t xml:space="preserve"> The current (pre-REL16) CE mode behavior should be carried over for REL16, wherein a REL16 non-BL UE should be allowed to camp in a cell in BR mode, even if it satisfies the S criteria for normal coverage.</w:t>
      </w:r>
    </w:p>
    <w:p w14:paraId="5A15FD36" w14:textId="77777777" w:rsidR="009D725A" w:rsidRDefault="009D725A" w:rsidP="009D725A">
      <w:pPr>
        <w:pStyle w:val="Heading1"/>
        <w:rPr>
          <w:noProof/>
        </w:rPr>
      </w:pPr>
      <w:r>
        <w:rPr>
          <w:noProof/>
        </w:rPr>
        <w:t>References</w:t>
      </w:r>
      <w:bookmarkEnd w:id="3"/>
    </w:p>
    <w:p w14:paraId="2268ADA2" w14:textId="64519466" w:rsidR="00884752" w:rsidRDefault="00BE522A" w:rsidP="006E3D9B">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BC5A41" w:rsidRPr="00BC5A41">
          <w:rPr>
            <w:rStyle w:val="Hyperlink"/>
            <w:lang w:val="en-GB"/>
          </w:rPr>
          <w:t>R2-1913572</w:t>
        </w:r>
      </w:hyperlink>
      <w:r w:rsidR="00BC5A41">
        <w:rPr>
          <w:lang w:val="en-GB"/>
        </w:rPr>
        <w:t xml:space="preserve"> </w:t>
      </w:r>
      <w:r w:rsidR="00BC5A41" w:rsidRPr="00487074">
        <w:rPr>
          <w:noProof/>
        </w:rPr>
        <w:t xml:space="preserve">Enhancements to idle mode mobility for non-BL </w:t>
      </w:r>
      <w:r w:rsidR="00A023A2" w:rsidRPr="00487074">
        <w:rPr>
          <w:noProof/>
        </w:rPr>
        <w:t>UEs</w:t>
      </w:r>
      <w:r w:rsidR="00A023A2">
        <w:rPr>
          <w:rFonts w:cs="Arial"/>
          <w:sz w:val="16"/>
          <w:szCs w:val="16"/>
          <w:lang w:val="de-DE"/>
        </w:rPr>
        <w:t>,</w:t>
      </w:r>
      <w:r w:rsidR="00BC5A41">
        <w:rPr>
          <w:rFonts w:cs="Arial"/>
          <w:sz w:val="16"/>
          <w:szCs w:val="16"/>
          <w:lang w:val="de-DE"/>
        </w:rPr>
        <w:t xml:space="preserve"> </w:t>
      </w:r>
      <w:r w:rsidR="00BC5A41" w:rsidRPr="00487074">
        <w:rPr>
          <w:noProof/>
        </w:rPr>
        <w:t xml:space="preserve">Huawei, </w:t>
      </w:r>
      <w:r w:rsidR="004E41C5" w:rsidRPr="00487074">
        <w:rPr>
          <w:noProof/>
        </w:rPr>
        <w:t>HiSilicon</w:t>
      </w:r>
      <w:r w:rsidR="004E41C5">
        <w:rPr>
          <w:rFonts w:cs="Arial"/>
          <w:sz w:val="16"/>
          <w:szCs w:val="16"/>
          <w:lang w:val="de-DE"/>
        </w:rPr>
        <w:t xml:space="preserve"> RAN</w:t>
      </w:r>
      <w:r w:rsidR="00BC5A41">
        <w:rPr>
          <w:rFonts w:cs="Arial"/>
          <w:sz w:val="16"/>
          <w:szCs w:val="16"/>
          <w:lang w:val="de-DE"/>
        </w:rPr>
        <w:t>2#107bis</w:t>
      </w:r>
    </w:p>
    <w:p w14:paraId="4A8EE984" w14:textId="26BE30FB" w:rsidR="00682662" w:rsidRDefault="00682662" w:rsidP="001E1586">
      <w:pPr>
        <w:overflowPunct w:val="0"/>
        <w:autoSpaceDE w:val="0"/>
        <w:autoSpaceDN w:val="0"/>
        <w:adjustRightInd w:val="0"/>
        <w:spacing w:before="60" w:after="60"/>
        <w:ind w:left="357"/>
        <w:textAlignment w:val="baseline"/>
        <w:rPr>
          <w:rFonts w:cs="Arial"/>
          <w:sz w:val="16"/>
          <w:szCs w:val="16"/>
          <w:lang w:val="de-DE"/>
        </w:rPr>
      </w:pPr>
    </w:p>
    <w:sectPr w:rsidR="00682662"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01CAC" w14:textId="77777777" w:rsidR="00BE522A" w:rsidRDefault="00BE522A">
      <w:r>
        <w:separator/>
      </w:r>
    </w:p>
  </w:endnote>
  <w:endnote w:type="continuationSeparator" w:id="0">
    <w:p w14:paraId="681E4C1F" w14:textId="77777777" w:rsidR="00BE522A" w:rsidRDefault="00BE5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Latha">
    <w:panose1 w:val="020B0604020202020204"/>
    <w:charset w:val="00"/>
    <w:family w:val="auto"/>
    <w:pitch w:val="variable"/>
    <w:sig w:usb0="00100003" w:usb1="00000000" w:usb2="00000000" w:usb3="00000000" w:csb0="00000001"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196B9" w14:textId="77777777" w:rsidR="00BE522A" w:rsidRDefault="00BE522A">
      <w:r>
        <w:separator/>
      </w:r>
    </w:p>
  </w:footnote>
  <w:footnote w:type="continuationSeparator" w:id="0">
    <w:p w14:paraId="166DDAAB" w14:textId="77777777" w:rsidR="00BE522A" w:rsidRDefault="00BE522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3B8BDA8"/>
    <w:lvl w:ilvl="0">
      <w:start w:val="1"/>
      <w:numFmt w:val="decimal"/>
      <w:lvlText w:val="%1."/>
      <w:lvlJc w:val="left"/>
      <w:pPr>
        <w:tabs>
          <w:tab w:val="num" w:pos="1492"/>
        </w:tabs>
        <w:ind w:left="1492" w:hanging="360"/>
      </w:pPr>
    </w:lvl>
  </w:abstractNum>
  <w:abstractNum w:abstractNumId="1">
    <w:nsid w:val="FFFFFF7D"/>
    <w:multiLevelType w:val="singleLevel"/>
    <w:tmpl w:val="1CC8951E"/>
    <w:lvl w:ilvl="0">
      <w:start w:val="1"/>
      <w:numFmt w:val="decimal"/>
      <w:lvlText w:val="%1."/>
      <w:lvlJc w:val="left"/>
      <w:pPr>
        <w:tabs>
          <w:tab w:val="num" w:pos="1209"/>
        </w:tabs>
        <w:ind w:left="1209" w:hanging="360"/>
      </w:pPr>
    </w:lvl>
  </w:abstractNum>
  <w:abstractNum w:abstractNumId="2">
    <w:nsid w:val="FFFFFF7E"/>
    <w:multiLevelType w:val="singleLevel"/>
    <w:tmpl w:val="F20C685C"/>
    <w:lvl w:ilvl="0">
      <w:start w:val="1"/>
      <w:numFmt w:val="decimal"/>
      <w:lvlText w:val="%1."/>
      <w:lvlJc w:val="left"/>
      <w:pPr>
        <w:tabs>
          <w:tab w:val="num" w:pos="926"/>
        </w:tabs>
        <w:ind w:left="926" w:hanging="360"/>
      </w:pPr>
    </w:lvl>
  </w:abstractNum>
  <w:abstractNum w:abstractNumId="3">
    <w:nsid w:val="FFFFFF7F"/>
    <w:multiLevelType w:val="singleLevel"/>
    <w:tmpl w:val="E93662D4"/>
    <w:lvl w:ilvl="0">
      <w:start w:val="1"/>
      <w:numFmt w:val="decimal"/>
      <w:lvlText w:val="%1."/>
      <w:lvlJc w:val="left"/>
      <w:pPr>
        <w:tabs>
          <w:tab w:val="num" w:pos="643"/>
        </w:tabs>
        <w:ind w:left="643" w:hanging="360"/>
      </w:pPr>
    </w:lvl>
  </w:abstractNum>
  <w:abstractNum w:abstractNumId="4">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7B028F6"/>
    <w:lvl w:ilvl="0">
      <w:start w:val="1"/>
      <w:numFmt w:val="decimal"/>
      <w:lvlText w:val="%1."/>
      <w:lvlJc w:val="left"/>
      <w:pPr>
        <w:tabs>
          <w:tab w:val="num" w:pos="360"/>
        </w:tabs>
        <w:ind w:left="360" w:hanging="360"/>
      </w:pPr>
    </w:lvl>
  </w:abstractNum>
  <w:abstractNum w:abstractNumId="9">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850199E"/>
    <w:multiLevelType w:val="hybridMultilevel"/>
    <w:tmpl w:val="FE0E0E4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DA3B20"/>
    <w:multiLevelType w:val="hybridMultilevel"/>
    <w:tmpl w:val="FD3EE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1DFD1EFF"/>
    <w:multiLevelType w:val="hybridMultilevel"/>
    <w:tmpl w:val="AC3C1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06D7D80"/>
    <w:multiLevelType w:val="hybridMultilevel"/>
    <w:tmpl w:val="D2F0EF62"/>
    <w:lvl w:ilvl="0" w:tplc="49F4796A">
      <w:start w:val="1"/>
      <w:numFmt w:val="bullet"/>
      <w:lvlText w:val="•"/>
      <w:lvlJc w:val="left"/>
      <w:pPr>
        <w:tabs>
          <w:tab w:val="num" w:pos="720"/>
        </w:tabs>
        <w:ind w:left="720" w:hanging="360"/>
      </w:pPr>
      <w:rPr>
        <w:rFonts w:ascii="Microsoft Sans Serif" w:hAnsi="Microsoft Sans Serif" w:hint="default"/>
      </w:rPr>
    </w:lvl>
    <w:lvl w:ilvl="1" w:tplc="4790ECE6" w:tentative="1">
      <w:start w:val="1"/>
      <w:numFmt w:val="bullet"/>
      <w:lvlText w:val="•"/>
      <w:lvlJc w:val="left"/>
      <w:pPr>
        <w:tabs>
          <w:tab w:val="num" w:pos="1440"/>
        </w:tabs>
        <w:ind w:left="1440" w:hanging="360"/>
      </w:pPr>
      <w:rPr>
        <w:rFonts w:ascii="Microsoft Sans Serif" w:hAnsi="Microsoft Sans Serif" w:hint="default"/>
      </w:rPr>
    </w:lvl>
    <w:lvl w:ilvl="2" w:tplc="F68AB526">
      <w:start w:val="1"/>
      <w:numFmt w:val="bullet"/>
      <w:lvlText w:val="•"/>
      <w:lvlJc w:val="left"/>
      <w:pPr>
        <w:tabs>
          <w:tab w:val="num" w:pos="2160"/>
        </w:tabs>
        <w:ind w:left="2160" w:hanging="360"/>
      </w:pPr>
      <w:rPr>
        <w:rFonts w:ascii="Microsoft Sans Serif" w:hAnsi="Microsoft Sans Serif" w:hint="default"/>
      </w:rPr>
    </w:lvl>
    <w:lvl w:ilvl="3" w:tplc="1E38BE80" w:tentative="1">
      <w:start w:val="1"/>
      <w:numFmt w:val="bullet"/>
      <w:lvlText w:val="•"/>
      <w:lvlJc w:val="left"/>
      <w:pPr>
        <w:tabs>
          <w:tab w:val="num" w:pos="2880"/>
        </w:tabs>
        <w:ind w:left="2880" w:hanging="360"/>
      </w:pPr>
      <w:rPr>
        <w:rFonts w:ascii="Microsoft Sans Serif" w:hAnsi="Microsoft Sans Serif" w:hint="default"/>
      </w:rPr>
    </w:lvl>
    <w:lvl w:ilvl="4" w:tplc="EACC523E" w:tentative="1">
      <w:start w:val="1"/>
      <w:numFmt w:val="bullet"/>
      <w:lvlText w:val="•"/>
      <w:lvlJc w:val="left"/>
      <w:pPr>
        <w:tabs>
          <w:tab w:val="num" w:pos="3600"/>
        </w:tabs>
        <w:ind w:left="3600" w:hanging="360"/>
      </w:pPr>
      <w:rPr>
        <w:rFonts w:ascii="Microsoft Sans Serif" w:hAnsi="Microsoft Sans Serif" w:hint="default"/>
      </w:rPr>
    </w:lvl>
    <w:lvl w:ilvl="5" w:tplc="6CCEAC1C" w:tentative="1">
      <w:start w:val="1"/>
      <w:numFmt w:val="bullet"/>
      <w:lvlText w:val="•"/>
      <w:lvlJc w:val="left"/>
      <w:pPr>
        <w:tabs>
          <w:tab w:val="num" w:pos="4320"/>
        </w:tabs>
        <w:ind w:left="4320" w:hanging="360"/>
      </w:pPr>
      <w:rPr>
        <w:rFonts w:ascii="Microsoft Sans Serif" w:hAnsi="Microsoft Sans Serif" w:hint="default"/>
      </w:rPr>
    </w:lvl>
    <w:lvl w:ilvl="6" w:tplc="24205D8A" w:tentative="1">
      <w:start w:val="1"/>
      <w:numFmt w:val="bullet"/>
      <w:lvlText w:val="•"/>
      <w:lvlJc w:val="left"/>
      <w:pPr>
        <w:tabs>
          <w:tab w:val="num" w:pos="5040"/>
        </w:tabs>
        <w:ind w:left="5040" w:hanging="360"/>
      </w:pPr>
      <w:rPr>
        <w:rFonts w:ascii="Microsoft Sans Serif" w:hAnsi="Microsoft Sans Serif" w:hint="default"/>
      </w:rPr>
    </w:lvl>
    <w:lvl w:ilvl="7" w:tplc="E1FCFFB2" w:tentative="1">
      <w:start w:val="1"/>
      <w:numFmt w:val="bullet"/>
      <w:lvlText w:val="•"/>
      <w:lvlJc w:val="left"/>
      <w:pPr>
        <w:tabs>
          <w:tab w:val="num" w:pos="5760"/>
        </w:tabs>
        <w:ind w:left="5760" w:hanging="360"/>
      </w:pPr>
      <w:rPr>
        <w:rFonts w:ascii="Microsoft Sans Serif" w:hAnsi="Microsoft Sans Serif" w:hint="default"/>
      </w:rPr>
    </w:lvl>
    <w:lvl w:ilvl="8" w:tplc="D640F492"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nsid w:val="52607B7D"/>
    <w:multiLevelType w:val="hybridMultilevel"/>
    <w:tmpl w:val="8A7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7AC1B90"/>
    <w:multiLevelType w:val="hybridMultilevel"/>
    <w:tmpl w:val="4F303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525247"/>
    <w:multiLevelType w:val="hybridMultilevel"/>
    <w:tmpl w:val="64DA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8">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39"/>
  </w:num>
  <w:num w:numId="3">
    <w:abstractNumId w:val="18"/>
  </w:num>
  <w:num w:numId="4">
    <w:abstractNumId w:val="11"/>
  </w:num>
  <w:num w:numId="5">
    <w:abstractNumId w:val="41"/>
  </w:num>
  <w:num w:numId="6">
    <w:abstractNumId w:val="23"/>
  </w:num>
  <w:num w:numId="7">
    <w:abstractNumId w:val="36"/>
  </w:num>
  <w:num w:numId="8">
    <w:abstractNumId w:val="43"/>
  </w:num>
  <w:num w:numId="9">
    <w:abstractNumId w:val="13"/>
  </w:num>
  <w:num w:numId="10">
    <w:abstractNumId w:val="22"/>
  </w:num>
  <w:num w:numId="11">
    <w:abstractNumId w:val="17"/>
  </w:num>
  <w:num w:numId="12">
    <w:abstractNumId w:val="48"/>
  </w:num>
  <w:num w:numId="13">
    <w:abstractNumId w:val="15"/>
  </w:num>
  <w:num w:numId="14">
    <w:abstractNumId w:val="25"/>
  </w:num>
  <w:num w:numId="15">
    <w:abstractNumId w:val="42"/>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4"/>
  </w:num>
  <w:num w:numId="28">
    <w:abstractNumId w:val="16"/>
  </w:num>
  <w:num w:numId="29">
    <w:abstractNumId w:val="44"/>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7"/>
  </w:num>
  <w:num w:numId="32">
    <w:abstractNumId w:val="3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1"/>
  </w:num>
  <w:num w:numId="36">
    <w:abstractNumId w:val="30"/>
  </w:num>
  <w:num w:numId="37">
    <w:abstractNumId w:val="33"/>
  </w:num>
  <w:num w:numId="38">
    <w:abstractNumId w:val="35"/>
  </w:num>
  <w:num w:numId="39">
    <w:abstractNumId w:val="47"/>
  </w:num>
  <w:num w:numId="40">
    <w:abstractNumId w:val="38"/>
  </w:num>
  <w:num w:numId="41">
    <w:abstractNumId w:val="21"/>
  </w:num>
  <w:num w:numId="42">
    <w:abstractNumId w:val="14"/>
  </w:num>
  <w:num w:numId="43">
    <w:abstractNumId w:val="37"/>
  </w:num>
  <w:num w:numId="44">
    <w:abstractNumId w:val="40"/>
  </w:num>
  <w:num w:numId="45">
    <w:abstractNumId w:val="24"/>
  </w:num>
  <w:num w:numId="46">
    <w:abstractNumId w:val="28"/>
  </w:num>
  <w:num w:numId="47">
    <w:abstractNumId w:val="19"/>
  </w:num>
  <w:num w:numId="48">
    <w:abstractNumId w:val="45"/>
  </w:num>
  <w:num w:numId="49">
    <w:abstractNumId w:val="36"/>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5744"/>
    <w:rsid w:val="001D5EC7"/>
    <w:rsid w:val="001E1586"/>
    <w:rsid w:val="001E43CB"/>
    <w:rsid w:val="001E6A9C"/>
    <w:rsid w:val="001F13E9"/>
    <w:rsid w:val="001F5CA1"/>
    <w:rsid w:val="002013B3"/>
    <w:rsid w:val="002114D0"/>
    <w:rsid w:val="00211629"/>
    <w:rsid w:val="00212767"/>
    <w:rsid w:val="002129BC"/>
    <w:rsid w:val="00215AB2"/>
    <w:rsid w:val="00217ECC"/>
    <w:rsid w:val="00225E2B"/>
    <w:rsid w:val="00226C55"/>
    <w:rsid w:val="002325D8"/>
    <w:rsid w:val="0023429F"/>
    <w:rsid w:val="00236881"/>
    <w:rsid w:val="00241371"/>
    <w:rsid w:val="00241971"/>
    <w:rsid w:val="00244267"/>
    <w:rsid w:val="002500A8"/>
    <w:rsid w:val="00250587"/>
    <w:rsid w:val="00254193"/>
    <w:rsid w:val="00255132"/>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0FEA"/>
    <w:rsid w:val="002A16F8"/>
    <w:rsid w:val="002A2E7B"/>
    <w:rsid w:val="002A70F0"/>
    <w:rsid w:val="002B1EE7"/>
    <w:rsid w:val="002C1EF6"/>
    <w:rsid w:val="002C3AAC"/>
    <w:rsid w:val="002C4082"/>
    <w:rsid w:val="002C6AEE"/>
    <w:rsid w:val="002E0414"/>
    <w:rsid w:val="002E083F"/>
    <w:rsid w:val="002E1A79"/>
    <w:rsid w:val="002E4760"/>
    <w:rsid w:val="002F3825"/>
    <w:rsid w:val="002F4578"/>
    <w:rsid w:val="002F703D"/>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7733"/>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2878"/>
    <w:rsid w:val="0048287D"/>
    <w:rsid w:val="0048475F"/>
    <w:rsid w:val="00484B14"/>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3DF"/>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A2575"/>
    <w:rsid w:val="006A3181"/>
    <w:rsid w:val="006A39AE"/>
    <w:rsid w:val="006A6639"/>
    <w:rsid w:val="006A696F"/>
    <w:rsid w:val="006B2678"/>
    <w:rsid w:val="006B5B69"/>
    <w:rsid w:val="006B5BD4"/>
    <w:rsid w:val="006B6B15"/>
    <w:rsid w:val="006C20C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76A8"/>
    <w:rsid w:val="00863E5D"/>
    <w:rsid w:val="00864238"/>
    <w:rsid w:val="008751B4"/>
    <w:rsid w:val="00876ABB"/>
    <w:rsid w:val="00882664"/>
    <w:rsid w:val="00884752"/>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78DC"/>
    <w:rsid w:val="008F208D"/>
    <w:rsid w:val="008F5EB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7330"/>
    <w:rsid w:val="009C0ACC"/>
    <w:rsid w:val="009C38E7"/>
    <w:rsid w:val="009C6E39"/>
    <w:rsid w:val="009D0E82"/>
    <w:rsid w:val="009D11CF"/>
    <w:rsid w:val="009D3D40"/>
    <w:rsid w:val="009D5990"/>
    <w:rsid w:val="009D6008"/>
    <w:rsid w:val="009D725A"/>
    <w:rsid w:val="009E744B"/>
    <w:rsid w:val="009E7C72"/>
    <w:rsid w:val="009F02FA"/>
    <w:rsid w:val="009F139E"/>
    <w:rsid w:val="009F4449"/>
    <w:rsid w:val="009F567F"/>
    <w:rsid w:val="009F751D"/>
    <w:rsid w:val="00A00905"/>
    <w:rsid w:val="00A023A2"/>
    <w:rsid w:val="00A029DE"/>
    <w:rsid w:val="00A02C31"/>
    <w:rsid w:val="00A04AFF"/>
    <w:rsid w:val="00A074E8"/>
    <w:rsid w:val="00A10B08"/>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5EB7"/>
    <w:rsid w:val="00AF6208"/>
    <w:rsid w:val="00AF71DD"/>
    <w:rsid w:val="00B04F39"/>
    <w:rsid w:val="00B060D2"/>
    <w:rsid w:val="00B1080E"/>
    <w:rsid w:val="00B13B51"/>
    <w:rsid w:val="00B250A0"/>
    <w:rsid w:val="00B250D5"/>
    <w:rsid w:val="00B26CFB"/>
    <w:rsid w:val="00B27B85"/>
    <w:rsid w:val="00B3261D"/>
    <w:rsid w:val="00B32D49"/>
    <w:rsid w:val="00B4387D"/>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39E9"/>
    <w:rsid w:val="00BC02B0"/>
    <w:rsid w:val="00BC5A41"/>
    <w:rsid w:val="00BC740F"/>
    <w:rsid w:val="00BD0CC3"/>
    <w:rsid w:val="00BD12AC"/>
    <w:rsid w:val="00BD34F9"/>
    <w:rsid w:val="00BD57B1"/>
    <w:rsid w:val="00BD6439"/>
    <w:rsid w:val="00BD64D2"/>
    <w:rsid w:val="00BE4B38"/>
    <w:rsid w:val="00BE4D1B"/>
    <w:rsid w:val="00BE522A"/>
    <w:rsid w:val="00BF69E7"/>
    <w:rsid w:val="00BF7D26"/>
    <w:rsid w:val="00C02D53"/>
    <w:rsid w:val="00C04BF5"/>
    <w:rsid w:val="00C04DC6"/>
    <w:rsid w:val="00C126DD"/>
    <w:rsid w:val="00C145B6"/>
    <w:rsid w:val="00C20CA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5057"/>
    <w:rsid w:val="00D87F0D"/>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58C9"/>
    <w:rsid w:val="00E60BBB"/>
    <w:rsid w:val="00E63B32"/>
    <w:rsid w:val="00E64E02"/>
    <w:rsid w:val="00E6616F"/>
    <w:rsid w:val="00E735C3"/>
    <w:rsid w:val="00E76059"/>
    <w:rsid w:val="00E852A2"/>
    <w:rsid w:val="00E87830"/>
    <w:rsid w:val="00E92C32"/>
    <w:rsid w:val="00E95697"/>
    <w:rsid w:val="00E95D22"/>
    <w:rsid w:val="00E97FBD"/>
    <w:rsid w:val="00EA2B3C"/>
    <w:rsid w:val="00EA66DC"/>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A057E"/>
    <w:rsid w:val="00FA1742"/>
    <w:rsid w:val="00FA239A"/>
    <w:rsid w:val="00FA27C0"/>
    <w:rsid w:val="00FA3245"/>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48"/>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ftp.3gpp.org/tsg_ran/WG2_RL2/TSGR2_107bis/Docs/R2-19135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607</Words>
  <Characters>3461</Characters>
  <Application>Microsoft Macintosh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9</cp:revision>
  <cp:lastPrinted>2009-10-21T14:47:00Z</cp:lastPrinted>
  <dcterms:created xsi:type="dcterms:W3CDTF">2019-11-07T17:53:00Z</dcterms:created>
  <dcterms:modified xsi:type="dcterms:W3CDTF">2019-11-08T00:48:00Z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