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C7D11E" w14:textId="36C8B462" w:rsidR="004D52AC" w:rsidRPr="00CB3E1A" w:rsidRDefault="007A1926" w:rsidP="004D52AC">
      <w:pPr>
        <w:pStyle w:val="Header"/>
        <w:widowControl w:val="0"/>
        <w:rPr>
          <w:rFonts w:ascii="Arial" w:hAnsi="Arial" w:cs="Arial"/>
          <w:b/>
          <w:bCs/>
          <w:lang w:eastAsia="zh-CN"/>
        </w:rPr>
      </w:pPr>
      <w:bookmarkStart w:id="0" w:name="_GoBack"/>
      <w:bookmarkEnd w:id="0"/>
      <w:r w:rsidRPr="00072EA5">
        <w:rPr>
          <w:rFonts w:ascii="Arial" w:hAnsi="Arial" w:cs="Arial"/>
          <w:b/>
          <w:bCs/>
          <w:lang w:val="en-GB"/>
        </w:rPr>
        <w:t xml:space="preserve">3GPP TSG RAN WG1 </w:t>
      </w:r>
      <w:r>
        <w:rPr>
          <w:rFonts w:ascii="Arial" w:hAnsi="Arial" w:cs="Arial"/>
          <w:b/>
          <w:bCs/>
          <w:lang w:val="en-GB"/>
        </w:rPr>
        <w:t>Ad-Hoc Meeting 1901</w:t>
      </w:r>
      <w:r w:rsidR="004D52AC">
        <w:rPr>
          <w:rFonts w:ascii="Arial" w:hAnsi="Arial" w:cs="Arial"/>
          <w:b/>
          <w:bCs/>
        </w:rPr>
        <w:t xml:space="preserve">                                                </w:t>
      </w:r>
      <w:r w:rsidR="004D52AC">
        <w:rPr>
          <w:rFonts w:ascii="Arial" w:hAnsi="Arial" w:cs="Arial" w:hint="eastAsia"/>
          <w:b/>
          <w:bCs/>
          <w:lang w:eastAsia="zh-CN"/>
        </w:rPr>
        <w:t xml:space="preserve">             </w:t>
      </w:r>
      <w:r w:rsidR="004D52AC" w:rsidRPr="007B43AE">
        <w:rPr>
          <w:rFonts w:ascii="Arial" w:hAnsi="Arial" w:cs="Arial"/>
          <w:b/>
          <w:bCs/>
        </w:rPr>
        <w:t>R1-</w:t>
      </w:r>
      <w:r w:rsidR="00A62585" w:rsidRPr="007B43AE">
        <w:rPr>
          <w:rFonts w:ascii="Arial" w:hAnsi="Arial" w:cs="Arial"/>
          <w:b/>
          <w:bCs/>
        </w:rPr>
        <w:t>1</w:t>
      </w:r>
      <w:r>
        <w:rPr>
          <w:rFonts w:ascii="Arial" w:hAnsi="Arial" w:cs="Arial"/>
          <w:b/>
          <w:bCs/>
        </w:rPr>
        <w:t>9</w:t>
      </w:r>
      <w:r w:rsidR="00087337">
        <w:rPr>
          <w:rFonts w:ascii="Arial" w:hAnsi="Arial" w:cs="Arial"/>
          <w:b/>
          <w:bCs/>
        </w:rPr>
        <w:t>01137</w:t>
      </w:r>
    </w:p>
    <w:p w14:paraId="5D565180" w14:textId="3168B37B" w:rsidR="005D55BC" w:rsidRPr="00111FEE" w:rsidRDefault="007A1926" w:rsidP="005D55BC">
      <w:pPr>
        <w:pStyle w:val="Header"/>
        <w:widowControl w:val="0"/>
        <w:rPr>
          <w:rFonts w:ascii="Arial" w:hAnsi="Arial" w:cs="Arial"/>
          <w:b/>
          <w:bCs/>
          <w:lang w:val="en-GB"/>
        </w:rPr>
      </w:pPr>
      <w:r w:rsidRPr="007A1926">
        <w:rPr>
          <w:rFonts w:ascii="Arial" w:eastAsia="MS Mincho" w:hAnsi="Arial" w:cs="Arial"/>
          <w:b/>
          <w:bCs/>
          <w:lang w:val="en-GB" w:eastAsia="ja-JP"/>
        </w:rPr>
        <w:t>Taipei, 21</w:t>
      </w:r>
      <w:r w:rsidRPr="007A1926">
        <w:rPr>
          <w:rFonts w:ascii="Arial" w:eastAsia="MS Mincho" w:hAnsi="Arial" w:cs="Arial"/>
          <w:b/>
          <w:bCs/>
          <w:vertAlign w:val="superscript"/>
          <w:lang w:val="en-GB" w:eastAsia="ja-JP"/>
        </w:rPr>
        <w:t>st</w:t>
      </w:r>
      <w:r w:rsidRPr="007A1926">
        <w:rPr>
          <w:rFonts w:ascii="Arial" w:eastAsia="MS Mincho" w:hAnsi="Arial" w:cs="Arial"/>
          <w:b/>
          <w:bCs/>
          <w:lang w:val="en-GB" w:eastAsia="ja-JP"/>
        </w:rPr>
        <w:t xml:space="preserve"> – 25</w:t>
      </w:r>
      <w:r w:rsidRPr="007A1926">
        <w:rPr>
          <w:rFonts w:ascii="Arial" w:eastAsia="MS Mincho" w:hAnsi="Arial" w:cs="Arial"/>
          <w:b/>
          <w:bCs/>
          <w:vertAlign w:val="superscript"/>
          <w:lang w:val="en-GB" w:eastAsia="ja-JP"/>
        </w:rPr>
        <w:t>th</w:t>
      </w:r>
      <w:r w:rsidRPr="007A1926">
        <w:rPr>
          <w:rFonts w:ascii="Arial" w:eastAsia="MS Mincho" w:hAnsi="Arial" w:cs="Arial"/>
          <w:b/>
          <w:bCs/>
          <w:lang w:val="en-GB" w:eastAsia="ja-JP"/>
        </w:rPr>
        <w:t xml:space="preserve"> January, 2019</w:t>
      </w:r>
    </w:p>
    <w:p w14:paraId="3C8F5F67"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634BCA75" w14:textId="3E7EB964"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79063A">
        <w:rPr>
          <w:rFonts w:ascii="Arial" w:hAnsi="Arial" w:cs="Arial"/>
          <w:b/>
          <w:bCs/>
          <w:szCs w:val="20"/>
          <w:lang w:val="en-GB" w:eastAsia="zh-CN"/>
        </w:rPr>
        <w:t>7.2.2.</w:t>
      </w:r>
      <w:r w:rsidR="007A1926">
        <w:rPr>
          <w:rFonts w:ascii="Arial" w:hAnsi="Arial" w:cs="Arial"/>
          <w:b/>
          <w:bCs/>
          <w:szCs w:val="20"/>
          <w:lang w:val="en-GB" w:eastAsia="zh-CN"/>
        </w:rPr>
        <w:t>2</w:t>
      </w:r>
      <w:r w:rsidR="0079063A">
        <w:rPr>
          <w:rFonts w:ascii="Arial" w:hAnsi="Arial" w:cs="Arial"/>
          <w:b/>
          <w:bCs/>
          <w:szCs w:val="20"/>
          <w:lang w:val="en-GB" w:eastAsia="zh-CN"/>
        </w:rPr>
        <w:t>.2</w:t>
      </w:r>
    </w:p>
    <w:p w14:paraId="6DA2D4C0"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14:paraId="1AC8B952" w14:textId="1D5AAE81"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DD40CB">
        <w:rPr>
          <w:rFonts w:ascii="Arial" w:hAnsi="Arial" w:cs="Arial"/>
          <w:b/>
          <w:bCs/>
          <w:szCs w:val="20"/>
          <w:lang w:val="en-GB" w:eastAsia="zh-CN"/>
        </w:rPr>
        <w:t xml:space="preserve">Diversity in </w:t>
      </w:r>
      <w:r w:rsidR="00663C14">
        <w:rPr>
          <w:rFonts w:ascii="Arial" w:hAnsi="Arial" w:cs="Arial"/>
          <w:b/>
          <w:bCs/>
          <w:szCs w:val="20"/>
          <w:lang w:val="en-GB" w:eastAsia="zh-CN"/>
        </w:rPr>
        <w:t xml:space="preserve">RACH </w:t>
      </w:r>
      <w:r w:rsidR="00DD40CB">
        <w:rPr>
          <w:rFonts w:ascii="Arial" w:hAnsi="Arial" w:cs="Arial"/>
          <w:b/>
          <w:bCs/>
          <w:szCs w:val="20"/>
          <w:lang w:val="en-GB" w:eastAsia="zh-CN"/>
        </w:rPr>
        <w:t>transmissions</w:t>
      </w:r>
    </w:p>
    <w:p w14:paraId="217A441A"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14:paraId="6A934D98" w14:textId="77777777" w:rsidR="00D7536D" w:rsidRPr="005821BE" w:rsidRDefault="004845AB" w:rsidP="00FE6E1F">
      <w:pPr>
        <w:pStyle w:val="Heading1"/>
      </w:pPr>
      <w:bookmarkStart w:id="1" w:name="_Ref124589705"/>
      <w:bookmarkStart w:id="2" w:name="_Ref129681862"/>
      <w:r w:rsidRPr="005821BE">
        <w:t>Introduction</w:t>
      </w:r>
      <w:bookmarkEnd w:id="1"/>
      <w:bookmarkEnd w:id="2"/>
    </w:p>
    <w:p w14:paraId="3014AA3E" w14:textId="11600918" w:rsidR="00AF73F5" w:rsidRPr="0000101E" w:rsidRDefault="005821BE" w:rsidP="00AF73F5">
      <w:pPr>
        <w:rPr>
          <w:lang w:val="en-GB" w:eastAsia="zh-CN"/>
        </w:rPr>
      </w:pPr>
      <w:r w:rsidRPr="009F5214">
        <w:rPr>
          <w:lang w:val="en-GB" w:eastAsia="zh-CN"/>
        </w:rPr>
        <w:t>In this document, we discuss random access in unlicensed spectrum</w:t>
      </w:r>
      <w:r w:rsidR="003F3A48">
        <w:rPr>
          <w:lang w:val="en-GB" w:eastAsia="zh-CN"/>
        </w:rPr>
        <w:t xml:space="preserve"> </w:t>
      </w:r>
      <w:r w:rsidR="00BE765E">
        <w:rPr>
          <w:lang w:val="en-GB" w:eastAsia="zh-CN"/>
        </w:rPr>
        <w:t>motivated by the opportunistic channel access characteristic of an unlicensed carrier</w:t>
      </w:r>
      <w:r w:rsidR="0000101E" w:rsidRPr="0000101E">
        <w:rPr>
          <w:lang w:val="en-GB" w:eastAsia="zh-CN"/>
        </w:rPr>
        <w:t>.</w:t>
      </w:r>
      <w:r w:rsidR="00B817F6">
        <w:rPr>
          <w:lang w:val="en-GB" w:eastAsia="zh-CN"/>
        </w:rPr>
        <w:t xml:space="preserve"> </w:t>
      </w:r>
      <w:r w:rsidR="00466CE4">
        <w:rPr>
          <w:lang w:val="en-GB" w:eastAsia="zh-CN"/>
        </w:rPr>
        <w:t xml:space="preserve">Initial access aspects related to </w:t>
      </w:r>
      <w:r w:rsidR="00466CE4" w:rsidRPr="009F5214">
        <w:rPr>
          <w:lang w:val="en-GB" w:eastAsia="zh-CN"/>
        </w:rPr>
        <w:t>SS/PBCH block (SSB) transmission</w:t>
      </w:r>
      <w:r w:rsidR="004F247E">
        <w:rPr>
          <w:lang w:val="en-GB" w:eastAsia="zh-CN"/>
        </w:rPr>
        <w:t>.</w:t>
      </w:r>
      <w:r w:rsidR="00466CE4" w:rsidRPr="009F5214">
        <w:rPr>
          <w:lang w:val="en-GB" w:eastAsia="zh-CN"/>
        </w:rPr>
        <w:t xml:space="preserve"> </w:t>
      </w:r>
      <w:r w:rsidR="004F247E">
        <w:rPr>
          <w:lang w:val="en-GB" w:eastAsia="zh-CN"/>
        </w:rPr>
        <w:t>Our analysis and proposals for DRS design</w:t>
      </w:r>
      <w:r w:rsidR="00466CE4">
        <w:rPr>
          <w:lang w:val="en-GB" w:eastAsia="zh-CN"/>
        </w:rPr>
        <w:t xml:space="preserve"> are given in our companion document R1-</w:t>
      </w:r>
      <w:r w:rsidR="004F247E" w:rsidRPr="004F247E">
        <w:rPr>
          <w:lang w:val="en-GB" w:eastAsia="zh-CN"/>
        </w:rPr>
        <w:t>1900937</w:t>
      </w:r>
      <w:r w:rsidR="004F247E">
        <w:rPr>
          <w:lang w:val="en-GB" w:eastAsia="zh-CN"/>
        </w:rPr>
        <w:t>.</w:t>
      </w:r>
    </w:p>
    <w:p w14:paraId="208C24C8" w14:textId="5C48831A" w:rsidR="00BB152E" w:rsidRDefault="005821BE" w:rsidP="00FE6E1F">
      <w:pPr>
        <w:pStyle w:val="Heading1"/>
      </w:pPr>
      <w:r>
        <w:t>Random access in unlicensed spectrum</w:t>
      </w:r>
    </w:p>
    <w:p w14:paraId="3B6BCAFF" w14:textId="77777777" w:rsidR="00BB152E" w:rsidRDefault="00BB152E" w:rsidP="00BB152E">
      <w:pPr>
        <w:pStyle w:val="Heading2"/>
        <w:rPr>
          <w:lang w:val="en-GB"/>
        </w:rPr>
      </w:pPr>
      <w:r>
        <w:rPr>
          <w:lang w:val="en-GB"/>
        </w:rPr>
        <w:t>Msg</w:t>
      </w:r>
      <w:r w:rsidR="005821BE">
        <w:rPr>
          <w:lang w:val="en-GB"/>
        </w:rPr>
        <w:t xml:space="preserve"> </w:t>
      </w:r>
      <w:r>
        <w:rPr>
          <w:lang w:val="en-GB"/>
        </w:rPr>
        <w:t>1</w:t>
      </w:r>
    </w:p>
    <w:p w14:paraId="31577746" w14:textId="77777777" w:rsidR="00904938" w:rsidRDefault="00904938" w:rsidP="00904938">
      <w:pPr>
        <w:rPr>
          <w:lang w:val="en-GB"/>
        </w:rPr>
      </w:pPr>
      <w:r w:rsidRPr="00904938">
        <w:rPr>
          <w:lang w:val="en-GB"/>
        </w:rPr>
        <w:t>In Standalone NR-U case, the UE may need to perform CBRA e.g. to ask for UL resources</w:t>
      </w:r>
      <w:r>
        <w:rPr>
          <w:lang w:val="en-GB"/>
        </w:rPr>
        <w:t xml:space="preserve">, </w:t>
      </w:r>
      <w:r w:rsidR="0079063A">
        <w:rPr>
          <w:lang w:val="en-GB"/>
        </w:rPr>
        <w:t>for beam failure recovery</w:t>
      </w:r>
      <w:r>
        <w:rPr>
          <w:lang w:val="en-GB"/>
        </w:rPr>
        <w:t>, handover without dedicated resources etc.</w:t>
      </w:r>
      <w:r w:rsidRPr="00904938">
        <w:rPr>
          <w:lang w:val="en-GB"/>
        </w:rPr>
        <w:t xml:space="preserve"> </w:t>
      </w:r>
      <w:r>
        <w:rPr>
          <w:lang w:val="en-GB"/>
        </w:rPr>
        <w:t>In the unlicensed operation, d</w:t>
      </w:r>
      <w:r w:rsidRPr="00904938">
        <w:rPr>
          <w:lang w:val="en-GB"/>
        </w:rPr>
        <w:t>ue to a failed CCA</w:t>
      </w:r>
      <w:r>
        <w:rPr>
          <w:lang w:val="en-GB"/>
        </w:rPr>
        <w:t xml:space="preserve"> it may take longer time to complete the RACH procedure and thereby the latency of the procedure that initiated the RACH will be higher. This could be detrimental to the overall performance of the UE. </w:t>
      </w:r>
    </w:p>
    <w:p w14:paraId="03877BB8" w14:textId="77777777" w:rsidR="00200213" w:rsidRDefault="007C0F78" w:rsidP="00904938">
      <w:pPr>
        <w:rPr>
          <w:lang w:val="en-GB"/>
        </w:rPr>
      </w:pPr>
      <w:r>
        <w:rPr>
          <w:lang w:val="en-GB"/>
        </w:rPr>
        <w:t xml:space="preserve">RAN1 has previously agreed that there will be BWP(s) in NR-U and that Initial Active UL/ DL BWP will be similar to the licensed operation about 20 MHz. </w:t>
      </w:r>
    </w:p>
    <w:tbl>
      <w:tblPr>
        <w:tblStyle w:val="TableGrid"/>
        <w:tblW w:w="0" w:type="auto"/>
        <w:tblLook w:val="04A0" w:firstRow="1" w:lastRow="0" w:firstColumn="1" w:lastColumn="0" w:noHBand="0" w:noVBand="1"/>
      </w:tblPr>
      <w:tblGrid>
        <w:gridCol w:w="9533"/>
      </w:tblGrid>
      <w:tr w:rsidR="00200213" w14:paraId="4C9CC5A0" w14:textId="77777777" w:rsidTr="00200213">
        <w:tc>
          <w:tcPr>
            <w:tcW w:w="9533" w:type="dxa"/>
          </w:tcPr>
          <w:p w14:paraId="7FA1F9A9" w14:textId="77777777" w:rsidR="00200213" w:rsidRDefault="00200213" w:rsidP="00200213">
            <w:pPr>
              <w:rPr>
                <w:rFonts w:ascii="Calibri" w:hAnsi="Calibri"/>
                <w:color w:val="1F497D"/>
                <w:lang w:val="en-GB"/>
              </w:rPr>
            </w:pPr>
            <w:r>
              <w:rPr>
                <w:rFonts w:ascii="Calibri" w:hAnsi="Calibri"/>
                <w:color w:val="1F497D"/>
                <w:lang w:val="en-GB"/>
              </w:rPr>
              <w:t>RAN1#93:</w:t>
            </w:r>
          </w:p>
          <w:p w14:paraId="03F3D4F7" w14:textId="77777777" w:rsidR="00200213" w:rsidRDefault="00200213" w:rsidP="00200213">
            <w:pPr>
              <w:rPr>
                <w:sz w:val="20"/>
                <w:szCs w:val="20"/>
                <w:lang w:val="en-GB"/>
              </w:rPr>
            </w:pPr>
            <w:r>
              <w:rPr>
                <w:highlight w:val="green"/>
                <w:lang w:val="en-GB"/>
              </w:rPr>
              <w:t>Agreement:</w:t>
            </w:r>
            <w:r>
              <w:rPr>
                <w:lang w:val="en-GB"/>
              </w:rPr>
              <w:t xml:space="preserve"> </w:t>
            </w:r>
          </w:p>
          <w:p w14:paraId="3C3DB1EA" w14:textId="77777777" w:rsidR="00200213" w:rsidRDefault="00200213" w:rsidP="00200213">
            <w:pPr>
              <w:pStyle w:val="ListParagraph"/>
              <w:spacing w:line="252" w:lineRule="auto"/>
              <w:ind w:hanging="360"/>
              <w:contextualSpacing/>
              <w:rPr>
                <w:sz w:val="20"/>
                <w:szCs w:val="20"/>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5GHz band</w:t>
            </w:r>
          </w:p>
          <w:p w14:paraId="25DF41F7" w14:textId="77777777" w:rsidR="00200213" w:rsidRDefault="00200213" w:rsidP="00200213">
            <w:pPr>
              <w:pStyle w:val="ListParagraph"/>
              <w:spacing w:line="252" w:lineRule="auto"/>
              <w:ind w:left="1440" w:hanging="360"/>
              <w:contextualSpacing/>
              <w:rPr>
                <w:lang w:val="en-GB"/>
              </w:rPr>
            </w:pPr>
            <w:r>
              <w:rPr>
                <w:rFonts w:ascii="Courier New" w:hAnsi="Courier New" w:cs="Courier New"/>
                <w:lang w:val="en-GB"/>
              </w:rPr>
              <w:t>o</w:t>
            </w:r>
            <w:r>
              <w:rPr>
                <w:rFonts w:ascii="Times New Roman" w:hAnsi="Times New Roman"/>
                <w:sz w:val="14"/>
                <w:szCs w:val="14"/>
                <w:lang w:val="en-GB"/>
              </w:rPr>
              <w:t xml:space="preserve">   </w:t>
            </w:r>
            <w:r>
              <w:rPr>
                <w:lang w:val="en-GB"/>
              </w:rPr>
              <w:t>The final value will be quantized to number of PRBs</w:t>
            </w:r>
          </w:p>
          <w:p w14:paraId="00F2600D" w14:textId="77777777"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6GHz band if similar channelization as 5GHz band is used for 6GHz band</w:t>
            </w:r>
          </w:p>
          <w:p w14:paraId="6D5B727D" w14:textId="77777777"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FFS: Initial active DL/UL BWP for other applicable bands, including 60GHz</w:t>
            </w:r>
          </w:p>
          <w:p w14:paraId="68442636" w14:textId="77777777" w:rsidR="00200213" w:rsidRDefault="00200213" w:rsidP="00200213">
            <w:pPr>
              <w:rPr>
                <w:rFonts w:ascii="Calibri" w:hAnsi="Calibri"/>
                <w:color w:val="1F497D"/>
                <w:lang w:val="en-GB"/>
              </w:rPr>
            </w:pPr>
            <w:r>
              <w:rPr>
                <w:rFonts w:ascii="Calibri" w:hAnsi="Calibri"/>
                <w:color w:val="1F497D"/>
                <w:lang w:val="en-GB"/>
              </w:rPr>
              <w:t xml:space="preserve"> </w:t>
            </w:r>
          </w:p>
          <w:p w14:paraId="197AD44A" w14:textId="77777777" w:rsidR="00200213" w:rsidRDefault="00200213" w:rsidP="00200213">
            <w:pPr>
              <w:rPr>
                <w:rFonts w:ascii="Calibri" w:hAnsi="Calibri"/>
                <w:color w:val="1F497D"/>
                <w:lang w:val="en-GB"/>
              </w:rPr>
            </w:pPr>
            <w:r>
              <w:rPr>
                <w:rFonts w:ascii="Calibri" w:hAnsi="Calibri"/>
                <w:color w:val="1F497D"/>
                <w:lang w:val="en-GB"/>
              </w:rPr>
              <w:t>RAN1#92bis:</w:t>
            </w:r>
          </w:p>
          <w:p w14:paraId="182ED93A" w14:textId="77777777" w:rsidR="00200213" w:rsidRDefault="00200213" w:rsidP="00200213">
            <w:pPr>
              <w:ind w:left="720" w:hanging="360"/>
              <w:rPr>
                <w:sz w:val="20"/>
                <w:szCs w:val="20"/>
              </w:rPr>
            </w:pPr>
            <w:r>
              <w:rPr>
                <w:rFonts w:ascii="Arial" w:hAnsi="Arial" w:cs="Arial"/>
                <w:sz w:val="20"/>
                <w:szCs w:val="20"/>
              </w:rPr>
              <w:t>•</w:t>
            </w:r>
            <w:r>
              <w:rPr>
                <w:sz w:val="14"/>
                <w:szCs w:val="14"/>
              </w:rPr>
              <w:t xml:space="preserve">      </w:t>
            </w:r>
            <w:r>
              <w:t xml:space="preserve">Baseline for study: If absence of Wi-Fi cannot be guaranteed (e.g. by regulation) </w:t>
            </w:r>
          </w:p>
          <w:p w14:paraId="58503E57" w14:textId="77777777" w:rsidR="00200213" w:rsidRDefault="00200213" w:rsidP="00200213">
            <w:pPr>
              <w:rPr>
                <w:sz w:val="24"/>
                <w:szCs w:val="24"/>
              </w:rPr>
            </w:pPr>
            <w:r>
              <w:t xml:space="preserve">in the band (sub-7 GHz) where NR-U is operating, the NR-U operating bandwidth is an integer  </w:t>
            </w:r>
          </w:p>
          <w:p w14:paraId="19747942" w14:textId="77777777" w:rsidR="00200213" w:rsidRDefault="00200213" w:rsidP="00200213">
            <w:r>
              <w:t xml:space="preserve">multiple of 20MHz </w:t>
            </w:r>
          </w:p>
          <w:p w14:paraId="245C90CD" w14:textId="77777777" w:rsidR="00200213" w:rsidRDefault="00200213" w:rsidP="00200213">
            <w:pPr>
              <w:ind w:left="720" w:hanging="360"/>
            </w:pPr>
            <w:r>
              <w:rPr>
                <w:rFonts w:ascii="Arial" w:hAnsi="Arial" w:cs="Arial"/>
              </w:rPr>
              <w:t>•</w:t>
            </w:r>
            <w:r>
              <w:rPr>
                <w:sz w:val="14"/>
                <w:szCs w:val="14"/>
              </w:rPr>
              <w:t xml:space="preserve">     </w:t>
            </w:r>
            <w:r>
              <w:t xml:space="preserve">At least for band where absence of Wi-Fi cannot be guaranteed (e.g. by regulation), LBT can be performed in units of 20 MHz. </w:t>
            </w:r>
          </w:p>
          <w:p w14:paraId="0E2BC851" w14:textId="77777777" w:rsidR="00200213" w:rsidRDefault="00200213" w:rsidP="00200213">
            <w:pPr>
              <w:ind w:left="1440" w:hanging="360"/>
            </w:pPr>
            <w:r>
              <w:rPr>
                <w:rFonts w:ascii="Arial" w:hAnsi="Arial" w:cs="Arial"/>
              </w:rPr>
              <w:t>•</w:t>
            </w:r>
            <w:r>
              <w:rPr>
                <w:sz w:val="14"/>
                <w:szCs w:val="14"/>
              </w:rPr>
              <w:t xml:space="preserve">     </w:t>
            </w:r>
            <w:r>
              <w:t>FFS: details on how to perform LBT for as single carrier with bandwidth greater than 20 MHz, i.e., integer multiples of 20 MHz.</w:t>
            </w:r>
          </w:p>
          <w:p w14:paraId="40B0759C" w14:textId="77777777" w:rsidR="00200213" w:rsidRDefault="00200213" w:rsidP="00904938">
            <w:pPr>
              <w:rPr>
                <w:lang w:val="en-GB"/>
              </w:rPr>
            </w:pPr>
          </w:p>
        </w:tc>
      </w:tr>
    </w:tbl>
    <w:p w14:paraId="355670CE" w14:textId="77777777" w:rsidR="00200213" w:rsidRDefault="00200213" w:rsidP="00904938">
      <w:pPr>
        <w:rPr>
          <w:lang w:val="en-GB"/>
        </w:rPr>
      </w:pPr>
    </w:p>
    <w:p w14:paraId="503254F8" w14:textId="77777777" w:rsidR="00F37196" w:rsidRDefault="00850DA9" w:rsidP="00904938">
      <w:pPr>
        <w:rPr>
          <w:lang w:val="en-GB"/>
        </w:rPr>
      </w:pPr>
      <w:r>
        <w:rPr>
          <w:lang w:val="en-GB"/>
        </w:rPr>
        <w:lastRenderedPageBreak/>
        <w:t xml:space="preserve">Further, a UE may or may not have PRACH configured in the current BWP. When it needs to send PRACH (Msg1) </w:t>
      </w:r>
      <w:r w:rsidR="00E00A8E">
        <w:rPr>
          <w:lang w:val="en-GB"/>
        </w:rPr>
        <w:t xml:space="preserve">with </w:t>
      </w:r>
      <w:r>
        <w:rPr>
          <w:lang w:val="en-GB"/>
        </w:rPr>
        <w:t>CCA</w:t>
      </w:r>
      <w:r w:rsidR="00E00A8E">
        <w:rPr>
          <w:lang w:val="en-GB"/>
        </w:rPr>
        <w:t xml:space="preserve">, if necessary, </w:t>
      </w:r>
      <w:r w:rsidR="0079063A">
        <w:rPr>
          <w:lang w:val="en-GB"/>
        </w:rPr>
        <w:t xml:space="preserve">may or </w:t>
      </w:r>
      <w:r>
        <w:rPr>
          <w:lang w:val="en-GB"/>
        </w:rPr>
        <w:t xml:space="preserve">may not succeed. Therefore, to increase the transmission diversity of Msg1 it is proposed that the UE performs CCA on other configured BWP(s) as well and perform Msg1 transmission on </w:t>
      </w:r>
      <w:r w:rsidR="0079063A">
        <w:rPr>
          <w:lang w:val="en-GB"/>
        </w:rPr>
        <w:t xml:space="preserve">whichever </w:t>
      </w:r>
      <w:r>
        <w:rPr>
          <w:lang w:val="en-GB"/>
        </w:rPr>
        <w:t>BWP</w:t>
      </w:r>
      <w:r w:rsidR="0079063A">
        <w:rPr>
          <w:lang w:val="en-GB"/>
        </w:rPr>
        <w:t xml:space="preserve"> can be accessed</w:t>
      </w:r>
      <w:r>
        <w:rPr>
          <w:lang w:val="en-GB"/>
        </w:rPr>
        <w:t xml:space="preserve">. </w:t>
      </w:r>
    </w:p>
    <w:p w14:paraId="35F28888" w14:textId="4A06A9D6" w:rsidR="00850DA9" w:rsidRPr="00B00AC9" w:rsidRDefault="00850DA9" w:rsidP="00904938">
      <w:pPr>
        <w:rPr>
          <w:b/>
          <w:lang w:val="en-GB"/>
        </w:rPr>
      </w:pPr>
      <w:r w:rsidRPr="00B00AC9">
        <w:rPr>
          <w:b/>
          <w:lang w:val="en-GB"/>
        </w:rPr>
        <w:t>Pr</w:t>
      </w:r>
      <w:r w:rsidR="0079063A">
        <w:rPr>
          <w:b/>
          <w:lang w:val="en-GB"/>
        </w:rPr>
        <w:t xml:space="preserve">oposal </w:t>
      </w:r>
      <w:r w:rsidR="00B61CD8">
        <w:rPr>
          <w:b/>
          <w:lang w:val="en-GB"/>
        </w:rPr>
        <w:t>3</w:t>
      </w:r>
      <w:r w:rsidR="0079063A">
        <w:rPr>
          <w:b/>
          <w:lang w:val="en-GB"/>
        </w:rPr>
        <w:t>: A UE may perform CCA/</w:t>
      </w:r>
      <w:r w:rsidRPr="00B00AC9">
        <w:rPr>
          <w:b/>
          <w:lang w:val="en-GB"/>
        </w:rPr>
        <w:t>LBT on any configured BWP</w:t>
      </w:r>
      <w:r w:rsidR="00E00A8E">
        <w:rPr>
          <w:b/>
          <w:lang w:val="en-GB"/>
        </w:rPr>
        <w:t xml:space="preserve"> for PRACH transmission, if necessary</w:t>
      </w:r>
      <w:r w:rsidRPr="00B00AC9">
        <w:rPr>
          <w:b/>
          <w:lang w:val="en-GB"/>
        </w:rPr>
        <w:t>.</w:t>
      </w:r>
    </w:p>
    <w:p w14:paraId="346CAC76" w14:textId="77777777" w:rsidR="00F37196" w:rsidRDefault="00B00AC9" w:rsidP="00BB152E">
      <w:pPr>
        <w:pStyle w:val="Heading2"/>
        <w:rPr>
          <w:lang w:val="en-GB"/>
        </w:rPr>
      </w:pPr>
      <w:r>
        <w:rPr>
          <w:lang w:val="en-GB"/>
        </w:rPr>
        <w:t>Msg</w:t>
      </w:r>
      <w:r w:rsidR="005821BE">
        <w:rPr>
          <w:lang w:val="en-GB"/>
        </w:rPr>
        <w:t xml:space="preserve"> </w:t>
      </w:r>
      <w:r>
        <w:rPr>
          <w:lang w:val="en-GB"/>
        </w:rPr>
        <w:t>2</w:t>
      </w:r>
      <w:r w:rsidR="005821BE">
        <w:rPr>
          <w:lang w:val="en-GB"/>
        </w:rPr>
        <w:t xml:space="preserve"> </w:t>
      </w:r>
      <w:r>
        <w:rPr>
          <w:lang w:val="en-GB"/>
        </w:rPr>
        <w:t>/ RAR</w:t>
      </w:r>
    </w:p>
    <w:p w14:paraId="482109A7" w14:textId="77777777" w:rsidR="0079063A" w:rsidRDefault="00BB152E" w:rsidP="00F37196">
      <w:pPr>
        <w:rPr>
          <w:b/>
          <w:lang w:val="en-GB"/>
        </w:rPr>
      </w:pPr>
      <w:r w:rsidRPr="00BB152E">
        <w:rPr>
          <w:lang w:val="en-GB"/>
        </w:rPr>
        <w:t>On similar lines it is helpful if the Msg</w:t>
      </w:r>
      <w:r w:rsidR="005821BE">
        <w:rPr>
          <w:lang w:val="en-GB"/>
        </w:rPr>
        <w:t xml:space="preserve"> </w:t>
      </w:r>
      <w:r w:rsidRPr="00BB152E">
        <w:rPr>
          <w:lang w:val="en-GB"/>
        </w:rPr>
        <w:t>2</w:t>
      </w:r>
      <w:r w:rsidR="005821BE">
        <w:rPr>
          <w:lang w:val="en-GB"/>
        </w:rPr>
        <w:t xml:space="preserve"> </w:t>
      </w:r>
      <w:r w:rsidRPr="00BB152E">
        <w:rPr>
          <w:lang w:val="en-GB"/>
        </w:rPr>
        <w:t>/ RAR could be transmitted by the gNB on any DL BWP where the CCA succeeds</w:t>
      </w:r>
      <w:r w:rsidR="000437C2">
        <w:rPr>
          <w:lang w:val="en-GB"/>
        </w:rPr>
        <w:t>, even if it is different from the linked BWP where Msg 1 occurred</w:t>
      </w:r>
      <w:r w:rsidRPr="00BB152E">
        <w:rPr>
          <w:lang w:val="en-GB"/>
        </w:rPr>
        <w:t>.</w:t>
      </w:r>
      <w:r w:rsidR="000437C2">
        <w:rPr>
          <w:lang w:val="en-GB"/>
        </w:rPr>
        <w:t xml:space="preserve"> Even though this is not applicable for initial access, it will be helpful e.g. in handover scenarios or PDCCH order where the UE can be aware of multiple BWPs and where the network knows which and how many active BWPs the UE can monitor.</w:t>
      </w:r>
    </w:p>
    <w:p w14:paraId="367C1CE4" w14:textId="7CAE5E84" w:rsidR="005821BE" w:rsidRPr="005821BE" w:rsidRDefault="00BB152E" w:rsidP="00F37196">
      <w:pPr>
        <w:rPr>
          <w:lang w:val="en-GB"/>
        </w:rPr>
      </w:pPr>
      <w:r>
        <w:rPr>
          <w:b/>
          <w:lang w:val="en-GB"/>
        </w:rPr>
        <w:t xml:space="preserve">Proposal </w:t>
      </w:r>
      <w:r w:rsidR="00B61CD8">
        <w:rPr>
          <w:b/>
          <w:lang w:val="en-GB"/>
        </w:rPr>
        <w:t>4</w:t>
      </w:r>
      <w:r>
        <w:rPr>
          <w:b/>
          <w:lang w:val="en-GB"/>
        </w:rPr>
        <w:t xml:space="preserve">: </w:t>
      </w:r>
      <w:r w:rsidR="0079063A">
        <w:rPr>
          <w:b/>
          <w:lang w:val="en-GB"/>
        </w:rPr>
        <w:t>A</w:t>
      </w:r>
      <w:r>
        <w:rPr>
          <w:b/>
          <w:lang w:val="en-GB"/>
        </w:rPr>
        <w:t xml:space="preserve"> UE </w:t>
      </w:r>
      <w:r w:rsidR="0079063A">
        <w:rPr>
          <w:b/>
          <w:lang w:val="en-GB"/>
        </w:rPr>
        <w:t>should be able to</w:t>
      </w:r>
      <w:r>
        <w:rPr>
          <w:b/>
          <w:lang w:val="en-GB"/>
        </w:rPr>
        <w:t xml:space="preserve"> monitor more than one DL BWP during a corresp</w:t>
      </w:r>
      <w:r w:rsidR="0079063A">
        <w:rPr>
          <w:b/>
          <w:lang w:val="en-GB"/>
        </w:rPr>
        <w:t>onding RAR window for Msg 2.</w:t>
      </w:r>
      <w:r w:rsidR="000437C2">
        <w:rPr>
          <w:b/>
          <w:lang w:val="en-GB"/>
        </w:rPr>
        <w:t xml:space="preserve"> A gNB may transmit Msg 2 on any of the DL BWPs monitored by the UE.</w:t>
      </w:r>
    </w:p>
    <w:p w14:paraId="526D2CC5" w14:textId="486CDDBF" w:rsidR="006F2CD3" w:rsidRDefault="006F2CD3" w:rsidP="006F2CD3">
      <w:pPr>
        <w:pStyle w:val="Heading2"/>
        <w:rPr>
          <w:lang w:val="en-GB"/>
        </w:rPr>
      </w:pPr>
      <w:r>
        <w:rPr>
          <w:lang w:val="en-GB"/>
        </w:rPr>
        <w:t>Msg</w:t>
      </w:r>
      <w:r w:rsidR="005821BE">
        <w:rPr>
          <w:lang w:val="en-GB"/>
        </w:rPr>
        <w:t xml:space="preserve"> </w:t>
      </w:r>
      <w:r>
        <w:rPr>
          <w:lang w:val="en-GB"/>
        </w:rPr>
        <w:t>3</w:t>
      </w:r>
    </w:p>
    <w:p w14:paraId="415B6885" w14:textId="77777777" w:rsidR="006F2CD3" w:rsidRDefault="006F2CD3" w:rsidP="006F2CD3">
      <w:pPr>
        <w:rPr>
          <w:lang w:val="en-GB"/>
        </w:rPr>
      </w:pPr>
      <w:r>
        <w:rPr>
          <w:lang w:val="en-GB"/>
        </w:rPr>
        <w:t>To have diversity in transmitting Msg3, the RAR</w:t>
      </w:r>
      <w:r w:rsidR="000437C2">
        <w:rPr>
          <w:lang w:val="en-GB"/>
        </w:rPr>
        <w:t xml:space="preserve"> Grant in</w:t>
      </w:r>
      <w:r>
        <w:rPr>
          <w:lang w:val="en-GB"/>
        </w:rPr>
        <w:t xml:space="preserve"> Msg2 may include UL resources for Msg3 transmission on more than </w:t>
      </w:r>
      <w:r w:rsidR="000437C2">
        <w:rPr>
          <w:lang w:val="en-GB"/>
        </w:rPr>
        <w:t>one</w:t>
      </w:r>
      <w:r>
        <w:rPr>
          <w:lang w:val="en-GB"/>
        </w:rPr>
        <w:t xml:space="preserve"> BW</w:t>
      </w:r>
      <w:r w:rsidR="000437C2">
        <w:rPr>
          <w:lang w:val="en-GB"/>
        </w:rPr>
        <w:t>P. The UE can then perform LBT/</w:t>
      </w:r>
      <w:r>
        <w:rPr>
          <w:lang w:val="en-GB"/>
        </w:rPr>
        <w:t>CCA on each of these and transmit Msg3 on a BWP where the CCA is successful.</w:t>
      </w:r>
    </w:p>
    <w:p w14:paraId="6AC57FD2" w14:textId="625598FC" w:rsidR="00920182" w:rsidRDefault="00920182" w:rsidP="00920182">
      <w:pPr>
        <w:rPr>
          <w:b/>
          <w:lang w:val="en-GB"/>
        </w:rPr>
      </w:pPr>
      <w:r w:rsidRPr="00920182">
        <w:rPr>
          <w:b/>
          <w:lang w:val="en-GB"/>
        </w:rPr>
        <w:t xml:space="preserve">Proposal </w:t>
      </w:r>
      <w:r w:rsidR="00B61CD8">
        <w:rPr>
          <w:b/>
          <w:lang w:val="en-GB"/>
        </w:rPr>
        <w:t>5</w:t>
      </w:r>
      <w:r w:rsidRPr="00920182">
        <w:rPr>
          <w:b/>
          <w:lang w:val="en-GB"/>
        </w:rPr>
        <w:t xml:space="preserve">: </w:t>
      </w:r>
      <w:r w:rsidR="000437C2">
        <w:rPr>
          <w:b/>
          <w:lang w:val="en-GB"/>
        </w:rPr>
        <w:t xml:space="preserve">The </w:t>
      </w:r>
      <w:r w:rsidRPr="00920182">
        <w:rPr>
          <w:b/>
          <w:lang w:val="en-GB"/>
        </w:rPr>
        <w:t xml:space="preserve">RAR </w:t>
      </w:r>
      <w:r w:rsidR="000437C2">
        <w:rPr>
          <w:b/>
          <w:lang w:val="en-GB"/>
        </w:rPr>
        <w:t xml:space="preserve">Grant </w:t>
      </w:r>
      <w:r w:rsidRPr="00920182">
        <w:rPr>
          <w:b/>
          <w:lang w:val="en-GB"/>
        </w:rPr>
        <w:t>may in</w:t>
      </w:r>
      <w:r w:rsidR="000437C2">
        <w:rPr>
          <w:b/>
          <w:lang w:val="en-GB"/>
        </w:rPr>
        <w:t>dicate</w:t>
      </w:r>
      <w:r w:rsidRPr="00920182">
        <w:rPr>
          <w:b/>
          <w:lang w:val="en-GB"/>
        </w:rPr>
        <w:t xml:space="preserve"> different UL BWP</w:t>
      </w:r>
      <w:r w:rsidR="000437C2">
        <w:rPr>
          <w:b/>
          <w:lang w:val="en-GB"/>
        </w:rPr>
        <w:t>s for Msg 3</w:t>
      </w:r>
      <w:r w:rsidRPr="00920182">
        <w:rPr>
          <w:b/>
          <w:lang w:val="en-GB"/>
        </w:rPr>
        <w:t>.</w:t>
      </w:r>
    </w:p>
    <w:p w14:paraId="35C57C66" w14:textId="77777777" w:rsidR="005821BE" w:rsidRPr="006D41C4" w:rsidRDefault="005821BE" w:rsidP="005821BE">
      <w:pPr>
        <w:rPr>
          <w:lang w:val="en-GB"/>
        </w:rPr>
      </w:pPr>
      <w:r>
        <w:rPr>
          <w:lang w:val="en-GB"/>
        </w:rPr>
        <w:t>T</w:t>
      </w:r>
      <w:r w:rsidRPr="006D41C4">
        <w:rPr>
          <w:lang w:val="en-GB"/>
        </w:rPr>
        <w:t>he Grant transmitted in Msg 2 for Msg 3 includes a timing offset, i.e. it indicates a specific time slot in which the UE is to transmit Msg 3. The successful reception of Msg 3 may fail (from the gNB’s perspective) due to the following reasons:</w:t>
      </w:r>
    </w:p>
    <w:p w14:paraId="7442181D" w14:textId="77777777" w:rsidR="005821BE" w:rsidRPr="006D41C4" w:rsidRDefault="005821BE" w:rsidP="005821BE">
      <w:pPr>
        <w:numPr>
          <w:ilvl w:val="0"/>
          <w:numId w:val="31"/>
        </w:numPr>
        <w:rPr>
          <w:lang w:val="en-GB"/>
        </w:rPr>
      </w:pPr>
      <w:r w:rsidRPr="006D41C4">
        <w:rPr>
          <w:lang w:val="en-GB"/>
        </w:rPr>
        <w:t>The UE was not able to detect Msg 2 successfully, caused by noise or interference by (e.g. hidden) nodes; or</w:t>
      </w:r>
    </w:p>
    <w:p w14:paraId="26A4002E" w14:textId="77777777" w:rsidR="005821BE" w:rsidRPr="006D41C4" w:rsidRDefault="005821BE" w:rsidP="005821BE">
      <w:pPr>
        <w:numPr>
          <w:ilvl w:val="0"/>
          <w:numId w:val="31"/>
        </w:numPr>
        <w:rPr>
          <w:lang w:val="en-GB"/>
        </w:rPr>
      </w:pPr>
      <w:r w:rsidRPr="006D41C4">
        <w:rPr>
          <w:lang w:val="en-GB"/>
        </w:rPr>
        <w:t>The UE was not able to access the channel for Msg 3 transmission in the indicated time slot due to LBT failure (unsuccessful CCA); or</w:t>
      </w:r>
    </w:p>
    <w:p w14:paraId="7CA7B10F" w14:textId="77777777" w:rsidR="005821BE" w:rsidRPr="006D41C4" w:rsidRDefault="005821BE" w:rsidP="005821BE">
      <w:pPr>
        <w:numPr>
          <w:ilvl w:val="0"/>
          <w:numId w:val="31"/>
        </w:numPr>
        <w:rPr>
          <w:lang w:val="en-GB"/>
        </w:rPr>
      </w:pPr>
      <w:r w:rsidRPr="006D41C4">
        <w:rPr>
          <w:lang w:val="en-GB"/>
        </w:rPr>
        <w:t>The gNB was not able to detect Msg 3 successfully, caused by noise or interference by (e.g. hidden) nodes.</w:t>
      </w:r>
    </w:p>
    <w:p w14:paraId="4840902C" w14:textId="77777777" w:rsidR="005821BE" w:rsidRPr="00DB0651" w:rsidRDefault="005821BE" w:rsidP="005821BE">
      <w:pPr>
        <w:rPr>
          <w:b/>
          <w:lang w:val="en-GB"/>
        </w:rPr>
      </w:pPr>
      <w:r w:rsidRPr="006D41C4">
        <w:rPr>
          <w:lang w:val="en-GB"/>
        </w:rPr>
        <w:t>Following the HARQ procedure implies a delay, caused by the additional round-trip time of transmitting the HARQ retransmission request by gNB, and the following retransmission by the UE – both of which may suffer additional delay caused by the required LBT procedure for both these transmissions. Multiple transmission occasions for RACH Msg 3 may alleviate the transmission restrictions imposed by LBT and delay caused by Msg 3 retransmissions according to the HARQ protocol.</w:t>
      </w:r>
    </w:p>
    <w:p w14:paraId="6FE7CE69" w14:textId="3763BE20" w:rsidR="005821BE" w:rsidRPr="007555A1" w:rsidRDefault="005821BE" w:rsidP="005C32F1">
      <w:pPr>
        <w:spacing w:after="200" w:line="276" w:lineRule="auto"/>
        <w:rPr>
          <w:b/>
        </w:rPr>
      </w:pPr>
      <w:r w:rsidRPr="003C4548">
        <w:rPr>
          <w:b/>
        </w:rPr>
        <w:t xml:space="preserve">Proposal </w:t>
      </w:r>
      <w:r w:rsidR="00B61CD8">
        <w:rPr>
          <w:b/>
        </w:rPr>
        <w:t>6</w:t>
      </w:r>
      <w:r w:rsidRPr="00872530">
        <w:rPr>
          <w:b/>
        </w:rPr>
        <w:t xml:space="preserve">: </w:t>
      </w:r>
      <w:r w:rsidR="00872530" w:rsidRPr="00872530">
        <w:rPr>
          <w:b/>
        </w:rPr>
        <w:t>Support granting multiple Msg 3 transmission occasions in Msg 2</w:t>
      </w:r>
      <w:r w:rsidRPr="00872530">
        <w:rPr>
          <w:b/>
        </w:rPr>
        <w:t xml:space="preserve"> to alleviate the transmission restrictions imposed by LBT and delay caused by Msg 3 retransmission</w:t>
      </w:r>
      <w:r w:rsidRPr="00DF1526">
        <w:rPr>
          <w:b/>
        </w:rPr>
        <w:t>s according to the HARQ protocol.</w:t>
      </w:r>
    </w:p>
    <w:p w14:paraId="2AE67799" w14:textId="77777777" w:rsidR="001643EF" w:rsidRDefault="00E00A8E" w:rsidP="00FE6E1F">
      <w:pPr>
        <w:pStyle w:val="Heading1"/>
        <w:rPr>
          <w:b/>
          <w:bCs/>
        </w:rPr>
      </w:pPr>
      <w:r>
        <w:t>Proposals</w:t>
      </w:r>
    </w:p>
    <w:p w14:paraId="66870052" w14:textId="08462F79" w:rsidR="00E00A8E" w:rsidRPr="00E00A8E" w:rsidRDefault="006001D7" w:rsidP="00E00A8E">
      <w:pPr>
        <w:rPr>
          <w:lang w:val="en-GB" w:eastAsia="zh-CN"/>
        </w:rPr>
      </w:pPr>
      <w:r>
        <w:rPr>
          <w:lang w:val="en-GB" w:eastAsia="zh-CN"/>
        </w:rPr>
        <w:t>W</w:t>
      </w:r>
      <w:r w:rsidR="00E00A8E">
        <w:rPr>
          <w:lang w:val="en-GB" w:eastAsia="zh-CN"/>
        </w:rPr>
        <w:t xml:space="preserve">e suggest the following for </w:t>
      </w:r>
      <w:r>
        <w:rPr>
          <w:lang w:val="en-GB" w:eastAsia="zh-CN"/>
        </w:rPr>
        <w:t xml:space="preserve">initial access and </w:t>
      </w:r>
      <w:r w:rsidR="00E00A8E">
        <w:rPr>
          <w:lang w:val="en-GB" w:eastAsia="zh-CN"/>
        </w:rPr>
        <w:t>random access procedure messages:</w:t>
      </w:r>
    </w:p>
    <w:p w14:paraId="62E9F16C" w14:textId="77777777" w:rsidR="0021618E" w:rsidRPr="00D41DED" w:rsidRDefault="0021618E" w:rsidP="0021618E">
      <w:pPr>
        <w:rPr>
          <w:rFonts w:eastAsia="Malgun Gothic"/>
          <w:b/>
          <w:lang w:eastAsia="zh-CN"/>
        </w:rPr>
      </w:pPr>
      <w:r w:rsidRPr="008C2882">
        <w:rPr>
          <w:rFonts w:eastAsia="Malgun Gothic" w:hint="eastAsia"/>
          <w:b/>
          <w:lang w:eastAsia="zh-CN"/>
        </w:rPr>
        <w:t>Proposal 1:</w:t>
      </w:r>
      <w:r>
        <w:rPr>
          <w:rFonts w:eastAsia="Malgun Gothic"/>
          <w:b/>
          <w:lang w:eastAsia="zh-CN"/>
        </w:rPr>
        <w:t xml:space="preserve"> </w:t>
      </w:r>
      <w:r w:rsidRPr="00872530">
        <w:rPr>
          <w:rFonts w:eastAsia="Malgun Gothic"/>
          <w:b/>
          <w:lang w:eastAsia="zh-CN"/>
        </w:rPr>
        <w:t>Introduc</w:t>
      </w:r>
      <w:r>
        <w:rPr>
          <w:rFonts w:eastAsia="Malgun Gothic"/>
          <w:b/>
          <w:lang w:eastAsia="zh-CN"/>
        </w:rPr>
        <w:t>ing</w:t>
      </w:r>
      <w:r w:rsidRPr="00872530">
        <w:rPr>
          <w:rFonts w:eastAsia="Malgun Gothic"/>
          <w:b/>
          <w:lang w:eastAsia="zh-CN"/>
        </w:rPr>
        <w:t xml:space="preserve"> a new or additional SSB burst pattern for NR-U can be considered </w:t>
      </w:r>
      <w:r w:rsidRPr="0021618E">
        <w:rPr>
          <w:rFonts w:eastAsia="Malgun Gothic"/>
          <w:b/>
          <w:lang w:eastAsia="zh-CN"/>
        </w:rPr>
        <w:t>to enable use of priority classes 1 or 2.</w:t>
      </w:r>
    </w:p>
    <w:p w14:paraId="1E28CB91" w14:textId="77777777" w:rsidR="006001D7" w:rsidRDefault="006001D7" w:rsidP="006001D7">
      <w:pPr>
        <w:spacing w:after="200" w:line="276" w:lineRule="auto"/>
        <w:rPr>
          <w:b/>
        </w:rPr>
      </w:pPr>
      <w:r w:rsidRPr="003C4548">
        <w:rPr>
          <w:b/>
        </w:rPr>
        <w:t xml:space="preserve">Proposal </w:t>
      </w:r>
      <w:r>
        <w:rPr>
          <w:b/>
        </w:rPr>
        <w:t>2</w:t>
      </w:r>
      <w:r w:rsidRPr="003C4548">
        <w:rPr>
          <w:b/>
        </w:rPr>
        <w:t xml:space="preserve">: </w:t>
      </w:r>
      <w:r>
        <w:rPr>
          <w:rFonts w:eastAsia="Malgun Gothic"/>
          <w:b/>
          <w:lang w:eastAsia="zh-CN"/>
        </w:rPr>
        <w:t>RAN1 should study</w:t>
      </w:r>
      <w:r>
        <w:rPr>
          <w:b/>
        </w:rPr>
        <w:t xml:space="preserve"> the impact of delayed or skipped SSB transmissions due to LBT on </w:t>
      </w:r>
      <w:r w:rsidRPr="00BE7774">
        <w:rPr>
          <w:b/>
        </w:rPr>
        <w:t>PDCCH monitoring occasions for SIB1/pa</w:t>
      </w:r>
      <w:r>
        <w:rPr>
          <w:b/>
        </w:rPr>
        <w:t>ging.</w:t>
      </w:r>
    </w:p>
    <w:p w14:paraId="68715B82" w14:textId="77777777" w:rsidR="006001D7" w:rsidRPr="00B00AC9" w:rsidRDefault="006001D7" w:rsidP="006001D7">
      <w:pPr>
        <w:rPr>
          <w:b/>
          <w:lang w:val="en-GB"/>
        </w:rPr>
      </w:pPr>
      <w:r w:rsidRPr="00B00AC9">
        <w:rPr>
          <w:b/>
          <w:lang w:val="en-GB"/>
        </w:rPr>
        <w:lastRenderedPageBreak/>
        <w:t>Pr</w:t>
      </w:r>
      <w:r>
        <w:rPr>
          <w:b/>
          <w:lang w:val="en-GB"/>
        </w:rPr>
        <w:t>oposal 3: A UE may perform CCA/</w:t>
      </w:r>
      <w:r w:rsidRPr="00B00AC9">
        <w:rPr>
          <w:b/>
          <w:lang w:val="en-GB"/>
        </w:rPr>
        <w:t>LBT on any configured BWP</w:t>
      </w:r>
      <w:r>
        <w:rPr>
          <w:b/>
          <w:lang w:val="en-GB"/>
        </w:rPr>
        <w:t xml:space="preserve"> for PRACH transmission, if necessary</w:t>
      </w:r>
      <w:r w:rsidRPr="00B00AC9">
        <w:rPr>
          <w:b/>
          <w:lang w:val="en-GB"/>
        </w:rPr>
        <w:t>.</w:t>
      </w:r>
    </w:p>
    <w:p w14:paraId="5A92BB37" w14:textId="77777777" w:rsidR="006001D7" w:rsidRPr="005821BE" w:rsidRDefault="006001D7" w:rsidP="006001D7">
      <w:pPr>
        <w:rPr>
          <w:lang w:val="en-GB"/>
        </w:rPr>
      </w:pPr>
      <w:r>
        <w:rPr>
          <w:b/>
          <w:lang w:val="en-GB"/>
        </w:rPr>
        <w:t>Proposal 4: A UE should be able to monitor more than one DL BWP during a corresponding RAR window for Msg 2. A gNB may transmit Msg 2 on any of the DL BWPs monitored by the UE.</w:t>
      </w:r>
    </w:p>
    <w:p w14:paraId="0A9A4B6B" w14:textId="77777777" w:rsidR="006001D7" w:rsidRDefault="006001D7" w:rsidP="006001D7">
      <w:pPr>
        <w:rPr>
          <w:b/>
          <w:lang w:val="en-GB"/>
        </w:rPr>
      </w:pPr>
      <w:r w:rsidRPr="00920182">
        <w:rPr>
          <w:b/>
          <w:lang w:val="en-GB"/>
        </w:rPr>
        <w:t xml:space="preserve">Proposal </w:t>
      </w:r>
      <w:r>
        <w:rPr>
          <w:b/>
          <w:lang w:val="en-GB"/>
        </w:rPr>
        <w:t>5</w:t>
      </w:r>
      <w:r w:rsidRPr="00920182">
        <w:rPr>
          <w:b/>
          <w:lang w:val="en-GB"/>
        </w:rPr>
        <w:t xml:space="preserve">: </w:t>
      </w:r>
      <w:r>
        <w:rPr>
          <w:b/>
          <w:lang w:val="en-GB"/>
        </w:rPr>
        <w:t xml:space="preserve">The </w:t>
      </w:r>
      <w:r w:rsidRPr="00920182">
        <w:rPr>
          <w:b/>
          <w:lang w:val="en-GB"/>
        </w:rPr>
        <w:t xml:space="preserve">RAR </w:t>
      </w:r>
      <w:r>
        <w:rPr>
          <w:b/>
          <w:lang w:val="en-GB"/>
        </w:rPr>
        <w:t xml:space="preserve">Grant </w:t>
      </w:r>
      <w:r w:rsidRPr="00920182">
        <w:rPr>
          <w:b/>
          <w:lang w:val="en-GB"/>
        </w:rPr>
        <w:t>may in</w:t>
      </w:r>
      <w:r>
        <w:rPr>
          <w:b/>
          <w:lang w:val="en-GB"/>
        </w:rPr>
        <w:t>dicate</w:t>
      </w:r>
      <w:r w:rsidRPr="00920182">
        <w:rPr>
          <w:b/>
          <w:lang w:val="en-GB"/>
        </w:rPr>
        <w:t xml:space="preserve"> different UL BWP</w:t>
      </w:r>
      <w:r>
        <w:rPr>
          <w:b/>
          <w:lang w:val="en-GB"/>
        </w:rPr>
        <w:t>s for Msg 3</w:t>
      </w:r>
      <w:r w:rsidRPr="00920182">
        <w:rPr>
          <w:b/>
          <w:lang w:val="en-GB"/>
        </w:rPr>
        <w:t>.</w:t>
      </w:r>
    </w:p>
    <w:p w14:paraId="6D3AD15E" w14:textId="77777777" w:rsidR="006001D7" w:rsidRPr="007555A1" w:rsidRDefault="006001D7" w:rsidP="005C32F1">
      <w:pPr>
        <w:spacing w:after="200" w:line="276" w:lineRule="auto"/>
        <w:rPr>
          <w:b/>
        </w:rPr>
      </w:pPr>
      <w:r w:rsidRPr="003C4548">
        <w:rPr>
          <w:b/>
        </w:rPr>
        <w:t xml:space="preserve">Proposal </w:t>
      </w:r>
      <w:r>
        <w:rPr>
          <w:b/>
        </w:rPr>
        <w:t>6</w:t>
      </w:r>
      <w:r w:rsidRPr="00872530">
        <w:rPr>
          <w:b/>
        </w:rPr>
        <w:t>: Support granting multiple Msg 3 transmission occasions in Msg 2 to alleviate the transmission restrictions imposed by LBT and delay caused by Msg 3 retransmission</w:t>
      </w:r>
      <w:r w:rsidRPr="00DF1526">
        <w:rPr>
          <w:b/>
        </w:rPr>
        <w:t>s according to the HARQ protocol.</w:t>
      </w:r>
    </w:p>
    <w:p w14:paraId="59C3B59D" w14:textId="3D7D87EE" w:rsidR="00FE6E1F" w:rsidRDefault="00FE6E1F" w:rsidP="00FE6E1F">
      <w:pPr>
        <w:pStyle w:val="Heading1"/>
      </w:pPr>
      <w:r>
        <w:t>References</w:t>
      </w:r>
    </w:p>
    <w:p w14:paraId="13D48796" w14:textId="636B8DF3" w:rsidR="00FE6E1F" w:rsidRPr="00760D50" w:rsidRDefault="00FE6E1F" w:rsidP="00760D50">
      <w:pPr>
        <w:pStyle w:val="ListParagraph"/>
        <w:numPr>
          <w:ilvl w:val="0"/>
          <w:numId w:val="35"/>
        </w:numPr>
        <w:rPr>
          <w:rFonts w:ascii="Times New Roman" w:hAnsi="Times New Roman"/>
          <w:lang w:val="en-GB" w:eastAsia="zh-CN"/>
        </w:rPr>
      </w:pPr>
      <w:r w:rsidRPr="00760D50">
        <w:rPr>
          <w:rFonts w:ascii="Times New Roman" w:hAnsi="Times New Roman"/>
          <w:lang w:bidi="en-US"/>
        </w:rPr>
        <w:t>“RAN1 Chairman’s Notes”</w:t>
      </w:r>
      <w:r w:rsidR="00760D50" w:rsidRPr="00760D50">
        <w:rPr>
          <w:rFonts w:ascii="Times New Roman" w:hAnsi="Times New Roman"/>
          <w:lang w:bidi="en-US"/>
        </w:rPr>
        <w:t>, RAN WG1 Meeting #94, Gothenburg, Sweden, August 20th – 24th, 2018</w:t>
      </w:r>
      <w:r w:rsidR="00760D50">
        <w:rPr>
          <w:rFonts w:ascii="Times New Roman" w:hAnsi="Times New Roman"/>
          <w:lang w:bidi="en-US"/>
        </w:rPr>
        <w:t>.</w:t>
      </w:r>
    </w:p>
    <w:p w14:paraId="035FE209" w14:textId="1383C287" w:rsidR="00E00A8E" w:rsidRPr="00E00A8E" w:rsidRDefault="00E00A8E" w:rsidP="00E00A8E">
      <w:pPr>
        <w:rPr>
          <w:b/>
          <w:lang w:val="en-GB"/>
        </w:rPr>
      </w:pPr>
    </w:p>
    <w:sectPr w:rsidR="00E00A8E" w:rsidRPr="00E00A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D6690" w14:textId="77777777" w:rsidR="00912C7D" w:rsidRDefault="00912C7D">
      <w:r>
        <w:separator/>
      </w:r>
    </w:p>
  </w:endnote>
  <w:endnote w:type="continuationSeparator" w:id="0">
    <w:p w14:paraId="0C1097C8" w14:textId="77777777" w:rsidR="00912C7D" w:rsidRDefault="00912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DA752" w14:textId="77777777" w:rsidR="00912C7D" w:rsidRDefault="00912C7D">
      <w:r>
        <w:separator/>
      </w:r>
    </w:p>
  </w:footnote>
  <w:footnote w:type="continuationSeparator" w:id="0">
    <w:p w14:paraId="285E80D9" w14:textId="77777777" w:rsidR="00912C7D" w:rsidRDefault="00912C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E6CA62B2"/>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7B499E"/>
    <w:multiLevelType w:val="hybridMultilevel"/>
    <w:tmpl w:val="D3946746"/>
    <w:lvl w:ilvl="0" w:tplc="DB38A5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C8D5221"/>
    <w:multiLevelType w:val="hybridMultilevel"/>
    <w:tmpl w:val="DBCCA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4"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5354387"/>
    <w:multiLevelType w:val="hybridMultilevel"/>
    <w:tmpl w:val="CA442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30"/>
  </w:num>
  <w:num w:numId="3">
    <w:abstractNumId w:val="24"/>
  </w:num>
  <w:num w:numId="4">
    <w:abstractNumId w:val="17"/>
  </w:num>
  <w:num w:numId="5">
    <w:abstractNumId w:val="14"/>
  </w:num>
  <w:num w:numId="6">
    <w:abstractNumId w:val="31"/>
  </w:num>
  <w:num w:numId="7">
    <w:abstractNumId w:val="15"/>
  </w:num>
  <w:num w:numId="8">
    <w:abstractNumId w:val="13"/>
  </w:num>
  <w:num w:numId="9">
    <w:abstractNumId w:val="28"/>
  </w:num>
  <w:num w:numId="10">
    <w:abstractNumId w:val="12"/>
  </w:num>
  <w:num w:numId="11">
    <w:abstractNumId w:val="2"/>
  </w:num>
  <w:num w:numId="12">
    <w:abstractNumId w:val="27"/>
  </w:num>
  <w:num w:numId="13">
    <w:abstractNumId w:val="7"/>
  </w:num>
  <w:num w:numId="14">
    <w:abstractNumId w:val="16"/>
  </w:num>
  <w:num w:numId="15">
    <w:abstractNumId w:val="2"/>
  </w:num>
  <w:num w:numId="16">
    <w:abstractNumId w:val="2"/>
  </w:num>
  <w:num w:numId="17">
    <w:abstractNumId w:val="1"/>
  </w:num>
  <w:num w:numId="18">
    <w:abstractNumId w:val="11"/>
  </w:num>
  <w:num w:numId="19">
    <w:abstractNumId w:val="20"/>
  </w:num>
  <w:num w:numId="20">
    <w:abstractNumId w:val="22"/>
  </w:num>
  <w:num w:numId="21">
    <w:abstractNumId w:val="9"/>
  </w:num>
  <w:num w:numId="22">
    <w:abstractNumId w:val="21"/>
  </w:num>
  <w:num w:numId="23">
    <w:abstractNumId w:val="0"/>
  </w:num>
  <w:num w:numId="24">
    <w:abstractNumId w:val="8"/>
  </w:num>
  <w:num w:numId="25">
    <w:abstractNumId w:val="26"/>
  </w:num>
  <w:num w:numId="26">
    <w:abstractNumId w:val="23"/>
  </w:num>
  <w:num w:numId="27">
    <w:abstractNumId w:val="6"/>
  </w:num>
  <w:num w:numId="28">
    <w:abstractNumId w:val="5"/>
  </w:num>
  <w:num w:numId="29">
    <w:abstractNumId w:val="3"/>
  </w:num>
  <w:num w:numId="30">
    <w:abstractNumId w:val="29"/>
  </w:num>
  <w:num w:numId="31">
    <w:abstractNumId w:val="19"/>
  </w:num>
  <w:num w:numId="32">
    <w:abstractNumId w:val="25"/>
  </w:num>
  <w:num w:numId="33">
    <w:abstractNumId w:val="4"/>
  </w:num>
  <w:num w:numId="34">
    <w:abstractNumId w:val="10"/>
  </w:num>
  <w:num w:numId="3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0E8"/>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0F6A"/>
    <w:rsid w:val="0005192F"/>
    <w:rsid w:val="000519CC"/>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A96"/>
    <w:rsid w:val="00085E04"/>
    <w:rsid w:val="000861CD"/>
    <w:rsid w:val="00086289"/>
    <w:rsid w:val="0008628A"/>
    <w:rsid w:val="00086543"/>
    <w:rsid w:val="00086800"/>
    <w:rsid w:val="000869C2"/>
    <w:rsid w:val="00087337"/>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1B"/>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954"/>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7C"/>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1E2"/>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E26"/>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2F94"/>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81D"/>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524"/>
    <w:rsid w:val="00213749"/>
    <w:rsid w:val="00213844"/>
    <w:rsid w:val="00213917"/>
    <w:rsid w:val="002140FF"/>
    <w:rsid w:val="002141E6"/>
    <w:rsid w:val="00214365"/>
    <w:rsid w:val="002146D9"/>
    <w:rsid w:val="00214C8B"/>
    <w:rsid w:val="00215AA8"/>
    <w:rsid w:val="00215CDD"/>
    <w:rsid w:val="0021609D"/>
    <w:rsid w:val="0021618E"/>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6E6"/>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4FB"/>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3AB"/>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72B"/>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76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1B"/>
    <w:rsid w:val="003E1B7F"/>
    <w:rsid w:val="003E1CEB"/>
    <w:rsid w:val="003E2443"/>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6CE4"/>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416"/>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2AC"/>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47E"/>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3948"/>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2F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BC"/>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809"/>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36D"/>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50"/>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4D56"/>
    <w:rsid w:val="0076551C"/>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63A"/>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926"/>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4D39"/>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2C7D"/>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6EAD"/>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2A64"/>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636"/>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585"/>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6DC"/>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0B6"/>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A91"/>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35C"/>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CD8"/>
    <w:rsid w:val="00B61D66"/>
    <w:rsid w:val="00B6213D"/>
    <w:rsid w:val="00B6266F"/>
    <w:rsid w:val="00B6279B"/>
    <w:rsid w:val="00B6283A"/>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431"/>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73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2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172"/>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651"/>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AB6"/>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0A8E"/>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1C8"/>
    <w:rsid w:val="00E37363"/>
    <w:rsid w:val="00E374CC"/>
    <w:rsid w:val="00E37680"/>
    <w:rsid w:val="00E37923"/>
    <w:rsid w:val="00E37994"/>
    <w:rsid w:val="00E4037C"/>
    <w:rsid w:val="00E4070C"/>
    <w:rsid w:val="00E40C8A"/>
    <w:rsid w:val="00E417C6"/>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BA9"/>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4C2"/>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192"/>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66D"/>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6B7A"/>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D4A"/>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6EF5"/>
    <w:rsid w:val="00FB7459"/>
    <w:rsid w:val="00FB7541"/>
    <w:rsid w:val="00FB7601"/>
    <w:rsid w:val="00FB7634"/>
    <w:rsid w:val="00FC0150"/>
    <w:rsid w:val="00FC03AB"/>
    <w:rsid w:val="00FC0640"/>
    <w:rsid w:val="00FC08DE"/>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E1F"/>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FE6E1F"/>
    <w:pPr>
      <w:keepNext/>
      <w:keepLines/>
      <w:numPr>
        <w:numId w:val="11"/>
      </w:numPr>
      <w:pBdr>
        <w:top w:val="single" w:sz="12" w:space="3" w:color="auto"/>
      </w:pBdr>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FE6E1F"/>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286DC3-2F65-4A7C-B01E-7A8EEF9D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Alexander Golitschek</cp:lastModifiedBy>
  <cp:revision>2</cp:revision>
  <cp:lastPrinted>2016-08-12T06:06:00Z</cp:lastPrinted>
  <dcterms:created xsi:type="dcterms:W3CDTF">2019-01-12T00:49:00Z</dcterms:created>
  <dcterms:modified xsi:type="dcterms:W3CDTF">2019-01-12T00:49:00Z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