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</w:t>
      </w:r>
      <w:r w:rsidR="00FC33E8" w:rsidRPr="00FC33E8">
        <w:rPr>
          <w:rFonts w:cs="Arial"/>
          <w:b/>
          <w:bCs/>
          <w:sz w:val="24"/>
        </w:rPr>
        <w:t>WG1 Ad-Hoc Meeting 1901</w:t>
      </w:r>
      <w:bookmarkStart w:id="0" w:name="_GoBack"/>
      <w:bookmarkEnd w:id="0"/>
      <w:r w:rsidRPr="00CF2842">
        <w:rPr>
          <w:b/>
          <w:noProof/>
          <w:sz w:val="24"/>
        </w:rPr>
        <w:tab/>
      </w:r>
      <w:r w:rsidR="00B337B3" w:rsidRPr="00B337B3">
        <w:rPr>
          <w:b/>
          <w:noProof/>
          <w:sz w:val="24"/>
        </w:rPr>
        <w:t>R1-1</w:t>
      </w:r>
      <w:r w:rsidR="00B95BE8">
        <w:rPr>
          <w:b/>
          <w:noProof/>
          <w:sz w:val="24"/>
        </w:rPr>
        <w:t>90</w:t>
      </w:r>
      <w:r w:rsidR="00F61468">
        <w:rPr>
          <w:b/>
          <w:noProof/>
          <w:sz w:val="24"/>
        </w:rPr>
        <w:t>0992</w:t>
      </w:r>
    </w:p>
    <w:p w:rsidR="001A26AC" w:rsidRDefault="00770FF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Taipei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Taiwan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January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 w:rsidR="002D1C48">
        <w:rPr>
          <w:rFonts w:ascii="Arial" w:hAnsi="Arial" w:cs="Arial"/>
          <w:b/>
          <w:bCs/>
          <w:sz w:val="24"/>
          <w:lang w:val="en-GB"/>
        </w:rPr>
        <w:t>21</w:t>
      </w:r>
      <w:r w:rsidR="002D1C48" w:rsidRPr="002D1C48">
        <w:rPr>
          <w:rFonts w:ascii="Arial" w:hAnsi="Arial" w:cs="Arial"/>
          <w:b/>
          <w:bCs/>
          <w:sz w:val="24"/>
          <w:vertAlign w:val="superscript"/>
          <w:lang w:val="en-GB"/>
        </w:rPr>
        <w:t>st</w:t>
      </w:r>
      <w:r w:rsidR="00C263EA">
        <w:rPr>
          <w:rFonts w:ascii="Arial" w:hAnsi="Arial" w:cs="Arial"/>
          <w:b/>
          <w:bCs/>
          <w:sz w:val="24"/>
          <w:lang w:val="en-GB"/>
        </w:rPr>
        <w:t xml:space="preserve"> </w:t>
      </w:r>
      <w:r w:rsidR="00BA037E">
        <w:rPr>
          <w:rFonts w:ascii="Arial" w:hAnsi="Arial" w:cs="Arial"/>
          <w:b/>
          <w:bCs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z w:val="24"/>
          <w:lang w:val="en-GB"/>
        </w:rPr>
        <w:t>25</w:t>
      </w:r>
      <w:r w:rsidR="00BF7DBB"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</w:t>
      </w:r>
      <w:r>
        <w:rPr>
          <w:rFonts w:ascii="Arial" w:hAnsi="Arial" w:cs="Arial"/>
          <w:b/>
          <w:bCs/>
          <w:sz w:val="24"/>
          <w:lang w:val="en-GB"/>
        </w:rPr>
        <w:t>9</w:t>
      </w:r>
    </w:p>
    <w:p w:rsidR="00D368AB" w:rsidRPr="00C263EA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08117A">
        <w:rPr>
          <w:rFonts w:ascii="Arial" w:hAnsi="Arial"/>
          <w:b/>
          <w:kern w:val="0"/>
          <w:sz w:val="24"/>
          <w:szCs w:val="22"/>
          <w:lang w:val="en-GB"/>
        </w:rPr>
        <w:t>2.9.2.1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5B1D45">
        <w:rPr>
          <w:rFonts w:ascii="Arial" w:hAnsi="Arial"/>
          <w:b/>
          <w:kern w:val="0"/>
          <w:sz w:val="24"/>
          <w:szCs w:val="22"/>
          <w:lang w:val="en-GB" w:eastAsia="en-US"/>
        </w:rPr>
        <w:t>Power saving during scheduling opportunity is sparse</w:t>
      </w:r>
    </w:p>
    <w:p w:rsidR="00C52249" w:rsidRPr="00847883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</w:p>
    <w:p w:rsidR="005505CF" w:rsidRDefault="00401E5A" w:rsidP="005505CF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Introduction</w:t>
      </w:r>
    </w:p>
    <w:p w:rsidR="00B95BE8" w:rsidRDefault="00B95BE8" w:rsidP="00B95BE8">
      <w:pPr>
        <w:widowControl/>
        <w:adjustRightInd/>
        <w:snapToGrid/>
        <w:rPr>
          <w:rFonts w:eastAsia="Batang"/>
          <w:kern w:val="0"/>
          <w:szCs w:val="20"/>
          <w:lang w:val="en-GB"/>
        </w:rPr>
      </w:pPr>
      <w:r>
        <w:rPr>
          <w:rFonts w:eastAsia="Batang"/>
          <w:kern w:val="0"/>
          <w:szCs w:val="20"/>
          <w:lang w:val="en-GB"/>
        </w:rPr>
        <w:t xml:space="preserve">In RAN1#95, power saving schemes by reducing PDCCH monitoring and decoding were agreed for further study </w:t>
      </w:r>
      <w:r w:rsidR="00DE6015">
        <w:rPr>
          <w:rFonts w:eastAsia="Batang"/>
          <w:kern w:val="0"/>
          <w:szCs w:val="20"/>
          <w:lang w:val="en-GB"/>
        </w:rPr>
        <w:t>and captured in the TR [1]</w:t>
      </w:r>
      <w:r>
        <w:rPr>
          <w:rFonts w:eastAsia="Batang"/>
          <w:kern w:val="0"/>
          <w:szCs w:val="20"/>
          <w:lang w:val="en-GB"/>
        </w:rPr>
        <w:t>:</w:t>
      </w:r>
    </w:p>
    <w:p w:rsidR="00315D27" w:rsidRDefault="00315D27" w:rsidP="00B95BE8">
      <w:pPr>
        <w:widowControl/>
        <w:adjustRightInd/>
        <w:snapToGrid/>
        <w:rPr>
          <w:rFonts w:eastAsia="Batang"/>
          <w:kern w:val="0"/>
          <w:szCs w:val="20"/>
          <w:lang w:val="en-GB"/>
        </w:rPr>
      </w:pPr>
    </w:p>
    <w:p w:rsidR="00B95BE8" w:rsidRDefault="00315D27" w:rsidP="00B95BE8">
      <w:pPr>
        <w:widowControl/>
        <w:adjustRightInd/>
        <w:snapToGrid/>
        <w:rPr>
          <w:rFonts w:eastAsia="Batang"/>
          <w:kern w:val="0"/>
          <w:szCs w:val="20"/>
          <w:lang w:val="en-GB"/>
        </w:rPr>
      </w:pPr>
      <w:r w:rsidRPr="00315D27">
        <w:rPr>
          <w:rFonts w:eastAsia="Batang"/>
          <w:noProof/>
          <w:kern w:val="0"/>
          <w:szCs w:val="20"/>
        </w:rPr>
        <mc:AlternateContent>
          <mc:Choice Requires="wps">
            <w:drawing>
              <wp:inline distT="0" distB="0" distL="0" distR="0">
                <wp:extent cx="6144567" cy="1404620"/>
                <wp:effectExtent l="0" t="0" r="27940" b="1714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56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D27" w:rsidRPr="00B95BE8" w:rsidRDefault="00315D27" w:rsidP="00315D27">
                            <w:pPr>
                              <w:widowControl/>
                              <w:adjustRightInd/>
                              <w:snapToGrid/>
                              <w:rPr>
                                <w:rFonts w:ascii="Times" w:eastAsia="Batang" w:hAnsi="Times"/>
                                <w:kern w:val="0"/>
                                <w:lang w:val="en-GB" w:eastAsia="en-US"/>
                              </w:rPr>
                            </w:pPr>
                            <w:r w:rsidRPr="00B95BE8">
                              <w:rPr>
                                <w:rFonts w:ascii="Times" w:eastAsia="Batang" w:hAnsi="Times"/>
                                <w:kern w:val="0"/>
                                <w:highlight w:val="green"/>
                                <w:lang w:val="en-GB" w:eastAsia="en-US"/>
                              </w:rPr>
                              <w:t>Agreements</w:t>
                            </w:r>
                            <w:r w:rsidRPr="00B95BE8">
                              <w:rPr>
                                <w:rFonts w:ascii="Times" w:eastAsia="Batang" w:hAnsi="Times"/>
                                <w:kern w:val="0"/>
                                <w:lang w:val="en-GB" w:eastAsia="en-US"/>
                              </w:rPr>
                              <w:t>: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The power saving schemes to reduce PDCCH monitoring and blind decoding for further studies are as follows,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1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Triggering of PDCCH monitoring – dynamic trigger through L1 signal/signaling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Power saving signal triggering PDCCH monitoring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Go-to-sleep signaling to skip PDCCH monitoring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1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PDCCH skipping - 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DCI based indication for PDCCH skipping (e.g., indication in DCI content, new SFI state).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L1 signal/signaling (other than DCI) based triggering  -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1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Mul</w:t>
                            </w:r>
                            <w:r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t</w:t>
                            </w: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iple CORESET/search space configurations 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Configuration of different PDCCH periodicities with dynamic signaling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Adaptation of CORSET/search space configuration – DCI/timer/HARQ-ACK based indication 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Dynamic/semi-persistent CORSET/search space ON/OFF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Adaptation between DRX ON</w:t>
                            </w:r>
                            <w:r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duration timer and inactivity</w:t>
                            </w:r>
                            <w:r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timer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2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Separated PDCCH monitoring of DL and UL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1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L1 signaling triggering to assist  UE in reducing the number of PDCCH blind decoding – 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1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Reduced PDCCH monitoring on SCell (including cross carrier scheduling)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numPr>
                                <w:ilvl w:val="1"/>
                                <w:numId w:val="53"/>
                              </w:numPr>
                              <w:adjustRightInd/>
                              <w:snapToGrid/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 xml:space="preserve">Network assistance –  RS is dynamically transmitted based on the need to assist UE performing synchronization, channel tracking, measurements and  channel estimations before PDCCH decoding </w:t>
                            </w:r>
                          </w:p>
                          <w:p w:rsidR="00315D27" w:rsidRPr="00B95BE8" w:rsidRDefault="00315D27" w:rsidP="00315D27">
                            <w:pPr>
                              <w:widowControl/>
                              <w:adjustRightInd/>
                              <w:snapToGrid/>
                              <w:rPr>
                                <w:rFonts w:ascii="Times" w:eastAsia="Batang" w:hAnsi="Times"/>
                                <w:kern w:val="0"/>
                                <w:lang w:val="en-GB" w:eastAsia="en-US"/>
                              </w:rPr>
                            </w:pPr>
                          </w:p>
                          <w:p w:rsidR="00315D27" w:rsidRPr="00315D27" w:rsidRDefault="00315D27" w:rsidP="00315D27">
                            <w:pPr>
                              <w:widowControl/>
                              <w:adjustRightInd/>
                              <w:snapToGrid/>
                              <w:rPr>
                                <w:lang w:val="en-GB"/>
                              </w:rPr>
                            </w:pPr>
                            <w:r w:rsidRPr="00B95BE8">
                              <w:rPr>
                                <w:rFonts w:eastAsia="Batang"/>
                                <w:kern w:val="0"/>
                                <w:szCs w:val="20"/>
                                <w:lang w:val="en-GB"/>
                              </w:rPr>
                              <w:t>Other power saving schemes for the reduction of PDCCH monitoring and blind decoding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3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">
                <v:textbox style="mso-fit-shape-to-text:t">
                  <w:txbxContent>
                    <w:p w:rsidR="00315D27" w:rsidRPr="00B95BE8" w:rsidRDefault="00315D27" w:rsidP="00315D27">
                      <w:pPr>
                        <w:widowControl/>
                        <w:adjustRightInd/>
                        <w:snapToGrid/>
                        <w:rPr>
                          <w:rFonts w:ascii="Times" w:eastAsia="Batang" w:hAnsi="Times"/>
                          <w:kern w:val="0"/>
                          <w:lang w:val="en-GB" w:eastAsia="en-US"/>
                        </w:rPr>
                      </w:pPr>
                      <w:r w:rsidRPr="00B95BE8">
                        <w:rPr>
                          <w:rFonts w:ascii="Times" w:eastAsia="Batang" w:hAnsi="Times"/>
                          <w:kern w:val="0"/>
                          <w:highlight w:val="green"/>
                          <w:lang w:val="en-GB" w:eastAsia="en-US"/>
                        </w:rPr>
                        <w:t>Agreements</w:t>
                      </w:r>
                      <w:r w:rsidRPr="00B95BE8">
                        <w:rPr>
                          <w:rFonts w:ascii="Times" w:eastAsia="Batang" w:hAnsi="Times"/>
                          <w:kern w:val="0"/>
                          <w:lang w:val="en-GB" w:eastAsia="en-US"/>
                        </w:rPr>
                        <w:t>:</w:t>
                      </w:r>
                    </w:p>
                    <w:p w:rsidR="00315D27" w:rsidRPr="00B95BE8" w:rsidRDefault="00315D27" w:rsidP="00315D27">
                      <w:pPr>
                        <w:widowControl/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The power saving schemes to reduce PDCCH monitoring and blind decoding for further studies are as follows,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1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Triggering of PDCCH monitoring – dynamic trigger through L1 signal/signaling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Power saving signal triggering PDCCH monitoring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Go-to-sleep signaling to skip PDCCH monitoring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1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PDCCH skipping - 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DCI based indication for PDCCH skipping (e.g., indication in DCI content, new SFI state).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L1 signal/signaling (other than DCI) based triggering  -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1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Mul</w:t>
                      </w:r>
                      <w:r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t</w:t>
                      </w: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iple CORESET/search space configurations 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Configuration of different PDCCH periodicities with dynamic signaling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Adaptation of CORSET/search space configuration – DCI/timer/HARQ-ACK based indication 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Dynamic/semi-persistent CORSET/search space ON/OFF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Adaptation between DRX ON</w:t>
                      </w:r>
                      <w:r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 </w:t>
                      </w: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duration timer and inactivity</w:t>
                      </w:r>
                      <w:r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 </w:t>
                      </w: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timer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2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Separated PDCCH monitoring of DL and UL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1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L1 signaling triggering to assist  UE in reducing the number of PDCCH blind decoding – 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1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Reduced PDCCH monitoring on SCell (including cross carrier scheduling)</w:t>
                      </w:r>
                    </w:p>
                    <w:p w:rsidR="00315D27" w:rsidRPr="00B95BE8" w:rsidRDefault="00315D27" w:rsidP="00315D27">
                      <w:pPr>
                        <w:widowControl/>
                        <w:numPr>
                          <w:ilvl w:val="1"/>
                          <w:numId w:val="53"/>
                        </w:numPr>
                        <w:adjustRightInd/>
                        <w:snapToGrid/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 xml:space="preserve">Network assistance –  RS is dynamically transmitted based on the need to assist UE performing synchronization, channel tracking, measurements and  channel estimations before PDCCH decoding </w:t>
                      </w:r>
                    </w:p>
                    <w:p w:rsidR="00315D27" w:rsidRPr="00B95BE8" w:rsidRDefault="00315D27" w:rsidP="00315D27">
                      <w:pPr>
                        <w:widowControl/>
                        <w:adjustRightInd/>
                        <w:snapToGrid/>
                        <w:rPr>
                          <w:rFonts w:ascii="Times" w:eastAsia="Batang" w:hAnsi="Times"/>
                          <w:kern w:val="0"/>
                          <w:lang w:val="en-GB" w:eastAsia="en-US"/>
                        </w:rPr>
                      </w:pPr>
                    </w:p>
                    <w:p w:rsidR="00315D27" w:rsidRPr="00315D27" w:rsidRDefault="00315D27" w:rsidP="00315D27">
                      <w:pPr>
                        <w:widowControl/>
                        <w:adjustRightInd/>
                        <w:snapToGrid/>
                        <w:rPr>
                          <w:lang w:val="en-GB"/>
                        </w:rPr>
                      </w:pPr>
                      <w:r w:rsidRPr="00B95BE8">
                        <w:rPr>
                          <w:rFonts w:eastAsia="Batang"/>
                          <w:kern w:val="0"/>
                          <w:szCs w:val="20"/>
                          <w:lang w:val="en-GB"/>
                        </w:rPr>
                        <w:t>Other power saving schemes for the reduction of PDCCH monitoring and blind decoding are not precluded.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01E5A" w:rsidRDefault="00401E5A" w:rsidP="00401E5A">
      <w:pPr>
        <w:rPr>
          <w:lang w:val="en-GB"/>
        </w:rPr>
      </w:pPr>
    </w:p>
    <w:p w:rsidR="00B95BE8" w:rsidRDefault="00B95BE8" w:rsidP="00401E5A">
      <w:pPr>
        <w:rPr>
          <w:lang w:val="en-GB"/>
        </w:rPr>
      </w:pPr>
      <w:r>
        <w:rPr>
          <w:lang w:val="en-GB"/>
        </w:rPr>
        <w:t xml:space="preserve">In this contribution, we discuss about </w:t>
      </w:r>
      <w:r w:rsidR="00315D27">
        <w:rPr>
          <w:lang w:val="en-GB"/>
        </w:rPr>
        <w:t xml:space="preserve">a scenario that could be target for </w:t>
      </w:r>
      <w:r>
        <w:rPr>
          <w:lang w:val="en-GB"/>
        </w:rPr>
        <w:t>reduction of PDCCH monitoring.</w:t>
      </w:r>
    </w:p>
    <w:p w:rsidR="00401E5A" w:rsidRDefault="00401E5A" w:rsidP="00401E5A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</w:t>
      </w:r>
    </w:p>
    <w:p w:rsidR="00B56B67" w:rsidRDefault="005B44AC" w:rsidP="00935BD0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Power saving </w:t>
      </w:r>
      <w:r w:rsidR="0029141D">
        <w:rPr>
          <w:szCs w:val="22"/>
          <w:lang w:val="en-GB"/>
        </w:rPr>
        <w:t>/</w:t>
      </w:r>
      <w:r>
        <w:rPr>
          <w:szCs w:val="22"/>
          <w:lang w:val="en-GB"/>
        </w:rPr>
        <w:t xml:space="preserve"> Go-to-sleep signal were agreed for further study. </w:t>
      </w:r>
      <w:r w:rsidR="0029141D">
        <w:rPr>
          <w:szCs w:val="22"/>
          <w:lang w:val="en-GB"/>
        </w:rPr>
        <w:t xml:space="preserve">This would </w:t>
      </w:r>
      <w:r w:rsidR="00B56B67">
        <w:rPr>
          <w:szCs w:val="22"/>
          <w:lang w:val="en-GB"/>
        </w:rPr>
        <w:t xml:space="preserve">trigger </w:t>
      </w:r>
      <w:r w:rsidR="0029141D">
        <w:rPr>
          <w:szCs w:val="22"/>
          <w:lang w:val="en-GB"/>
        </w:rPr>
        <w:t xml:space="preserve">UE to </w:t>
      </w:r>
      <w:r w:rsidR="00B56B67">
        <w:rPr>
          <w:szCs w:val="22"/>
          <w:lang w:val="en-GB"/>
        </w:rPr>
        <w:t xml:space="preserve">move to </w:t>
      </w:r>
      <w:r w:rsidR="0029141D">
        <w:rPr>
          <w:szCs w:val="22"/>
          <w:lang w:val="en-GB"/>
        </w:rPr>
        <w:t>lower activity mode.</w:t>
      </w:r>
    </w:p>
    <w:p w:rsidR="003E7924" w:rsidRPr="00935BD0" w:rsidRDefault="005B44AC" w:rsidP="00935BD0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On the other hand, there may be intermediate state of UE activity. For example, </w:t>
      </w:r>
      <w:r w:rsidR="00B56B67">
        <w:rPr>
          <w:szCs w:val="22"/>
          <w:lang w:val="en-GB"/>
        </w:rPr>
        <w:t xml:space="preserve">a </w:t>
      </w:r>
      <w:r w:rsidR="0029141D">
        <w:rPr>
          <w:szCs w:val="22"/>
          <w:lang w:val="en-GB"/>
        </w:rPr>
        <w:t xml:space="preserve">UE is </w:t>
      </w:r>
      <w:r w:rsidR="006B30F5">
        <w:rPr>
          <w:szCs w:val="22"/>
          <w:lang w:val="en-GB"/>
        </w:rPr>
        <w:t xml:space="preserve">still </w:t>
      </w:r>
      <w:r w:rsidR="0029141D">
        <w:rPr>
          <w:szCs w:val="22"/>
          <w:lang w:val="en-GB"/>
        </w:rPr>
        <w:t xml:space="preserve">active </w:t>
      </w:r>
      <w:r w:rsidR="006B30F5">
        <w:rPr>
          <w:szCs w:val="22"/>
          <w:lang w:val="en-GB"/>
        </w:rPr>
        <w:t xml:space="preserve">and want to access the network </w:t>
      </w:r>
      <w:r w:rsidR="0029141D">
        <w:rPr>
          <w:szCs w:val="22"/>
          <w:lang w:val="en-GB"/>
        </w:rPr>
        <w:t xml:space="preserve">while </w:t>
      </w:r>
      <w:r>
        <w:rPr>
          <w:szCs w:val="22"/>
          <w:lang w:val="en-GB"/>
        </w:rPr>
        <w:t xml:space="preserve">scheduling opportunity can be sparse </w:t>
      </w:r>
      <w:r w:rsidR="00B56B67">
        <w:rPr>
          <w:szCs w:val="22"/>
          <w:lang w:val="en-GB"/>
        </w:rPr>
        <w:t xml:space="preserve">and UE has to wait for PDCCH intended for it long time, e.g. due to long queue </w:t>
      </w:r>
      <w:r>
        <w:rPr>
          <w:szCs w:val="22"/>
          <w:lang w:val="en-GB"/>
        </w:rPr>
        <w:t>of gNB scheduler</w:t>
      </w:r>
      <w:r w:rsidR="00977B82">
        <w:rPr>
          <w:szCs w:val="22"/>
          <w:lang w:val="en-GB"/>
        </w:rPr>
        <w:t xml:space="preserve">, </w:t>
      </w:r>
      <w:r w:rsidR="00315D27">
        <w:rPr>
          <w:szCs w:val="22"/>
          <w:lang w:val="en-GB"/>
        </w:rPr>
        <w:t>congestion</w:t>
      </w:r>
      <w:r w:rsidR="00977B82">
        <w:rPr>
          <w:szCs w:val="22"/>
          <w:lang w:val="en-GB"/>
        </w:rPr>
        <w:t xml:space="preserve"> </w:t>
      </w:r>
      <w:r w:rsidR="003E7924">
        <w:rPr>
          <w:szCs w:val="22"/>
          <w:lang w:val="en-GB"/>
        </w:rPr>
        <w:t xml:space="preserve">on </w:t>
      </w:r>
      <w:r>
        <w:rPr>
          <w:szCs w:val="22"/>
          <w:lang w:val="en-GB"/>
        </w:rPr>
        <w:t xml:space="preserve">application server, etc. </w:t>
      </w:r>
      <w:r w:rsidR="003E7924">
        <w:rPr>
          <w:szCs w:val="22"/>
          <w:lang w:val="en-GB"/>
        </w:rPr>
        <w:t xml:space="preserve">In such situation, a UE has to </w:t>
      </w:r>
      <w:r w:rsidR="00977B82">
        <w:rPr>
          <w:szCs w:val="22"/>
          <w:lang w:val="en-GB"/>
        </w:rPr>
        <w:t xml:space="preserve">continue </w:t>
      </w:r>
      <w:r w:rsidR="003E7924">
        <w:rPr>
          <w:szCs w:val="22"/>
          <w:lang w:val="en-GB"/>
        </w:rPr>
        <w:t xml:space="preserve">decode PDCCHs </w:t>
      </w:r>
      <w:r w:rsidR="00315D27">
        <w:rPr>
          <w:szCs w:val="22"/>
          <w:lang w:val="en-GB"/>
        </w:rPr>
        <w:t>for relatively long time duration</w:t>
      </w:r>
      <w:r w:rsidR="00315D27" w:rsidRPr="00315D27">
        <w:rPr>
          <w:szCs w:val="22"/>
          <w:lang w:val="en-GB"/>
        </w:rPr>
        <w:t xml:space="preserve"> </w:t>
      </w:r>
      <w:r w:rsidR="00315D27">
        <w:rPr>
          <w:szCs w:val="22"/>
          <w:lang w:val="en-GB"/>
        </w:rPr>
        <w:t>without PDSCH/PUSCH intended for the UE</w:t>
      </w:r>
      <w:r w:rsidR="00977B82">
        <w:rPr>
          <w:szCs w:val="22"/>
          <w:lang w:val="en-GB"/>
        </w:rPr>
        <w:t xml:space="preserve">, which </w:t>
      </w:r>
      <w:r w:rsidR="005B1D45">
        <w:rPr>
          <w:szCs w:val="22"/>
          <w:lang w:val="en-GB"/>
        </w:rPr>
        <w:t xml:space="preserve">also </w:t>
      </w:r>
      <w:r w:rsidR="00977B82">
        <w:rPr>
          <w:szCs w:val="22"/>
          <w:lang w:val="en-GB"/>
        </w:rPr>
        <w:t xml:space="preserve">leads </w:t>
      </w:r>
      <w:r w:rsidR="005B1D45">
        <w:rPr>
          <w:szCs w:val="22"/>
          <w:lang w:val="en-GB"/>
        </w:rPr>
        <w:t xml:space="preserve">to </w:t>
      </w:r>
      <w:r w:rsidR="00977B82">
        <w:rPr>
          <w:szCs w:val="22"/>
          <w:lang w:val="en-GB"/>
        </w:rPr>
        <w:t>unnecessary UE power consumption.</w:t>
      </w:r>
    </w:p>
    <w:p w:rsidR="00590422" w:rsidRDefault="00961B82" w:rsidP="00590422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DB2FC1" w:rsidRPr="00315D27" w:rsidRDefault="00F25EBE" w:rsidP="00B6712A">
      <w:pPr>
        <w:spacing w:after="120"/>
        <w:rPr>
          <w:szCs w:val="22"/>
          <w:u w:val="single"/>
          <w:lang w:val="en-GB"/>
        </w:rPr>
      </w:pPr>
      <w:r w:rsidRPr="00315D27">
        <w:rPr>
          <w:szCs w:val="22"/>
          <w:u w:val="single"/>
          <w:lang w:val="en-GB"/>
        </w:rPr>
        <w:t>Proposal:</w:t>
      </w:r>
    </w:p>
    <w:p w:rsidR="00A637ED" w:rsidRDefault="005B1D45" w:rsidP="00B6712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Consider </w:t>
      </w:r>
      <w:r w:rsidR="00315D27">
        <w:rPr>
          <w:szCs w:val="22"/>
          <w:lang w:val="en-GB"/>
        </w:rPr>
        <w:t xml:space="preserve">a scenario for </w:t>
      </w:r>
      <w:r>
        <w:rPr>
          <w:szCs w:val="22"/>
          <w:lang w:val="en-GB"/>
        </w:rPr>
        <w:t>UE power saving wh</w:t>
      </w:r>
      <w:r w:rsidR="00315D27">
        <w:rPr>
          <w:szCs w:val="22"/>
          <w:lang w:val="en-GB"/>
        </w:rPr>
        <w:t>ere</w:t>
      </w:r>
      <w:r>
        <w:rPr>
          <w:szCs w:val="22"/>
          <w:lang w:val="en-GB"/>
        </w:rPr>
        <w:t xml:space="preserve"> a UE is </w:t>
      </w:r>
      <w:r w:rsidR="00315D27">
        <w:rPr>
          <w:szCs w:val="22"/>
          <w:lang w:val="en-GB"/>
        </w:rPr>
        <w:t xml:space="preserve">still </w:t>
      </w:r>
      <w:r>
        <w:rPr>
          <w:szCs w:val="22"/>
          <w:lang w:val="en-GB"/>
        </w:rPr>
        <w:t>active but scheduling opportunity is sparse.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86670F" w:rsidRPr="004C583A" w:rsidRDefault="00C24809" w:rsidP="00C24809">
      <w:pPr>
        <w:spacing w:line="264" w:lineRule="auto"/>
      </w:pPr>
      <w:r w:rsidRPr="004C583A">
        <w:t xml:space="preserve">[1] </w:t>
      </w:r>
      <w:r w:rsidR="00B95BE8">
        <w:t>TR38.840 V0.1.0</w:t>
      </w:r>
    </w:p>
    <w:sectPr w:rsidR="0086670F" w:rsidRPr="004C583A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2C2" w:rsidRDefault="004452C2" w:rsidP="00FE4763">
      <w:pPr>
        <w:spacing w:after="120"/>
      </w:pPr>
      <w:r>
        <w:separator/>
      </w:r>
    </w:p>
  </w:endnote>
  <w:endnote w:type="continuationSeparator" w:id="0">
    <w:p w:rsidR="004452C2" w:rsidRDefault="004452C2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2C2" w:rsidRDefault="004452C2" w:rsidP="00AF42B7">
      <w:pPr>
        <w:spacing w:after="120"/>
      </w:pPr>
      <w:r>
        <w:separator/>
      </w:r>
    </w:p>
  </w:footnote>
  <w:footnote w:type="continuationSeparator" w:id="0">
    <w:p w:rsidR="004452C2" w:rsidRDefault="004452C2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373"/>
        </w:tabs>
        <w:ind w:left="837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8390A"/>
    <w:multiLevelType w:val="hybridMultilevel"/>
    <w:tmpl w:val="F502D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F3446"/>
    <w:multiLevelType w:val="hybridMultilevel"/>
    <w:tmpl w:val="99CC8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23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5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154227"/>
    <w:multiLevelType w:val="hybridMultilevel"/>
    <w:tmpl w:val="3D203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870598"/>
    <w:multiLevelType w:val="hybridMultilevel"/>
    <w:tmpl w:val="E486641E"/>
    <w:lvl w:ilvl="0" w:tplc="EF7E38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462495"/>
    <w:multiLevelType w:val="hybridMultilevel"/>
    <w:tmpl w:val="54640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41785AFC"/>
    <w:multiLevelType w:val="hybridMultilevel"/>
    <w:tmpl w:val="99CC8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 w15:restartNumberingAfterBreak="0">
    <w:nsid w:val="451039DE"/>
    <w:multiLevelType w:val="hybridMultilevel"/>
    <w:tmpl w:val="8BBE6F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46660AA2"/>
    <w:multiLevelType w:val="hybridMultilevel"/>
    <w:tmpl w:val="698E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8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0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C96ADD"/>
    <w:multiLevelType w:val="hybridMultilevel"/>
    <w:tmpl w:val="A426D472"/>
    <w:lvl w:ilvl="0" w:tplc="40A202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20"/>
  </w:num>
  <w:num w:numId="4">
    <w:abstractNumId w:val="38"/>
  </w:num>
  <w:num w:numId="5">
    <w:abstractNumId w:val="14"/>
  </w:num>
  <w:num w:numId="6">
    <w:abstractNumId w:val="17"/>
  </w:num>
  <w:num w:numId="7">
    <w:abstractNumId w:val="50"/>
  </w:num>
  <w:num w:numId="8">
    <w:abstractNumId w:val="41"/>
  </w:num>
  <w:num w:numId="9">
    <w:abstractNumId w:val="45"/>
  </w:num>
  <w:num w:numId="10">
    <w:abstractNumId w:val="48"/>
  </w:num>
  <w:num w:numId="11">
    <w:abstractNumId w:val="36"/>
  </w:num>
  <w:num w:numId="12">
    <w:abstractNumId w:val="51"/>
  </w:num>
  <w:num w:numId="13">
    <w:abstractNumId w:val="25"/>
  </w:num>
  <w:num w:numId="14">
    <w:abstractNumId w:val="7"/>
  </w:num>
  <w:num w:numId="15">
    <w:abstractNumId w:val="10"/>
  </w:num>
  <w:num w:numId="16">
    <w:abstractNumId w:val="49"/>
  </w:num>
  <w:num w:numId="17">
    <w:abstractNumId w:val="27"/>
  </w:num>
  <w:num w:numId="18">
    <w:abstractNumId w:val="18"/>
  </w:num>
  <w:num w:numId="19">
    <w:abstractNumId w:val="13"/>
  </w:num>
  <w:num w:numId="20">
    <w:abstractNumId w:val="31"/>
  </w:num>
  <w:num w:numId="21">
    <w:abstractNumId w:val="9"/>
  </w:num>
  <w:num w:numId="22">
    <w:abstractNumId w:val="2"/>
  </w:num>
  <w:num w:numId="23">
    <w:abstractNumId w:val="22"/>
  </w:num>
  <w:num w:numId="24">
    <w:abstractNumId w:val="44"/>
  </w:num>
  <w:num w:numId="25">
    <w:abstractNumId w:val="16"/>
  </w:num>
  <w:num w:numId="26">
    <w:abstractNumId w:val="22"/>
  </w:num>
  <w:num w:numId="27">
    <w:abstractNumId w:val="39"/>
  </w:num>
  <w:num w:numId="28">
    <w:abstractNumId w:val="37"/>
  </w:num>
  <w:num w:numId="29">
    <w:abstractNumId w:val="21"/>
  </w:num>
  <w:num w:numId="30">
    <w:abstractNumId w:val="47"/>
  </w:num>
  <w:num w:numId="31">
    <w:abstractNumId w:val="15"/>
  </w:num>
  <w:num w:numId="32">
    <w:abstractNumId w:val="40"/>
  </w:num>
  <w:num w:numId="33">
    <w:abstractNumId w:val="42"/>
  </w:num>
  <w:num w:numId="34">
    <w:abstractNumId w:val="24"/>
  </w:num>
  <w:num w:numId="35">
    <w:abstractNumId w:val="6"/>
  </w:num>
  <w:num w:numId="36">
    <w:abstractNumId w:val="23"/>
  </w:num>
  <w:num w:numId="37">
    <w:abstractNumId w:val="19"/>
  </w:num>
  <w:num w:numId="38">
    <w:abstractNumId w:val="4"/>
  </w:num>
  <w:num w:numId="39">
    <w:abstractNumId w:val="43"/>
  </w:num>
  <w:num w:numId="40">
    <w:abstractNumId w:val="12"/>
  </w:num>
  <w:num w:numId="41">
    <w:abstractNumId w:val="5"/>
  </w:num>
  <w:num w:numId="42">
    <w:abstractNumId w:val="29"/>
  </w:num>
  <w:num w:numId="43">
    <w:abstractNumId w:val="3"/>
  </w:num>
  <w:num w:numId="44">
    <w:abstractNumId w:val="28"/>
  </w:num>
  <w:num w:numId="45">
    <w:abstractNumId w:val="32"/>
  </w:num>
  <w:num w:numId="46">
    <w:abstractNumId w:val="35"/>
  </w:num>
  <w:num w:numId="47">
    <w:abstractNumId w:val="8"/>
  </w:num>
  <w:num w:numId="48">
    <w:abstractNumId w:val="0"/>
    <w:lvlOverride w:ilvl="0">
      <w:startOverride w:val="1"/>
    </w:lvlOverride>
  </w:num>
  <w:num w:numId="49">
    <w:abstractNumId w:val="46"/>
  </w:num>
  <w:num w:numId="50">
    <w:abstractNumId w:val="1"/>
  </w:num>
  <w:num w:numId="51">
    <w:abstractNumId w:val="30"/>
  </w:num>
  <w:num w:numId="52">
    <w:abstractNumId w:val="11"/>
  </w:num>
  <w:num w:numId="53">
    <w:abstractNumId w:val="26"/>
  </w:num>
  <w:num w:numId="54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045E"/>
    <w:rsid w:val="0005124A"/>
    <w:rsid w:val="000516DB"/>
    <w:rsid w:val="00051E09"/>
    <w:rsid w:val="000541E5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2E9B"/>
    <w:rsid w:val="00063550"/>
    <w:rsid w:val="00063A31"/>
    <w:rsid w:val="000645C6"/>
    <w:rsid w:val="000648FB"/>
    <w:rsid w:val="00065AC0"/>
    <w:rsid w:val="00065B1B"/>
    <w:rsid w:val="00067E79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876"/>
    <w:rsid w:val="000F5EA1"/>
    <w:rsid w:val="000F71E4"/>
    <w:rsid w:val="00100A11"/>
    <w:rsid w:val="00100C59"/>
    <w:rsid w:val="00100F0F"/>
    <w:rsid w:val="00100FEC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E2"/>
    <w:rsid w:val="00112317"/>
    <w:rsid w:val="00113A4F"/>
    <w:rsid w:val="00114679"/>
    <w:rsid w:val="0011488C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531B"/>
    <w:rsid w:val="00146F1E"/>
    <w:rsid w:val="00150F56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3AF7"/>
    <w:rsid w:val="001B41AD"/>
    <w:rsid w:val="001B4D23"/>
    <w:rsid w:val="001B4E70"/>
    <w:rsid w:val="001B5BC1"/>
    <w:rsid w:val="001B6DA8"/>
    <w:rsid w:val="001C0514"/>
    <w:rsid w:val="001C0EB7"/>
    <w:rsid w:val="001C2B30"/>
    <w:rsid w:val="001C323B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3039"/>
    <w:rsid w:val="001F3134"/>
    <w:rsid w:val="001F31DD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C81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1C48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924"/>
    <w:rsid w:val="003E7FA5"/>
    <w:rsid w:val="003F04E4"/>
    <w:rsid w:val="003F1CFC"/>
    <w:rsid w:val="003F255F"/>
    <w:rsid w:val="003F263A"/>
    <w:rsid w:val="003F2FD4"/>
    <w:rsid w:val="003F31CD"/>
    <w:rsid w:val="003F465C"/>
    <w:rsid w:val="003F4738"/>
    <w:rsid w:val="003F5F8D"/>
    <w:rsid w:val="003F6454"/>
    <w:rsid w:val="003F6601"/>
    <w:rsid w:val="003F78E7"/>
    <w:rsid w:val="003F7C34"/>
    <w:rsid w:val="00400368"/>
    <w:rsid w:val="00401D64"/>
    <w:rsid w:val="00401DC5"/>
    <w:rsid w:val="00401E5A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A1048"/>
    <w:rsid w:val="004A1428"/>
    <w:rsid w:val="004A3623"/>
    <w:rsid w:val="004A39DB"/>
    <w:rsid w:val="004A3CA5"/>
    <w:rsid w:val="004A4FD3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182"/>
    <w:rsid w:val="004C583A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E7822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1D45"/>
    <w:rsid w:val="005B2092"/>
    <w:rsid w:val="005B2B86"/>
    <w:rsid w:val="005B2D26"/>
    <w:rsid w:val="005B44AC"/>
    <w:rsid w:val="005B4790"/>
    <w:rsid w:val="005B49C8"/>
    <w:rsid w:val="005B4B8C"/>
    <w:rsid w:val="005B4ECE"/>
    <w:rsid w:val="005B5133"/>
    <w:rsid w:val="005B7577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B3C"/>
    <w:rsid w:val="00600DFA"/>
    <w:rsid w:val="006010F2"/>
    <w:rsid w:val="006015BC"/>
    <w:rsid w:val="00601E5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1D4"/>
    <w:rsid w:val="00656478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0F5"/>
    <w:rsid w:val="006B36B1"/>
    <w:rsid w:val="006B3929"/>
    <w:rsid w:val="006B4508"/>
    <w:rsid w:val="006B4893"/>
    <w:rsid w:val="006B5220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D02"/>
    <w:rsid w:val="007030A4"/>
    <w:rsid w:val="00704D76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6C6E"/>
    <w:rsid w:val="00757040"/>
    <w:rsid w:val="007570FA"/>
    <w:rsid w:val="007605A6"/>
    <w:rsid w:val="00760B44"/>
    <w:rsid w:val="00760C92"/>
    <w:rsid w:val="007613F7"/>
    <w:rsid w:val="00761F6E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0FFB"/>
    <w:rsid w:val="00773420"/>
    <w:rsid w:val="00773691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054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5462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2E21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4B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70F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E28"/>
    <w:rsid w:val="008C5CF6"/>
    <w:rsid w:val="008C65E2"/>
    <w:rsid w:val="008C6862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605E8"/>
    <w:rsid w:val="00961175"/>
    <w:rsid w:val="00961B82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B82"/>
    <w:rsid w:val="0098011B"/>
    <w:rsid w:val="00980673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CC0"/>
    <w:rsid w:val="00996E72"/>
    <w:rsid w:val="00997B7D"/>
    <w:rsid w:val="009A04F6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BCE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58A7"/>
    <w:rsid w:val="00A066B5"/>
    <w:rsid w:val="00A07A46"/>
    <w:rsid w:val="00A12CE2"/>
    <w:rsid w:val="00A135A1"/>
    <w:rsid w:val="00A135D7"/>
    <w:rsid w:val="00A14AFE"/>
    <w:rsid w:val="00A16118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C00"/>
    <w:rsid w:val="00A44E42"/>
    <w:rsid w:val="00A45253"/>
    <w:rsid w:val="00A46A48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12B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5912"/>
    <w:rsid w:val="00AC76A7"/>
    <w:rsid w:val="00AC772C"/>
    <w:rsid w:val="00AC7AA3"/>
    <w:rsid w:val="00AD02AF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8C6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B67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BE8"/>
    <w:rsid w:val="00B95F3F"/>
    <w:rsid w:val="00B9603C"/>
    <w:rsid w:val="00B9605D"/>
    <w:rsid w:val="00B96FCA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AE9"/>
    <w:rsid w:val="00BE7134"/>
    <w:rsid w:val="00BE76A0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5D6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17C94"/>
    <w:rsid w:val="00C20D9D"/>
    <w:rsid w:val="00C224E2"/>
    <w:rsid w:val="00C24809"/>
    <w:rsid w:val="00C24D7C"/>
    <w:rsid w:val="00C25B17"/>
    <w:rsid w:val="00C263EA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2249"/>
    <w:rsid w:val="00C52BCE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3858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29F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015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476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2C87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468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1BF3"/>
    <w:rsid w:val="00F93994"/>
    <w:rsid w:val="00F93CE7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36E7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3E8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D221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uiPriority w:val="99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8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AD23D-7CF0-4EE5-9F99-D9F29CEB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2019-01-11T06:06:00Z</dcterms:modified>
</cp:coreProperties>
</file>