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4B1DB" w14:textId="4C4CEA2C" w:rsidR="00635AA0" w:rsidRPr="00BC38D5" w:rsidRDefault="00635AA0" w:rsidP="005F0454">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AH-1901</w:t>
      </w:r>
      <w:r w:rsidRPr="00BC38D5">
        <w:rPr>
          <w:rFonts w:ascii="Arial" w:hAnsi="Arial" w:cs="Arial"/>
          <w:sz w:val="24"/>
          <w:szCs w:val="24"/>
        </w:rPr>
        <w:tab/>
      </w:r>
      <w:r>
        <w:rPr>
          <w:rFonts w:ascii="Arial" w:hAnsi="Arial" w:cs="Arial"/>
          <w:sz w:val="24"/>
          <w:szCs w:val="24"/>
        </w:rPr>
        <w:t>R1-190</w:t>
      </w:r>
      <w:r w:rsidR="005F0454">
        <w:rPr>
          <w:rFonts w:ascii="Arial" w:hAnsi="Arial" w:cs="Arial"/>
          <w:sz w:val="24"/>
          <w:szCs w:val="24"/>
        </w:rPr>
        <w:t>0949</w:t>
      </w:r>
    </w:p>
    <w:p w14:paraId="75181A7D" w14:textId="77777777" w:rsidR="00635AA0" w:rsidRPr="00F8324B" w:rsidRDefault="00635AA0" w:rsidP="00635AA0">
      <w:pPr>
        <w:spacing w:after="0"/>
        <w:rPr>
          <w:rFonts w:ascii="Arial" w:hAnsi="Arial" w:cs="Arial"/>
          <w:sz w:val="24"/>
          <w:szCs w:val="24"/>
        </w:rPr>
      </w:pPr>
      <w:r>
        <w:rPr>
          <w:rFonts w:ascii="Arial" w:hAnsi="Arial" w:cs="Arial"/>
          <w:sz w:val="24"/>
          <w:szCs w:val="24"/>
        </w:rPr>
        <w:t>Taipei, 21</w:t>
      </w:r>
      <w:r>
        <w:rPr>
          <w:rFonts w:ascii="Arial" w:hAnsi="Arial" w:cs="Arial"/>
          <w:sz w:val="24"/>
          <w:szCs w:val="24"/>
          <w:vertAlign w:val="superscript"/>
        </w:rPr>
        <w:t xml:space="preserve">st </w:t>
      </w:r>
      <w:r>
        <w:rPr>
          <w:rFonts w:ascii="Arial" w:hAnsi="Arial" w:cs="Arial"/>
          <w:sz w:val="24"/>
          <w:szCs w:val="24"/>
        </w:rPr>
        <w:t>– 25</w:t>
      </w:r>
      <w:r>
        <w:rPr>
          <w:rFonts w:ascii="Arial" w:hAnsi="Arial" w:cs="Arial"/>
          <w:sz w:val="24"/>
          <w:szCs w:val="24"/>
          <w:vertAlign w:val="superscript"/>
        </w:rPr>
        <w:t>th</w:t>
      </w:r>
      <w:r>
        <w:rPr>
          <w:rFonts w:ascii="Arial" w:hAnsi="Arial" w:cs="Arial"/>
          <w:sz w:val="24"/>
          <w:szCs w:val="24"/>
        </w:rPr>
        <w:t xml:space="preserve"> January 2019</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67C71EC2" w:rsidR="009A0B47" w:rsidRPr="008D44EF" w:rsidRDefault="009A0B47" w:rsidP="00F778AB">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sidR="00F778AB" w:rsidRPr="00F778AB">
        <w:rPr>
          <w:rFonts w:ascii="Arial" w:hAnsi="Arial"/>
          <w:sz w:val="24"/>
        </w:rPr>
        <w:t>7.2.13.3</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0EBE3057" w:rsidR="009A0B47" w:rsidRPr="00F35722" w:rsidRDefault="009A0B47" w:rsidP="00F778AB">
      <w:pPr>
        <w:tabs>
          <w:tab w:val="left" w:pos="1985"/>
        </w:tabs>
        <w:spacing w:after="120"/>
        <w:ind w:left="1980" w:hanging="1980"/>
        <w:rPr>
          <w:rFonts w:ascii="Arial" w:hAnsi="Arial"/>
          <w:sz w:val="24"/>
        </w:rPr>
      </w:pPr>
      <w:r w:rsidRPr="00F778AB">
        <w:rPr>
          <w:rFonts w:ascii="Arial" w:hAnsi="Arial"/>
          <w:b/>
          <w:sz w:val="24"/>
        </w:rPr>
        <w:t>Title:</w:t>
      </w:r>
      <w:r w:rsidRPr="00F778AB">
        <w:rPr>
          <w:rFonts w:ascii="Arial" w:hAnsi="Arial"/>
          <w:sz w:val="24"/>
        </w:rPr>
        <w:t xml:space="preserve"> </w:t>
      </w:r>
      <w:r w:rsidRPr="00F778AB">
        <w:rPr>
          <w:rFonts w:ascii="Arial" w:hAnsi="Arial"/>
          <w:sz w:val="24"/>
        </w:rPr>
        <w:tab/>
      </w:r>
      <w:bookmarkStart w:id="1" w:name="Title"/>
      <w:bookmarkEnd w:id="1"/>
      <w:r w:rsidR="00F778AB" w:rsidRPr="00F778AB">
        <w:rPr>
          <w:rFonts w:ascii="Arial" w:hAnsi="Arial"/>
          <w:sz w:val="24"/>
        </w:rPr>
        <w:tab/>
        <w:t>On Potential Enhancements for Single Uplink Operation for EN-DC</w:t>
      </w:r>
      <w:r>
        <w:rPr>
          <w:rFonts w:ascii="Arial" w:hAnsi="Arial"/>
          <w:sz w:val="24"/>
        </w:rPr>
        <w:t xml:space="preserve"> </w:t>
      </w:r>
    </w:p>
    <w:p w14:paraId="262AEC5E" w14:textId="331242FD"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xml:space="preserve"> and </w:t>
      </w:r>
      <w:r w:rsidR="00D36668">
        <w:rPr>
          <w:rFonts w:ascii="Arial" w:hAnsi="Arial"/>
          <w:sz w:val="24"/>
        </w:rPr>
        <w:t xml:space="preserve">Decision  </w:t>
      </w:r>
    </w:p>
    <w:p w14:paraId="57BA9835" w14:textId="77777777" w:rsidR="009A0B47" w:rsidRDefault="009A0B47" w:rsidP="009A0B47">
      <w:pPr>
        <w:pStyle w:val="Heading1"/>
        <w:ind w:left="0" w:firstLine="0"/>
      </w:pPr>
      <w:r>
        <w:t>Introduction</w:t>
      </w:r>
    </w:p>
    <w:p w14:paraId="6147A182" w14:textId="6A6B4AFD" w:rsidR="00357278" w:rsidRDefault="00172265" w:rsidP="00F84067">
      <w:pPr>
        <w:jc w:val="both"/>
      </w:pPr>
      <w:r>
        <w:t xml:space="preserve">5G NR </w:t>
      </w:r>
      <w:r w:rsidR="00357278">
        <w:t xml:space="preserve">Rel-15 </w:t>
      </w:r>
      <w:r>
        <w:t xml:space="preserve">supports power sharing </w:t>
      </w:r>
      <w:r w:rsidR="00F84067">
        <w:t xml:space="preserve">in </w:t>
      </w:r>
      <w:r>
        <w:t xml:space="preserve">EUTRA-NR dual connectivity or EN-DC, where LTE is the master cell group (MCG) and NR is </w:t>
      </w:r>
      <w:r w:rsidR="00357278">
        <w:t xml:space="preserve">the secondary cell group (SCG) with two different modes [1, TS 38.213]: One mode is dynamic </w:t>
      </w:r>
      <w:r w:rsidR="00357278" w:rsidRPr="00BD0E0A">
        <w:t>power sharing</w:t>
      </w:r>
      <w:r w:rsidR="00357278">
        <w:t xml:space="preserve">, in which </w:t>
      </w:r>
      <w:r w:rsidR="00357278" w:rsidRPr="00172265">
        <w:t>the power setting for L</w:t>
      </w:r>
      <w:r w:rsidR="00357278">
        <w:t xml:space="preserve">TE (which is the MCG) </w:t>
      </w:r>
      <w:r w:rsidR="00357278" w:rsidRPr="00172265">
        <w:t xml:space="preserve">is not changed, and in case of power-limitation, NR (which is the SCG) scales down power or drops </w:t>
      </w:r>
      <w:r w:rsidR="00357278">
        <w:t xml:space="preserve">the </w:t>
      </w:r>
      <w:r w:rsidR="00357278" w:rsidRPr="00172265">
        <w:t>transmission</w:t>
      </w:r>
      <w:r w:rsidR="00357278">
        <w:t xml:space="preserve">. A second mode is single </w:t>
      </w:r>
      <w:r w:rsidR="00357278" w:rsidRPr="00172265">
        <w:t>uplink operation</w:t>
      </w:r>
      <w:r w:rsidR="00034158">
        <w:t xml:space="preserve"> (SUO)</w:t>
      </w:r>
      <w:r w:rsidR="00357278">
        <w:t xml:space="preserve">, in which </w:t>
      </w:r>
      <w:r w:rsidR="00357278" w:rsidRPr="00172265">
        <w:t xml:space="preserve">the UE is configured with a reference DL/UL TDD </w:t>
      </w:r>
      <w:r w:rsidR="00357278">
        <w:t>configuration</w:t>
      </w:r>
      <w:r w:rsidR="00357278" w:rsidRPr="00172265">
        <w:t xml:space="preserve"> (for an FDD cell)</w:t>
      </w:r>
      <w:r w:rsidR="00357278">
        <w:t xml:space="preserve">, so that </w:t>
      </w:r>
      <w:r w:rsidR="00357278" w:rsidRPr="00172265">
        <w:t>LTE can only make UL transmissions on the designated UL subframes for LTE, on which NR is not allowed to make any UL transmission. NR can only make UL transmission on the designated DL subframes for LTE.</w:t>
      </w:r>
      <w:r w:rsidR="00357278">
        <w:t xml:space="preserve"> </w:t>
      </w:r>
    </w:p>
    <w:p w14:paraId="11A989AD" w14:textId="21AA8590" w:rsidR="00357278" w:rsidRDefault="00357278" w:rsidP="00357278">
      <w:pPr>
        <w:jc w:val="both"/>
      </w:pPr>
      <w:r>
        <w:rPr>
          <w:rFonts w:eastAsia="MS Mincho"/>
          <w:lang w:val="en-US" w:eastAsia="ja-JP"/>
        </w:rPr>
        <w:t xml:space="preserve">The new WI on multi-RAT dual connectivity (DC) and carrier aggregation (CA) enhancement </w:t>
      </w:r>
      <w:r w:rsidR="00F84067">
        <w:rPr>
          <w:rFonts w:eastAsia="MS Mincho"/>
          <w:lang w:val="en-US" w:eastAsia="ja-JP"/>
        </w:rPr>
        <w:t xml:space="preserve">[2] </w:t>
      </w:r>
      <w:r>
        <w:rPr>
          <w:rFonts w:eastAsia="MS Mincho"/>
          <w:lang w:val="en-US" w:eastAsia="ja-JP"/>
        </w:rPr>
        <w:t xml:space="preserve">in Rel-16 includes an objective to study and possibly specify </w:t>
      </w:r>
      <w:r w:rsidR="00635F43">
        <w:rPr>
          <w:rFonts w:eastAsia="MS Mincho"/>
          <w:lang w:val="en-US" w:eastAsia="ja-JP"/>
        </w:rPr>
        <w:t xml:space="preserve">enhancements to the single uplink operation in EN-DC, e.g., removing the requirement for a reference TDD configuration. </w:t>
      </w:r>
    </w:p>
    <w:p w14:paraId="3208523B" w14:textId="77777777" w:rsidR="00357278" w:rsidRDefault="00357278" w:rsidP="00357278">
      <w:pPr>
        <w:tabs>
          <w:tab w:val="left" w:pos="1440"/>
        </w:tabs>
        <w:jc w:val="both"/>
        <w:rPr>
          <w:i/>
        </w:rPr>
      </w:pPr>
      <w:r>
        <w:rPr>
          <w:noProof/>
          <w:lang w:val="en-US"/>
        </w:rPr>
        <mc:AlternateContent>
          <mc:Choice Requires="wps">
            <w:drawing>
              <wp:inline distT="0" distB="0" distL="0" distR="0" wp14:anchorId="04476A58" wp14:editId="0893BAF0">
                <wp:extent cx="5943600" cy="2479040"/>
                <wp:effectExtent l="0" t="0" r="1905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479040"/>
                        </a:xfrm>
                        <a:prstGeom prst="rect">
                          <a:avLst/>
                        </a:prstGeom>
                        <a:solidFill>
                          <a:srgbClr val="FFFFFF"/>
                        </a:solidFill>
                        <a:ln w="9525">
                          <a:solidFill>
                            <a:srgbClr val="000000"/>
                          </a:solidFill>
                          <a:miter lim="800000"/>
                          <a:headEnd/>
                          <a:tailEnd/>
                        </a:ln>
                      </wps:spPr>
                      <wps:txbx>
                        <w:txbxContent>
                          <w:p w14:paraId="47453D4F" w14:textId="77777777" w:rsidR="00357278" w:rsidRDefault="00357278" w:rsidP="00357278">
                            <w:pPr>
                              <w:pStyle w:val="LGTdoc"/>
                              <w:spacing w:afterLines="0" w:line="240" w:lineRule="auto"/>
                              <w:rPr>
                                <w:b/>
                                <w:sz w:val="20"/>
                                <w:szCs w:val="22"/>
                              </w:rPr>
                            </w:pPr>
                            <w:r w:rsidRPr="00C81DF6">
                              <w:rPr>
                                <w:b/>
                                <w:sz w:val="20"/>
                                <w:szCs w:val="22"/>
                              </w:rPr>
                              <w:t xml:space="preserve">Excerpt from </w:t>
                            </w:r>
                            <w:r>
                              <w:rPr>
                                <w:b/>
                                <w:sz w:val="20"/>
                                <w:szCs w:val="22"/>
                              </w:rPr>
                              <w:t xml:space="preserve">WID in </w:t>
                            </w:r>
                            <w:r w:rsidRPr="00D9281F">
                              <w:rPr>
                                <w:b/>
                                <w:sz w:val="20"/>
                                <w:szCs w:val="22"/>
                              </w:rPr>
                              <w:t>RP-182076</w:t>
                            </w:r>
                            <w:r>
                              <w:rPr>
                                <w:b/>
                                <w:sz w:val="20"/>
                                <w:szCs w:val="22"/>
                              </w:rPr>
                              <w:t xml:space="preserve"> [2]</w:t>
                            </w:r>
                          </w:p>
                          <w:p w14:paraId="464DED18" w14:textId="6C863BA5" w:rsidR="00357278" w:rsidRDefault="00357278" w:rsidP="00357278">
                            <w:pPr>
                              <w:tabs>
                                <w:tab w:val="num" w:pos="2160"/>
                              </w:tabs>
                              <w:spacing w:after="0"/>
                              <w:jc w:val="both"/>
                              <w:rPr>
                                <w:bCs/>
                                <w:lang w:val="en-US"/>
                              </w:rPr>
                            </w:pPr>
                            <w:r>
                              <w:rPr>
                                <w:bCs/>
                                <w:lang w:val="en-US"/>
                              </w:rPr>
                              <w:t>The objective of this work item is to investigate enhancements to DC and CA. At least the following topics should be considered in the work:</w:t>
                            </w:r>
                          </w:p>
                          <w:p w14:paraId="74AB0B18" w14:textId="16932976" w:rsidR="00635F43" w:rsidRDefault="00635F43" w:rsidP="00357278">
                            <w:pPr>
                              <w:tabs>
                                <w:tab w:val="num" w:pos="2160"/>
                              </w:tabs>
                              <w:spacing w:after="0"/>
                              <w:jc w:val="both"/>
                              <w:rPr>
                                <w:bCs/>
                                <w:lang w:val="en-US"/>
                              </w:rPr>
                            </w:pPr>
                            <w:r>
                              <w:rPr>
                                <w:bCs/>
                                <w:lang w:val="en-US"/>
                              </w:rPr>
                              <w:t>…</w:t>
                            </w:r>
                          </w:p>
                          <w:p w14:paraId="368D930D" w14:textId="77777777" w:rsidR="00357278" w:rsidRPr="00CA2E4C" w:rsidRDefault="00357278" w:rsidP="00357278">
                            <w:pPr>
                              <w:spacing w:after="0"/>
                              <w:ind w:left="720"/>
                              <w:jc w:val="both"/>
                              <w:rPr>
                                <w:bCs/>
                                <w:lang w:val="en-US"/>
                              </w:rPr>
                            </w:pPr>
                          </w:p>
                          <w:p w14:paraId="46FADC76" w14:textId="77777777" w:rsidR="00635F43" w:rsidRPr="00635F43" w:rsidRDefault="00635F43" w:rsidP="00635F43">
                            <w:pPr>
                              <w:numPr>
                                <w:ilvl w:val="0"/>
                                <w:numId w:val="21"/>
                              </w:numPr>
                              <w:overflowPunct w:val="0"/>
                              <w:autoSpaceDE w:val="0"/>
                              <w:autoSpaceDN w:val="0"/>
                              <w:adjustRightInd w:val="0"/>
                              <w:spacing w:after="0"/>
                              <w:jc w:val="both"/>
                              <w:textAlignment w:val="baseline"/>
                              <w:rPr>
                                <w:bCs/>
                                <w:highlight w:val="yellow"/>
                                <w:lang w:val="en-US"/>
                              </w:rPr>
                            </w:pPr>
                            <w:r w:rsidRPr="00635F43">
                              <w:rPr>
                                <w:bCs/>
                                <w:highlight w:val="yellow"/>
                                <w:lang w:val="en-US"/>
                              </w:rPr>
                              <w:t>Study and, if found beneficial over the existing single Tx switched uplink solution, specify enhancements to single Tx switched uplink solution for EN-DC, such as allowing all DL and UL subframes for data transmission for both NR and LTE. [RAN1].</w:t>
                            </w:r>
                          </w:p>
                          <w:p w14:paraId="20E86C04" w14:textId="77777777" w:rsidR="00635F43" w:rsidRPr="00635F43" w:rsidRDefault="00635F43" w:rsidP="00635F43">
                            <w:pPr>
                              <w:spacing w:after="0"/>
                              <w:ind w:left="720"/>
                              <w:jc w:val="both"/>
                              <w:rPr>
                                <w:bCs/>
                                <w:highlight w:val="yellow"/>
                                <w:lang w:val="en-US"/>
                              </w:rPr>
                            </w:pPr>
                          </w:p>
                          <w:p w14:paraId="447F939D" w14:textId="77777777" w:rsidR="00635F43" w:rsidRDefault="00635F43" w:rsidP="00635F43">
                            <w:pPr>
                              <w:spacing w:after="0"/>
                              <w:ind w:left="720"/>
                              <w:jc w:val="both"/>
                              <w:rPr>
                                <w:bCs/>
                                <w:lang w:val="en-US"/>
                              </w:rPr>
                            </w:pPr>
                            <w:r w:rsidRPr="00635F43">
                              <w:rPr>
                                <w:bCs/>
                                <w:highlight w:val="yellow"/>
                                <w:lang w:val="en-US"/>
                              </w:rPr>
                              <w:t>Note: UE in single Tx switched uplink mode is not expected to be scheduled simultaneous transmission on MCG and SCG</w:t>
                            </w:r>
                          </w:p>
                          <w:p w14:paraId="0DBC4454" w14:textId="6EA4D4AB" w:rsidR="00357278" w:rsidRDefault="00357278" w:rsidP="00635F43">
                            <w:pPr>
                              <w:spacing w:after="0"/>
                              <w:ind w:left="720"/>
                              <w:jc w:val="both"/>
                              <w:rPr>
                                <w:bCs/>
                                <w:lang w:val="en-US"/>
                              </w:rPr>
                            </w:pPr>
                            <w:r>
                              <w:rPr>
                                <w:bCs/>
                                <w:lang w:val="en-US"/>
                              </w:rPr>
                              <w:t>…</w:t>
                            </w:r>
                          </w:p>
                          <w:p w14:paraId="0A95F108" w14:textId="77777777" w:rsidR="00357278" w:rsidRDefault="00357278" w:rsidP="00357278">
                            <w:pPr>
                              <w:tabs>
                                <w:tab w:val="num" w:pos="2160"/>
                              </w:tabs>
                              <w:spacing w:after="0"/>
                              <w:jc w:val="both"/>
                              <w:rPr>
                                <w:bCs/>
                                <w:lang w:val="en-US"/>
                              </w:rPr>
                            </w:pPr>
                            <w:r>
                              <w:rPr>
                                <w:bCs/>
                                <w:lang w:val="en-US"/>
                              </w:rPr>
                              <w:t>The work excludes combination of EN-DC and NR-NR DC configured for a UE.</w:t>
                            </w:r>
                          </w:p>
                          <w:p w14:paraId="354C8152" w14:textId="77777777" w:rsidR="00357278" w:rsidRPr="00C87950" w:rsidRDefault="00357278" w:rsidP="00357278">
                            <w:pPr>
                              <w:tabs>
                                <w:tab w:val="num" w:pos="2160"/>
                              </w:tabs>
                              <w:spacing w:after="0"/>
                              <w:jc w:val="both"/>
                              <w:rPr>
                                <w:bCs/>
                                <w:lang w:val="en-US"/>
                              </w:rPr>
                            </w:pPr>
                            <w:r w:rsidRPr="00635F43">
                              <w:rPr>
                                <w:bCs/>
                                <w:lang w:val="en-US"/>
                              </w:rPr>
                              <w:t>At least scenarios with small cells should be considered, along with scenarios with large amounts of available cell bandwidth. Both FR1 and FR2 frequencies should be considered. The mechanisms already specified for LTE should be used as baseline for the work.</w:t>
                            </w:r>
                          </w:p>
                          <w:p w14:paraId="5309F038" w14:textId="77777777" w:rsidR="00357278" w:rsidRPr="00C81DF6" w:rsidRDefault="00357278" w:rsidP="00357278">
                            <w:pPr>
                              <w:pStyle w:val="LGTdoc"/>
                              <w:spacing w:afterLines="0" w:line="240" w:lineRule="auto"/>
                              <w:rPr>
                                <w:b/>
                                <w:sz w:val="20"/>
                                <w:szCs w:val="22"/>
                              </w:rPr>
                            </w:pPr>
                          </w:p>
                        </w:txbxContent>
                      </wps:txbx>
                      <wps:bodyPr rot="0" vert="horz" wrap="square" lIns="91440" tIns="45720" rIns="91440" bIns="45720" anchor="t" anchorCtr="0">
                        <a:noAutofit/>
                      </wps:bodyPr>
                    </wps:wsp>
                  </a:graphicData>
                </a:graphic>
              </wp:inline>
            </w:drawing>
          </mc:Choice>
          <mc:Fallback>
            <w:pict>
              <v:shapetype w14:anchorId="04476A58" id="_x0000_t202" coordsize="21600,21600" o:spt="202" path="m,l,21600r21600,l21600,xe">
                <v:stroke joinstyle="miter"/>
                <v:path gradientshapeok="t" o:connecttype="rect"/>
              </v:shapetype>
              <v:shape id="Text Box 2" o:spid="_x0000_s1026" type="#_x0000_t202" style="width:468pt;height:19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">
                <v:textbox>
                  <w:txbxContent>
                    <w:p w14:paraId="47453D4F" w14:textId="77777777" w:rsidR="00357278" w:rsidRDefault="00357278" w:rsidP="00357278">
                      <w:pPr>
                        <w:pStyle w:val="LGTdoc"/>
                        <w:spacing w:afterLines="0" w:line="240" w:lineRule="auto"/>
                        <w:rPr>
                          <w:b/>
                          <w:sz w:val="20"/>
                          <w:szCs w:val="22"/>
                        </w:rPr>
                      </w:pPr>
                      <w:r w:rsidRPr="00C81DF6">
                        <w:rPr>
                          <w:b/>
                          <w:sz w:val="20"/>
                          <w:szCs w:val="22"/>
                        </w:rPr>
                        <w:t xml:space="preserve">Excerpt from </w:t>
                      </w:r>
                      <w:r>
                        <w:rPr>
                          <w:b/>
                          <w:sz w:val="20"/>
                          <w:szCs w:val="22"/>
                        </w:rPr>
                        <w:t xml:space="preserve">WID in </w:t>
                      </w:r>
                      <w:r w:rsidRPr="00D9281F">
                        <w:rPr>
                          <w:b/>
                          <w:sz w:val="20"/>
                          <w:szCs w:val="22"/>
                        </w:rPr>
                        <w:t>RP-182076</w:t>
                      </w:r>
                      <w:r>
                        <w:rPr>
                          <w:b/>
                          <w:sz w:val="20"/>
                          <w:szCs w:val="22"/>
                        </w:rPr>
                        <w:t xml:space="preserve"> [2]</w:t>
                      </w:r>
                    </w:p>
                    <w:p w14:paraId="464DED18" w14:textId="6C863BA5" w:rsidR="00357278" w:rsidRDefault="00357278" w:rsidP="00357278">
                      <w:pPr>
                        <w:tabs>
                          <w:tab w:val="num" w:pos="2160"/>
                        </w:tabs>
                        <w:spacing w:after="0"/>
                        <w:jc w:val="both"/>
                        <w:rPr>
                          <w:bCs/>
                          <w:lang w:val="en-US"/>
                        </w:rPr>
                      </w:pPr>
                      <w:r>
                        <w:rPr>
                          <w:bCs/>
                          <w:lang w:val="en-US"/>
                        </w:rPr>
                        <w:t>The objective of this work item is to investigate enhancements to DC and CA. At least the following topics should be considered in the work:</w:t>
                      </w:r>
                    </w:p>
                    <w:p w14:paraId="74AB0B18" w14:textId="16932976" w:rsidR="00635F43" w:rsidRDefault="00635F43" w:rsidP="00357278">
                      <w:pPr>
                        <w:tabs>
                          <w:tab w:val="num" w:pos="2160"/>
                        </w:tabs>
                        <w:spacing w:after="0"/>
                        <w:jc w:val="both"/>
                        <w:rPr>
                          <w:bCs/>
                          <w:lang w:val="en-US"/>
                        </w:rPr>
                      </w:pPr>
                      <w:r>
                        <w:rPr>
                          <w:bCs/>
                          <w:lang w:val="en-US"/>
                        </w:rPr>
                        <w:t>…</w:t>
                      </w:r>
                    </w:p>
                    <w:p w14:paraId="368D930D" w14:textId="77777777" w:rsidR="00357278" w:rsidRPr="00CA2E4C" w:rsidRDefault="00357278" w:rsidP="00357278">
                      <w:pPr>
                        <w:spacing w:after="0"/>
                        <w:ind w:left="720"/>
                        <w:jc w:val="both"/>
                        <w:rPr>
                          <w:bCs/>
                          <w:lang w:val="en-US"/>
                        </w:rPr>
                      </w:pPr>
                    </w:p>
                    <w:p w14:paraId="46FADC76" w14:textId="77777777" w:rsidR="00635F43" w:rsidRPr="00635F43" w:rsidRDefault="00635F43" w:rsidP="00635F43">
                      <w:pPr>
                        <w:numPr>
                          <w:ilvl w:val="0"/>
                          <w:numId w:val="21"/>
                        </w:numPr>
                        <w:overflowPunct w:val="0"/>
                        <w:autoSpaceDE w:val="0"/>
                        <w:autoSpaceDN w:val="0"/>
                        <w:adjustRightInd w:val="0"/>
                        <w:spacing w:after="0"/>
                        <w:jc w:val="both"/>
                        <w:textAlignment w:val="baseline"/>
                        <w:rPr>
                          <w:bCs/>
                          <w:highlight w:val="yellow"/>
                          <w:lang w:val="en-US"/>
                        </w:rPr>
                      </w:pPr>
                      <w:r w:rsidRPr="00635F43">
                        <w:rPr>
                          <w:bCs/>
                          <w:highlight w:val="yellow"/>
                          <w:lang w:val="en-US"/>
                        </w:rPr>
                        <w:t xml:space="preserve">Study and, if found beneficial over the existing single </w:t>
                      </w:r>
                      <w:proofErr w:type="spellStart"/>
                      <w:r w:rsidRPr="00635F43">
                        <w:rPr>
                          <w:bCs/>
                          <w:highlight w:val="yellow"/>
                          <w:lang w:val="en-US"/>
                        </w:rPr>
                        <w:t>Tx</w:t>
                      </w:r>
                      <w:proofErr w:type="spellEnd"/>
                      <w:r w:rsidRPr="00635F43">
                        <w:rPr>
                          <w:bCs/>
                          <w:highlight w:val="yellow"/>
                          <w:lang w:val="en-US"/>
                        </w:rPr>
                        <w:t xml:space="preserve"> switched uplink solution, specify enhancements to single </w:t>
                      </w:r>
                      <w:proofErr w:type="spellStart"/>
                      <w:r w:rsidRPr="00635F43">
                        <w:rPr>
                          <w:bCs/>
                          <w:highlight w:val="yellow"/>
                          <w:lang w:val="en-US"/>
                        </w:rPr>
                        <w:t>Tx</w:t>
                      </w:r>
                      <w:proofErr w:type="spellEnd"/>
                      <w:r w:rsidRPr="00635F43">
                        <w:rPr>
                          <w:bCs/>
                          <w:highlight w:val="yellow"/>
                          <w:lang w:val="en-US"/>
                        </w:rPr>
                        <w:t xml:space="preserve"> switched uplink solution for EN-DC, such as allowing all DL and UL </w:t>
                      </w:r>
                      <w:proofErr w:type="spellStart"/>
                      <w:r w:rsidRPr="00635F43">
                        <w:rPr>
                          <w:bCs/>
                          <w:highlight w:val="yellow"/>
                          <w:lang w:val="en-US"/>
                        </w:rPr>
                        <w:t>subframes</w:t>
                      </w:r>
                      <w:proofErr w:type="spellEnd"/>
                      <w:r w:rsidRPr="00635F43">
                        <w:rPr>
                          <w:bCs/>
                          <w:highlight w:val="yellow"/>
                          <w:lang w:val="en-US"/>
                        </w:rPr>
                        <w:t xml:space="preserve"> for data transmission for both NR and LTE. [RAN1].</w:t>
                      </w:r>
                    </w:p>
                    <w:p w14:paraId="20E86C04" w14:textId="77777777" w:rsidR="00635F43" w:rsidRPr="00635F43" w:rsidRDefault="00635F43" w:rsidP="00635F43">
                      <w:pPr>
                        <w:spacing w:after="0"/>
                        <w:ind w:left="720"/>
                        <w:jc w:val="both"/>
                        <w:rPr>
                          <w:bCs/>
                          <w:highlight w:val="yellow"/>
                          <w:lang w:val="en-US"/>
                        </w:rPr>
                      </w:pPr>
                    </w:p>
                    <w:p w14:paraId="447F939D" w14:textId="77777777" w:rsidR="00635F43" w:rsidRDefault="00635F43" w:rsidP="00635F43">
                      <w:pPr>
                        <w:spacing w:after="0"/>
                        <w:ind w:left="720"/>
                        <w:jc w:val="both"/>
                        <w:rPr>
                          <w:bCs/>
                          <w:lang w:val="en-US"/>
                        </w:rPr>
                      </w:pPr>
                      <w:r w:rsidRPr="00635F43">
                        <w:rPr>
                          <w:bCs/>
                          <w:highlight w:val="yellow"/>
                          <w:lang w:val="en-US"/>
                        </w:rPr>
                        <w:t xml:space="preserve">Note: UE in single </w:t>
                      </w:r>
                      <w:proofErr w:type="spellStart"/>
                      <w:proofErr w:type="gramStart"/>
                      <w:r w:rsidRPr="00635F43">
                        <w:rPr>
                          <w:bCs/>
                          <w:highlight w:val="yellow"/>
                          <w:lang w:val="en-US"/>
                        </w:rPr>
                        <w:t>Tx</w:t>
                      </w:r>
                      <w:proofErr w:type="spellEnd"/>
                      <w:proofErr w:type="gramEnd"/>
                      <w:r w:rsidRPr="00635F43">
                        <w:rPr>
                          <w:bCs/>
                          <w:highlight w:val="yellow"/>
                          <w:lang w:val="en-US"/>
                        </w:rPr>
                        <w:t xml:space="preserve"> switched uplink mode is not expected to be scheduled simultaneous transmission on MCG and SCG</w:t>
                      </w:r>
                    </w:p>
                    <w:p w14:paraId="0DBC4454" w14:textId="6EA4D4AB" w:rsidR="00357278" w:rsidRDefault="00357278" w:rsidP="00635F43">
                      <w:pPr>
                        <w:spacing w:after="0"/>
                        <w:ind w:left="720"/>
                        <w:jc w:val="both"/>
                        <w:rPr>
                          <w:bCs/>
                          <w:lang w:val="en-US"/>
                        </w:rPr>
                      </w:pPr>
                      <w:r>
                        <w:rPr>
                          <w:bCs/>
                          <w:lang w:val="en-US"/>
                        </w:rPr>
                        <w:t>…</w:t>
                      </w:r>
                    </w:p>
                    <w:p w14:paraId="0A95F108" w14:textId="77777777" w:rsidR="00357278" w:rsidRDefault="00357278" w:rsidP="00357278">
                      <w:pPr>
                        <w:tabs>
                          <w:tab w:val="num" w:pos="2160"/>
                        </w:tabs>
                        <w:spacing w:after="0"/>
                        <w:jc w:val="both"/>
                        <w:rPr>
                          <w:bCs/>
                          <w:lang w:val="en-US"/>
                        </w:rPr>
                      </w:pPr>
                      <w:r>
                        <w:rPr>
                          <w:bCs/>
                          <w:lang w:val="en-US"/>
                        </w:rPr>
                        <w:t>The work excludes combination of EN-DC and NR-NR DC configured for a UE.</w:t>
                      </w:r>
                    </w:p>
                    <w:p w14:paraId="354C8152" w14:textId="77777777" w:rsidR="00357278" w:rsidRPr="00C87950" w:rsidRDefault="00357278" w:rsidP="00357278">
                      <w:pPr>
                        <w:tabs>
                          <w:tab w:val="num" w:pos="2160"/>
                        </w:tabs>
                        <w:spacing w:after="0"/>
                        <w:jc w:val="both"/>
                        <w:rPr>
                          <w:bCs/>
                          <w:lang w:val="en-US"/>
                        </w:rPr>
                      </w:pPr>
                      <w:r w:rsidRPr="00635F43">
                        <w:rPr>
                          <w:bCs/>
                          <w:lang w:val="en-US"/>
                        </w:rPr>
                        <w:t>At least scenarios with small cells should be considered, along with scenarios with large amounts of available cell bandwidth. Both FR1 and FR2 frequencies should be considered. The mechanisms already specified for LTE should be used as baseline for the work.</w:t>
                      </w:r>
                    </w:p>
                    <w:p w14:paraId="5309F038" w14:textId="77777777" w:rsidR="00357278" w:rsidRPr="00C81DF6" w:rsidRDefault="00357278" w:rsidP="00357278">
                      <w:pPr>
                        <w:pStyle w:val="LGTdoc"/>
                        <w:spacing w:afterLines="0" w:line="240" w:lineRule="auto"/>
                        <w:rPr>
                          <w:b/>
                          <w:sz w:val="20"/>
                          <w:szCs w:val="22"/>
                        </w:rPr>
                      </w:pPr>
                    </w:p>
                  </w:txbxContent>
                </v:textbox>
                <w10:anchorlock/>
              </v:shape>
            </w:pict>
          </mc:Fallback>
        </mc:AlternateContent>
      </w:r>
    </w:p>
    <w:p w14:paraId="4F052BC6" w14:textId="180EA244" w:rsidR="00635F43" w:rsidRDefault="00635F43" w:rsidP="00635F43">
      <w:pPr>
        <w:tabs>
          <w:tab w:val="left" w:pos="1440"/>
        </w:tabs>
        <w:jc w:val="both"/>
        <w:rPr>
          <w:i/>
        </w:rPr>
      </w:pPr>
      <w:r>
        <w:rPr>
          <w:rFonts w:eastAsia="MS Mincho"/>
          <w:lang w:val="en-US" w:eastAsia="ja-JP"/>
        </w:rPr>
        <w:t>In this contribution, we provide our views on the potential enhancements to SUO for EN-DC.</w:t>
      </w:r>
    </w:p>
    <w:p w14:paraId="42D9DC43" w14:textId="57A72E4B" w:rsidR="00635F43" w:rsidRDefault="00635F43" w:rsidP="00635F43">
      <w:pPr>
        <w:pStyle w:val="Heading1"/>
        <w:ind w:left="0" w:firstLine="0"/>
        <w:rPr>
          <w:bCs/>
        </w:rPr>
      </w:pPr>
      <w:r>
        <w:rPr>
          <w:bCs/>
        </w:rPr>
        <w:t xml:space="preserve">On Enhancements for Single Uplink Operation </w:t>
      </w:r>
    </w:p>
    <w:p w14:paraId="175FC1CC" w14:textId="636803B4" w:rsidR="00635F43" w:rsidRDefault="00635F43" w:rsidP="00034158">
      <w:pPr>
        <w:jc w:val="both"/>
      </w:pPr>
      <w:r>
        <w:t xml:space="preserve">The reference TDD configuration used in single-uplink operation guarantees that, a UE which is not capable of dynamic power sharing (a.k.a., Type-2 UE) </w:t>
      </w:r>
      <w:r w:rsidR="004959C5">
        <w:t xml:space="preserve">or even a UE which is capable of dynamic power sharing (a.k.a., Type-1 UE) but operating in “bad” frequency band combinations </w:t>
      </w:r>
      <w:r>
        <w:t>does not get scheduled with overlapping LTE and NR transmissions</w:t>
      </w:r>
      <w:r w:rsidR="00B645E5">
        <w:t>; otherwise an error case occurs in which the UE behaviour is undefined</w:t>
      </w:r>
      <w:r>
        <w:t xml:space="preserve">. On the other hand, </w:t>
      </w:r>
      <w:r w:rsidR="00B645E5">
        <w:t>the reference TDD configuration</w:t>
      </w:r>
      <w:r>
        <w:t xml:space="preserve"> limits the UE performance mainly on the NR side, since even </w:t>
      </w:r>
      <w:commentRangeStart w:id="3"/>
      <w:commentRangeStart w:id="4"/>
      <w:r>
        <w:t xml:space="preserve">if </w:t>
      </w:r>
      <w:commentRangeEnd w:id="3"/>
      <w:commentRangeEnd w:id="4"/>
      <w:r>
        <w:t xml:space="preserve">certain designated LTE UL subframes in the reference TDD configuration are not actually scheduled for LTE uplink transmission, they cannot be </w:t>
      </w:r>
      <w:r>
        <w:lastRenderedPageBreak/>
        <w:t>used for any NR transmissions.</w:t>
      </w:r>
      <w:r w:rsidR="00034158">
        <w:t xml:space="preserve"> In addition, there will be a small signalling saving in the case without reference TDD configuration, since the network does not need to convey this configuration information.</w:t>
      </w:r>
      <w:r>
        <w:t xml:space="preserve"> </w:t>
      </w:r>
    </w:p>
    <w:p w14:paraId="74CBFADA" w14:textId="28630AE6" w:rsidR="00B645E5" w:rsidRDefault="00B645E5" w:rsidP="00E76957">
      <w:pPr>
        <w:jc w:val="both"/>
      </w:pPr>
      <w:r>
        <w:t>The note in the WID [2] clarifies that “</w:t>
      </w:r>
      <w:r w:rsidRPr="00B645E5">
        <w:rPr>
          <w:i/>
          <w:iCs/>
        </w:rPr>
        <w:t>UE in single Tx switched uplink mode is not expected to be scheduled simultaneous transmission on MCG and SCG</w:t>
      </w:r>
      <w:r>
        <w:t xml:space="preserve">”. Since LTE and NR CGs are different RATs and have their own schedulers, one needs to verify and elaborate on this assumption. At least one scenario in which this assumption can be valid appears to be the case in which the LTE and NR base stations are collocated, so can share their scheduling information with a fast backhaul. For such scenarios, it might be fine to ensure a single scheduled transmission </w:t>
      </w:r>
      <w:r w:rsidR="00E76957">
        <w:t xml:space="preserve">(i.e., either LTE or NR, but not both) </w:t>
      </w:r>
      <w:r>
        <w:t xml:space="preserve">based on scheduling implementation at the network, rather than enforcing a reference TDD configuration. </w:t>
      </w:r>
    </w:p>
    <w:p w14:paraId="1F7F475D" w14:textId="4B5D5C87" w:rsidR="00B645E5" w:rsidRDefault="00CC1298" w:rsidP="00E76957">
      <w:pPr>
        <w:jc w:val="both"/>
        <w:rPr>
          <w:i/>
          <w:iCs/>
          <w:color w:val="000000" w:themeColor="text1"/>
          <w:lang w:eastAsia="ja-JP"/>
        </w:rPr>
      </w:pPr>
      <w:r>
        <w:rPr>
          <w:b/>
          <w:bCs/>
          <w:i/>
          <w:iCs/>
          <w:color w:val="000000" w:themeColor="text1"/>
          <w:lang w:eastAsia="ja-JP"/>
        </w:rPr>
        <w:t>Proposal</w:t>
      </w:r>
      <w:r w:rsidR="00B645E5">
        <w:rPr>
          <w:b/>
          <w:bCs/>
          <w:i/>
          <w:iCs/>
          <w:color w:val="000000" w:themeColor="text1"/>
          <w:lang w:eastAsia="ja-JP"/>
        </w:rPr>
        <w:t xml:space="preserve"> 1</w:t>
      </w:r>
      <w:r w:rsidR="00B645E5" w:rsidRPr="000A0862">
        <w:rPr>
          <w:b/>
          <w:bCs/>
          <w:i/>
          <w:iCs/>
          <w:color w:val="000000" w:themeColor="text1"/>
          <w:lang w:eastAsia="ja-JP"/>
        </w:rPr>
        <w:t>:</w:t>
      </w:r>
      <w:r w:rsidR="00B645E5" w:rsidRPr="000A0862">
        <w:rPr>
          <w:i/>
          <w:iCs/>
          <w:color w:val="000000" w:themeColor="text1"/>
          <w:lang w:eastAsia="ja-JP"/>
        </w:rPr>
        <w:t xml:space="preserve"> </w:t>
      </w:r>
      <w:r w:rsidR="00B645E5">
        <w:rPr>
          <w:i/>
          <w:iCs/>
          <w:color w:val="000000" w:themeColor="text1"/>
          <w:lang w:eastAsia="ja-JP"/>
        </w:rPr>
        <w:t>The reference TDD configuration used for single uplink operation can be</w:t>
      </w:r>
      <w:r w:rsidR="00034158">
        <w:rPr>
          <w:i/>
          <w:iCs/>
          <w:color w:val="000000" w:themeColor="text1"/>
          <w:lang w:eastAsia="ja-JP"/>
        </w:rPr>
        <w:t xml:space="preserve"> avoided</w:t>
      </w:r>
      <w:r w:rsidR="00B645E5">
        <w:rPr>
          <w:i/>
          <w:iCs/>
          <w:color w:val="000000" w:themeColor="text1"/>
          <w:lang w:eastAsia="ja-JP"/>
        </w:rPr>
        <w:t xml:space="preserve"> </w:t>
      </w:r>
      <w:r w:rsidR="00034158">
        <w:rPr>
          <w:i/>
          <w:iCs/>
          <w:color w:val="000000" w:themeColor="text1"/>
          <w:lang w:eastAsia="ja-JP"/>
        </w:rPr>
        <w:t xml:space="preserve">if the network scheduling implementation can guarantee (e.g., via fast backhaul between LTE and </w:t>
      </w:r>
      <w:r w:rsidR="00034158" w:rsidRPr="00F84067">
        <w:rPr>
          <w:i/>
          <w:iCs/>
          <w:color w:val="000000" w:themeColor="text1"/>
          <w:lang w:eastAsia="ja-JP"/>
        </w:rPr>
        <w:t xml:space="preserve">NR </w:t>
      </w:r>
      <w:r w:rsidR="00D41A03" w:rsidRPr="00113C93">
        <w:rPr>
          <w:i/>
          <w:iCs/>
          <w:color w:val="000000" w:themeColor="text1"/>
          <w:lang w:eastAsia="ja-JP"/>
        </w:rPr>
        <w:t>RATs</w:t>
      </w:r>
      <w:r w:rsidR="00034158">
        <w:rPr>
          <w:i/>
          <w:iCs/>
          <w:color w:val="000000" w:themeColor="text1"/>
          <w:lang w:eastAsia="ja-JP"/>
        </w:rPr>
        <w:t xml:space="preserve">) that a UE </w:t>
      </w:r>
      <w:r w:rsidR="00E76957">
        <w:rPr>
          <w:i/>
          <w:iCs/>
          <w:color w:val="000000" w:themeColor="text1"/>
          <w:lang w:eastAsia="ja-JP"/>
        </w:rPr>
        <w:t xml:space="preserve">operating in the SUO mode </w:t>
      </w:r>
      <w:r w:rsidR="00034158">
        <w:rPr>
          <w:i/>
          <w:iCs/>
          <w:color w:val="000000" w:themeColor="text1"/>
          <w:lang w:eastAsia="ja-JP"/>
        </w:rPr>
        <w:t>does not get scheduled with overlapping LTE and NR transmissions</w:t>
      </w:r>
      <w:r w:rsidR="00B645E5">
        <w:rPr>
          <w:i/>
          <w:iCs/>
          <w:color w:val="000000" w:themeColor="text1"/>
          <w:lang w:eastAsia="ja-JP"/>
        </w:rPr>
        <w:t>.</w:t>
      </w:r>
    </w:p>
    <w:p w14:paraId="6E6CB03D" w14:textId="61A03441" w:rsidR="00B645E5" w:rsidRDefault="00CC1298" w:rsidP="00835902">
      <w:pPr>
        <w:jc w:val="both"/>
      </w:pPr>
      <w:r>
        <w:t xml:space="preserve">Regardless of whether or not the reference TDD is configured, as long as the UE never gets scheduled with overlapping LTE and NR transmissions, there appears no reason to limit the UE output power to P_LTE and P_NR which can be smaller than the UE power class for EN-DC operation. Therefore, the single-uplink operation should be enhanced such that both LTE and NR transmission powers can go up to maximum configured UE output power, Pcmax (i.e., without P_LTE or P_NR). A similar agreement was made for LTE transmission power in the case of NE-DC dynamic power sharing when semi-static </w:t>
      </w:r>
      <w:r w:rsidR="00835902">
        <w:t xml:space="preserve">slot </w:t>
      </w:r>
      <w:r>
        <w:t>configuration informati</w:t>
      </w:r>
      <w:r w:rsidR="00835902">
        <w:t xml:space="preserve">on indicates that an LTE </w:t>
      </w:r>
      <w:r w:rsidR="00D41A03">
        <w:t xml:space="preserve">UL </w:t>
      </w:r>
      <w:r w:rsidR="00835902">
        <w:t xml:space="preserve">subframe overlaps with an NR DL slot (i.e., an NR slot on which UL transmission is impossible). </w:t>
      </w:r>
    </w:p>
    <w:p w14:paraId="68D3DD4D" w14:textId="7439A721" w:rsidR="00CC1298" w:rsidRDefault="00CC1298" w:rsidP="00CC1298">
      <w:pPr>
        <w:jc w:val="both"/>
        <w:rPr>
          <w:i/>
          <w:iCs/>
          <w:color w:val="000000" w:themeColor="text1"/>
          <w:lang w:eastAsia="ja-JP"/>
        </w:rPr>
      </w:pPr>
      <w:r>
        <w:rPr>
          <w:b/>
          <w:bCs/>
          <w:i/>
          <w:iCs/>
          <w:color w:val="000000" w:themeColor="text1"/>
          <w:lang w:eastAsia="ja-JP"/>
        </w:rPr>
        <w:t>Proposal 2</w:t>
      </w:r>
      <w:r w:rsidRPr="000A0862">
        <w:rPr>
          <w:b/>
          <w:bCs/>
          <w:i/>
          <w:iCs/>
          <w:color w:val="000000" w:themeColor="text1"/>
          <w:lang w:eastAsia="ja-JP"/>
        </w:rPr>
        <w:t>:</w:t>
      </w:r>
      <w:r w:rsidRPr="000A0862">
        <w:rPr>
          <w:i/>
          <w:iCs/>
          <w:color w:val="000000" w:themeColor="text1"/>
          <w:lang w:eastAsia="ja-JP"/>
        </w:rPr>
        <w:t xml:space="preserve"> </w:t>
      </w:r>
      <w:r w:rsidRPr="00CC1298">
        <w:rPr>
          <w:i/>
          <w:iCs/>
        </w:rPr>
        <w:t xml:space="preserve">Regardless of whether or not the reference TDD is configured, the single-uplink operation </w:t>
      </w:r>
      <w:r w:rsidR="00D41A03">
        <w:rPr>
          <w:i/>
          <w:iCs/>
        </w:rPr>
        <w:t xml:space="preserve">mode </w:t>
      </w:r>
      <w:r w:rsidRPr="00CC1298">
        <w:rPr>
          <w:i/>
          <w:iCs/>
        </w:rPr>
        <w:t>should be enhanced such that both LTE and NR transmission powers can go up to maximum configured UE output power, Pcm</w:t>
      </w:r>
      <w:r>
        <w:rPr>
          <w:i/>
          <w:iCs/>
        </w:rPr>
        <w:t xml:space="preserve">ax (i.e., without P_LTE or P_NR). </w:t>
      </w:r>
    </w:p>
    <w:p w14:paraId="4C4924CF" w14:textId="57B37F3C" w:rsidR="00034158" w:rsidRDefault="00CC1298" w:rsidP="00E76957">
      <w:pPr>
        <w:jc w:val="both"/>
      </w:pPr>
      <w:r>
        <w:t>A final note</w:t>
      </w:r>
      <w:r w:rsidR="00034158">
        <w:t xml:space="preserve"> </w:t>
      </w:r>
      <w:r>
        <w:t>is</w:t>
      </w:r>
      <w:r w:rsidR="00034158">
        <w:t xml:space="preserve"> in order</w:t>
      </w:r>
      <w:r>
        <w:t xml:space="preserve"> regarding NE-DC</w:t>
      </w:r>
      <w:r w:rsidR="00034158">
        <w:t xml:space="preserve">. </w:t>
      </w:r>
      <w:r>
        <w:t>Although the WID does not mention enhancements for NE-DC, but it seems natural that any enhancement to SUO for EN-DC equally well applies to NE-DC, so similar changes need to be made for NE-DC as well.</w:t>
      </w:r>
    </w:p>
    <w:p w14:paraId="61173CFE" w14:textId="1C24F29F" w:rsidR="00CC1298" w:rsidRDefault="00CC1298" w:rsidP="001C0B8A">
      <w:pPr>
        <w:jc w:val="both"/>
        <w:rPr>
          <w:i/>
          <w:iCs/>
          <w:color w:val="000000" w:themeColor="text1"/>
          <w:lang w:eastAsia="ja-JP"/>
        </w:rPr>
      </w:pPr>
      <w:r>
        <w:rPr>
          <w:b/>
          <w:bCs/>
          <w:i/>
          <w:iCs/>
          <w:color w:val="000000" w:themeColor="text1"/>
          <w:lang w:eastAsia="ja-JP"/>
        </w:rPr>
        <w:t>Proposal 3</w:t>
      </w:r>
      <w:r w:rsidRPr="000A0862">
        <w:rPr>
          <w:b/>
          <w:bCs/>
          <w:i/>
          <w:iCs/>
          <w:color w:val="000000" w:themeColor="text1"/>
          <w:lang w:eastAsia="ja-JP"/>
        </w:rPr>
        <w:t>:</w:t>
      </w:r>
      <w:r w:rsidRPr="000A0862">
        <w:rPr>
          <w:i/>
          <w:iCs/>
          <w:color w:val="000000" w:themeColor="text1"/>
          <w:lang w:eastAsia="ja-JP"/>
        </w:rPr>
        <w:t xml:space="preserve"> </w:t>
      </w:r>
      <w:r>
        <w:rPr>
          <w:i/>
          <w:iCs/>
          <w:color w:val="000000" w:themeColor="text1"/>
          <w:lang w:eastAsia="ja-JP"/>
        </w:rPr>
        <w:t xml:space="preserve">Any enhancements </w:t>
      </w:r>
      <w:r w:rsidR="001C0B8A">
        <w:rPr>
          <w:i/>
          <w:iCs/>
          <w:color w:val="000000" w:themeColor="text1"/>
          <w:lang w:eastAsia="ja-JP"/>
        </w:rPr>
        <w:t xml:space="preserve">adopted </w:t>
      </w:r>
      <w:r>
        <w:rPr>
          <w:i/>
          <w:iCs/>
          <w:color w:val="000000" w:themeColor="text1"/>
          <w:lang w:eastAsia="ja-JP"/>
        </w:rPr>
        <w:t>for single uplink operation for EN-DC should be specified for NE-DC as well.</w:t>
      </w:r>
    </w:p>
    <w:p w14:paraId="2BBBB0CC" w14:textId="7777777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13B512DE" w:rsidR="009A0B47" w:rsidRDefault="007E5B46" w:rsidP="00034158">
      <w:pPr>
        <w:jc w:val="both"/>
        <w:rPr>
          <w:lang w:eastAsia="ja-JP"/>
        </w:rPr>
      </w:pPr>
      <w:r>
        <w:t xml:space="preserve">In summary, </w:t>
      </w:r>
      <w:r>
        <w:rPr>
          <w:lang w:eastAsia="ja-JP"/>
        </w:rPr>
        <w:t xml:space="preserve">we propose the followings for </w:t>
      </w:r>
      <w:r w:rsidR="00034158">
        <w:rPr>
          <w:lang w:eastAsia="ja-JP"/>
        </w:rPr>
        <w:t>potential enhancements to SUO for EN-DC</w:t>
      </w:r>
      <w:r>
        <w:rPr>
          <w:lang w:eastAsia="ja-JP"/>
        </w:rPr>
        <w:t>:</w:t>
      </w:r>
    </w:p>
    <w:p w14:paraId="5E0D8ED6" w14:textId="53166B8D" w:rsidR="00034158" w:rsidRPr="00113C93" w:rsidRDefault="00CC1298" w:rsidP="001C0B8A">
      <w:pPr>
        <w:jc w:val="both"/>
        <w:rPr>
          <w:iCs/>
          <w:color w:val="000000" w:themeColor="text1"/>
          <w:lang w:eastAsia="ja-JP"/>
        </w:rPr>
      </w:pPr>
      <w:r w:rsidRPr="00113C93">
        <w:rPr>
          <w:b/>
          <w:bCs/>
          <w:iCs/>
          <w:color w:val="000000" w:themeColor="text1"/>
          <w:lang w:eastAsia="ja-JP"/>
        </w:rPr>
        <w:t xml:space="preserve">Proposal </w:t>
      </w:r>
      <w:r w:rsidR="00034158" w:rsidRPr="00113C93">
        <w:rPr>
          <w:b/>
          <w:bCs/>
          <w:iCs/>
          <w:color w:val="000000" w:themeColor="text1"/>
          <w:lang w:eastAsia="ja-JP"/>
        </w:rPr>
        <w:t>1:</w:t>
      </w:r>
      <w:r w:rsidR="00034158" w:rsidRPr="00113C93">
        <w:rPr>
          <w:iCs/>
          <w:color w:val="000000" w:themeColor="text1"/>
          <w:lang w:eastAsia="ja-JP"/>
        </w:rPr>
        <w:t xml:space="preserve"> The reference TDD configuration used for single uplink operation can be avoided if the network scheduling implementation can guarantee (e.g., via fast backhaul between LTE and NR </w:t>
      </w:r>
      <w:r w:rsidR="00D41A03" w:rsidRPr="00113C93">
        <w:rPr>
          <w:iCs/>
          <w:color w:val="000000" w:themeColor="text1"/>
          <w:lang w:eastAsia="ja-JP"/>
        </w:rPr>
        <w:t>RATs</w:t>
      </w:r>
      <w:r w:rsidR="00034158" w:rsidRPr="00113C93">
        <w:rPr>
          <w:iCs/>
          <w:color w:val="000000" w:themeColor="text1"/>
          <w:lang w:eastAsia="ja-JP"/>
        </w:rPr>
        <w:t xml:space="preserve">) that a UE </w:t>
      </w:r>
      <w:r w:rsidR="001C0B8A" w:rsidRPr="00113C93">
        <w:rPr>
          <w:iCs/>
          <w:color w:val="000000" w:themeColor="text1"/>
          <w:lang w:eastAsia="ja-JP"/>
        </w:rPr>
        <w:t xml:space="preserve">operating in the SUO mode </w:t>
      </w:r>
      <w:r w:rsidR="00034158" w:rsidRPr="00113C93">
        <w:rPr>
          <w:iCs/>
          <w:color w:val="000000" w:themeColor="text1"/>
          <w:lang w:eastAsia="ja-JP"/>
        </w:rPr>
        <w:t>does not get scheduled with overlapping LTE and NR transmissions.</w:t>
      </w:r>
    </w:p>
    <w:p w14:paraId="20CAC8F3" w14:textId="5BCEE144" w:rsidR="00CC1298" w:rsidRPr="00113C93" w:rsidRDefault="00CC1298" w:rsidP="00CC1298">
      <w:pPr>
        <w:jc w:val="both"/>
        <w:rPr>
          <w:iCs/>
          <w:color w:val="000000" w:themeColor="text1"/>
          <w:lang w:eastAsia="ja-JP"/>
        </w:rPr>
      </w:pPr>
      <w:r w:rsidRPr="00113C93">
        <w:rPr>
          <w:b/>
          <w:bCs/>
          <w:iCs/>
          <w:color w:val="000000" w:themeColor="text1"/>
          <w:lang w:eastAsia="ja-JP"/>
        </w:rPr>
        <w:t>Proposal 2:</w:t>
      </w:r>
      <w:r w:rsidRPr="00113C93">
        <w:rPr>
          <w:iCs/>
          <w:color w:val="000000" w:themeColor="text1"/>
          <w:lang w:eastAsia="ja-JP"/>
        </w:rPr>
        <w:t xml:space="preserve"> </w:t>
      </w:r>
      <w:r w:rsidRPr="00113C93">
        <w:rPr>
          <w:iCs/>
        </w:rPr>
        <w:t xml:space="preserve">Regardless of whether or not the reference TDD is configured, the single-uplink operation </w:t>
      </w:r>
      <w:r w:rsidR="00D41A03" w:rsidRPr="00113C93">
        <w:rPr>
          <w:iCs/>
        </w:rPr>
        <w:t xml:space="preserve">mode </w:t>
      </w:r>
      <w:r w:rsidRPr="00113C93">
        <w:rPr>
          <w:iCs/>
        </w:rPr>
        <w:t xml:space="preserve">should be enhanced such that both LTE and NR transmission powers can go up to maximum configured UE output power, Pcmax (i.e., without P_LTE or P_NR). </w:t>
      </w:r>
    </w:p>
    <w:p w14:paraId="73912C40" w14:textId="1E28F317" w:rsidR="00CC1298" w:rsidRPr="00113C93" w:rsidRDefault="00CC1298" w:rsidP="001C0B8A">
      <w:pPr>
        <w:jc w:val="both"/>
        <w:rPr>
          <w:iCs/>
          <w:color w:val="000000" w:themeColor="text1"/>
          <w:lang w:eastAsia="ja-JP"/>
        </w:rPr>
      </w:pPr>
      <w:r w:rsidRPr="00113C93">
        <w:rPr>
          <w:b/>
          <w:bCs/>
          <w:iCs/>
          <w:color w:val="000000" w:themeColor="text1"/>
          <w:lang w:eastAsia="ja-JP"/>
        </w:rPr>
        <w:t>Proposal 3:</w:t>
      </w:r>
      <w:r w:rsidRPr="00113C93">
        <w:rPr>
          <w:iCs/>
          <w:color w:val="000000" w:themeColor="text1"/>
          <w:lang w:eastAsia="ja-JP"/>
        </w:rPr>
        <w:t xml:space="preserve"> Any enhancements </w:t>
      </w:r>
      <w:bookmarkStart w:id="5" w:name="_GoBack"/>
      <w:r w:rsidR="001C0B8A" w:rsidRPr="00113C93">
        <w:rPr>
          <w:iCs/>
          <w:color w:val="000000" w:themeColor="text1"/>
          <w:lang w:eastAsia="ja-JP"/>
        </w:rPr>
        <w:t xml:space="preserve">adopted </w:t>
      </w:r>
      <w:bookmarkEnd w:id="5"/>
      <w:r w:rsidRPr="00113C93">
        <w:rPr>
          <w:iCs/>
          <w:color w:val="000000" w:themeColor="text1"/>
          <w:lang w:eastAsia="ja-JP"/>
        </w:rPr>
        <w:t>for single uplink operation for EN-DC should be specified for NE-DC as well.</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29A442F6" w14:textId="329022F5" w:rsidR="00471619" w:rsidRPr="00357278" w:rsidRDefault="00471619" w:rsidP="00357278">
      <w:pPr>
        <w:numPr>
          <w:ilvl w:val="0"/>
          <w:numId w:val="2"/>
        </w:numPr>
        <w:jc w:val="both"/>
        <w:rPr>
          <w:lang w:bidi="en-US"/>
        </w:rPr>
      </w:pPr>
      <w:r>
        <w:rPr>
          <w:lang w:bidi="en-US"/>
        </w:rPr>
        <w:t xml:space="preserve">TS 38.213, </w:t>
      </w:r>
      <w:r>
        <w:rPr>
          <w:bCs/>
        </w:rPr>
        <w:t>“</w:t>
      </w:r>
      <w:r w:rsidRPr="00982ECF">
        <w:rPr>
          <w:bCs/>
        </w:rPr>
        <w:t>NR</w:t>
      </w:r>
      <w:r w:rsidR="00520FA3">
        <w:rPr>
          <w:bCs/>
        </w:rPr>
        <w:t>;</w:t>
      </w:r>
      <w:r w:rsidRPr="00982ECF">
        <w:rPr>
          <w:bCs/>
        </w:rPr>
        <w:t xml:space="preserve"> Physical layer procedures for control</w:t>
      </w:r>
      <w:r>
        <w:rPr>
          <w:bCs/>
        </w:rPr>
        <w:t>”, Rel. 15, v15.</w:t>
      </w:r>
      <w:r w:rsidR="00357278">
        <w:rPr>
          <w:bCs/>
        </w:rPr>
        <w:t>4</w:t>
      </w:r>
      <w:r>
        <w:rPr>
          <w:bCs/>
        </w:rPr>
        <w:t xml:space="preserve">.0, </w:t>
      </w:r>
      <w:r w:rsidR="00357278">
        <w:rPr>
          <w:bCs/>
        </w:rPr>
        <w:t>December</w:t>
      </w:r>
      <w:r w:rsidR="00930753">
        <w:rPr>
          <w:bCs/>
        </w:rPr>
        <w:t xml:space="preserve"> </w:t>
      </w:r>
      <w:r>
        <w:rPr>
          <w:bCs/>
        </w:rPr>
        <w:t>2018.</w:t>
      </w:r>
    </w:p>
    <w:p w14:paraId="4F9A0BBF" w14:textId="17119CD2" w:rsidR="00357278" w:rsidRPr="00566CDD" w:rsidRDefault="00357278" w:rsidP="00357278">
      <w:pPr>
        <w:numPr>
          <w:ilvl w:val="0"/>
          <w:numId w:val="2"/>
        </w:numPr>
        <w:jc w:val="both"/>
        <w:rPr>
          <w:lang w:bidi="en-US"/>
        </w:rPr>
      </w:pPr>
      <w:r w:rsidRPr="00D9389C">
        <w:rPr>
          <w:lang w:bidi="en-US"/>
        </w:rPr>
        <w:t>RP-182076</w:t>
      </w:r>
      <w:r>
        <w:rPr>
          <w:lang w:bidi="en-US"/>
        </w:rPr>
        <w:t xml:space="preserve">, </w:t>
      </w:r>
      <w:r>
        <w:rPr>
          <w:bCs/>
        </w:rPr>
        <w:t>“</w:t>
      </w:r>
      <w:r w:rsidRPr="00D9389C">
        <w:rPr>
          <w:bCs/>
        </w:rPr>
        <w:t>WID on Multi-RAT Dual-Connectivity and Carrier Aggregation enhancements (LTE_NR_DC_CA_enh-Core)</w:t>
      </w:r>
      <w:r>
        <w:rPr>
          <w:bCs/>
        </w:rPr>
        <w:t xml:space="preserve">”, RAN Plenary </w:t>
      </w:r>
      <w:r w:rsidRPr="00D9389C">
        <w:rPr>
          <w:bCs/>
        </w:rPr>
        <w:t>RAN#81</w:t>
      </w:r>
      <w:r>
        <w:rPr>
          <w:bCs/>
        </w:rPr>
        <w:t>, September 2018.</w:t>
      </w:r>
    </w:p>
    <w:p w14:paraId="6996D2E5" w14:textId="49A1CDF3" w:rsidR="00471619" w:rsidRDefault="00471619" w:rsidP="00034158">
      <w:pPr>
        <w:jc w:val="both"/>
        <w:rPr>
          <w:lang w:bidi="en-US"/>
        </w:rPr>
      </w:pPr>
    </w:p>
    <w:sectPr w:rsidR="00471619" w:rsidSect="00BC384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60148" w14:textId="77777777" w:rsidR="004D2AD8" w:rsidRDefault="004D2AD8" w:rsidP="0050200A">
      <w:pPr>
        <w:spacing w:after="0"/>
      </w:pPr>
      <w:r>
        <w:separator/>
      </w:r>
    </w:p>
  </w:endnote>
  <w:endnote w:type="continuationSeparator" w:id="0">
    <w:p w14:paraId="4FD7E83C" w14:textId="77777777" w:rsidR="004D2AD8" w:rsidRDefault="004D2AD8"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EA608F" w:rsidRDefault="00EA60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EA608F" w:rsidRDefault="00EA60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EA608F" w:rsidRDefault="00EA6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D9E5D" w14:textId="77777777" w:rsidR="004D2AD8" w:rsidRDefault="004D2AD8" w:rsidP="0050200A">
      <w:pPr>
        <w:spacing w:after="0"/>
      </w:pPr>
      <w:r>
        <w:separator/>
      </w:r>
    </w:p>
  </w:footnote>
  <w:footnote w:type="continuationSeparator" w:id="0">
    <w:p w14:paraId="3AD07B5D" w14:textId="77777777" w:rsidR="004D2AD8" w:rsidRDefault="004D2AD8"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EA608F" w:rsidRDefault="00EA60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EA608F" w:rsidRDefault="00EA60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EA608F" w:rsidRDefault="00EA6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A45250"/>
    <w:multiLevelType w:val="hybridMultilevel"/>
    <w:tmpl w:val="50B47770"/>
    <w:lvl w:ilvl="0" w:tplc="B61031DC">
      <w:numFmt w:val="bullet"/>
      <w:lvlText w:val="-"/>
      <w:lvlJc w:val="left"/>
      <w:pPr>
        <w:ind w:left="720" w:hanging="360"/>
      </w:pPr>
      <w:rPr>
        <w:rFonts w:ascii="Times New Roman" w:eastAsia="Batang"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200F7"/>
    <w:multiLevelType w:val="hybridMultilevel"/>
    <w:tmpl w:val="EA06981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9F0405"/>
    <w:multiLevelType w:val="hybridMultilevel"/>
    <w:tmpl w:val="42D8D1FA"/>
    <w:lvl w:ilvl="0" w:tplc="04090017">
      <w:start w:val="1"/>
      <w:numFmt w:val="lowerLetter"/>
      <w:lvlText w:val="%1)"/>
      <w:lvlJc w:val="left"/>
      <w:pPr>
        <w:tabs>
          <w:tab w:val="num" w:pos="720"/>
        </w:tabs>
        <w:ind w:left="720" w:hanging="360"/>
      </w:pPr>
      <w:rPr>
        <w:rFonts w:hint="default"/>
      </w:rPr>
    </w:lvl>
    <w:lvl w:ilvl="1" w:tplc="E7F66704">
      <w:start w:val="80"/>
      <w:numFmt w:val="bullet"/>
      <w:lvlText w:val=""/>
      <w:lvlJc w:val="left"/>
      <w:pPr>
        <w:tabs>
          <w:tab w:val="num" w:pos="1440"/>
        </w:tabs>
        <w:ind w:left="1440" w:hanging="360"/>
      </w:pPr>
      <w:rPr>
        <w:rFonts w:ascii="Wingdings" w:hAnsi="Wingdings" w:hint="default"/>
      </w:rPr>
    </w:lvl>
    <w:lvl w:ilvl="2" w:tplc="91DA01C6">
      <w:start w:val="80"/>
      <w:numFmt w:val="bullet"/>
      <w:lvlText w:val=""/>
      <w:lvlJc w:val="left"/>
      <w:pPr>
        <w:tabs>
          <w:tab w:val="num" w:pos="2160"/>
        </w:tabs>
        <w:ind w:left="2160" w:hanging="360"/>
      </w:pPr>
      <w:rPr>
        <w:rFonts w:ascii="Wingdings" w:hAnsi="Wingdings" w:hint="default"/>
      </w:rPr>
    </w:lvl>
    <w:lvl w:ilvl="3" w:tplc="435EEA4E">
      <w:numFmt w:val="bullet"/>
      <w:lvlText w:val="-"/>
      <w:lvlJc w:val="left"/>
      <w:pPr>
        <w:ind w:left="2880" w:hanging="360"/>
      </w:pPr>
      <w:rPr>
        <w:rFonts w:ascii="Calibri" w:eastAsiaTheme="minorEastAsia" w:hAnsi="Calibri" w:cstheme="minorBidi" w:hint="default"/>
      </w:rPr>
    </w:lvl>
    <w:lvl w:ilvl="4" w:tplc="4A005610" w:tentative="1">
      <w:start w:val="1"/>
      <w:numFmt w:val="bullet"/>
      <w:lvlText w:val="•"/>
      <w:lvlJc w:val="left"/>
      <w:pPr>
        <w:tabs>
          <w:tab w:val="num" w:pos="3600"/>
        </w:tabs>
        <w:ind w:left="3600" w:hanging="360"/>
      </w:pPr>
      <w:rPr>
        <w:rFonts w:ascii="Arial" w:hAnsi="Arial" w:hint="default"/>
      </w:rPr>
    </w:lvl>
    <w:lvl w:ilvl="5" w:tplc="1BC8383C" w:tentative="1">
      <w:start w:val="1"/>
      <w:numFmt w:val="bullet"/>
      <w:lvlText w:val="•"/>
      <w:lvlJc w:val="left"/>
      <w:pPr>
        <w:tabs>
          <w:tab w:val="num" w:pos="4320"/>
        </w:tabs>
        <w:ind w:left="4320" w:hanging="360"/>
      </w:pPr>
      <w:rPr>
        <w:rFonts w:ascii="Arial" w:hAnsi="Arial" w:hint="default"/>
      </w:rPr>
    </w:lvl>
    <w:lvl w:ilvl="6" w:tplc="B68A41CE" w:tentative="1">
      <w:start w:val="1"/>
      <w:numFmt w:val="bullet"/>
      <w:lvlText w:val="•"/>
      <w:lvlJc w:val="left"/>
      <w:pPr>
        <w:tabs>
          <w:tab w:val="num" w:pos="5040"/>
        </w:tabs>
        <w:ind w:left="5040" w:hanging="360"/>
      </w:pPr>
      <w:rPr>
        <w:rFonts w:ascii="Arial" w:hAnsi="Arial" w:hint="default"/>
      </w:rPr>
    </w:lvl>
    <w:lvl w:ilvl="7" w:tplc="DE12EA66" w:tentative="1">
      <w:start w:val="1"/>
      <w:numFmt w:val="bullet"/>
      <w:lvlText w:val="•"/>
      <w:lvlJc w:val="left"/>
      <w:pPr>
        <w:tabs>
          <w:tab w:val="num" w:pos="5760"/>
        </w:tabs>
        <w:ind w:left="5760" w:hanging="360"/>
      </w:pPr>
      <w:rPr>
        <w:rFonts w:ascii="Arial" w:hAnsi="Arial" w:hint="default"/>
      </w:rPr>
    </w:lvl>
    <w:lvl w:ilvl="8" w:tplc="CFDE36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CE806B3"/>
    <w:multiLevelType w:val="hybridMultilevel"/>
    <w:tmpl w:val="1CE62D7A"/>
    <w:lvl w:ilvl="0" w:tplc="831098B0">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BA4694"/>
    <w:multiLevelType w:val="hybridMultilevel"/>
    <w:tmpl w:val="A6A0D8C2"/>
    <w:lvl w:ilvl="0" w:tplc="65F4C28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C8127F5"/>
    <w:multiLevelType w:val="hybridMultilevel"/>
    <w:tmpl w:val="F66E7564"/>
    <w:lvl w:ilvl="0" w:tplc="262CC8E0">
      <w:start w:val="6"/>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4"/>
  </w:num>
  <w:num w:numId="3">
    <w:abstractNumId w:val="16"/>
  </w:num>
  <w:num w:numId="4">
    <w:abstractNumId w:val="6"/>
  </w:num>
  <w:num w:numId="5">
    <w:abstractNumId w:val="11"/>
  </w:num>
  <w:num w:numId="6">
    <w:abstractNumId w:val="20"/>
  </w:num>
  <w:num w:numId="7">
    <w:abstractNumId w:val="12"/>
  </w:num>
  <w:num w:numId="8">
    <w:abstractNumId w:val="9"/>
  </w:num>
  <w:num w:numId="9">
    <w:abstractNumId w:val="0"/>
  </w:num>
  <w:num w:numId="10">
    <w:abstractNumId w:val="18"/>
  </w:num>
  <w:num w:numId="11">
    <w:abstractNumId w:val="8"/>
  </w:num>
  <w:num w:numId="12">
    <w:abstractNumId w:val="10"/>
  </w:num>
  <w:num w:numId="13">
    <w:abstractNumId w:val="3"/>
  </w:num>
  <w:num w:numId="14">
    <w:abstractNumId w:val="4"/>
  </w:num>
  <w:num w:numId="15">
    <w:abstractNumId w:val="13"/>
  </w:num>
  <w:num w:numId="16">
    <w:abstractNumId w:val="2"/>
  </w:num>
  <w:num w:numId="17">
    <w:abstractNumId w:val="5"/>
  </w:num>
  <w:num w:numId="18">
    <w:abstractNumId w:val="17"/>
  </w:num>
  <w:num w:numId="19">
    <w:abstractNumId w:val="15"/>
  </w:num>
  <w:num w:numId="20">
    <w:abstractNumId w:val="7"/>
  </w:num>
  <w:num w:numId="2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DA"/>
    <w:rsid w:val="00000C65"/>
    <w:rsid w:val="00005169"/>
    <w:rsid w:val="00010036"/>
    <w:rsid w:val="00024FB5"/>
    <w:rsid w:val="00034158"/>
    <w:rsid w:val="000347A1"/>
    <w:rsid w:val="000405B5"/>
    <w:rsid w:val="0004541B"/>
    <w:rsid w:val="00046609"/>
    <w:rsid w:val="00054196"/>
    <w:rsid w:val="000546DF"/>
    <w:rsid w:val="00062941"/>
    <w:rsid w:val="000649AC"/>
    <w:rsid w:val="00076639"/>
    <w:rsid w:val="00076BB5"/>
    <w:rsid w:val="00080792"/>
    <w:rsid w:val="00080A4B"/>
    <w:rsid w:val="00085741"/>
    <w:rsid w:val="000865D2"/>
    <w:rsid w:val="00090C3D"/>
    <w:rsid w:val="000B014F"/>
    <w:rsid w:val="000B01BC"/>
    <w:rsid w:val="000B09FD"/>
    <w:rsid w:val="000B19A7"/>
    <w:rsid w:val="000C050C"/>
    <w:rsid w:val="000C1812"/>
    <w:rsid w:val="000C1849"/>
    <w:rsid w:val="000D1B25"/>
    <w:rsid w:val="000D2F53"/>
    <w:rsid w:val="000D45F8"/>
    <w:rsid w:val="000E1597"/>
    <w:rsid w:val="000E773D"/>
    <w:rsid w:val="000F0118"/>
    <w:rsid w:val="000F0BEE"/>
    <w:rsid w:val="000F0C1A"/>
    <w:rsid w:val="000F0DCA"/>
    <w:rsid w:val="000F126F"/>
    <w:rsid w:val="000F4A47"/>
    <w:rsid w:val="000F4A9D"/>
    <w:rsid w:val="000F6964"/>
    <w:rsid w:val="001000E0"/>
    <w:rsid w:val="00102977"/>
    <w:rsid w:val="00102A09"/>
    <w:rsid w:val="0010348C"/>
    <w:rsid w:val="00104AD1"/>
    <w:rsid w:val="00105D1A"/>
    <w:rsid w:val="00113C93"/>
    <w:rsid w:val="00115DC0"/>
    <w:rsid w:val="001168EB"/>
    <w:rsid w:val="001249F8"/>
    <w:rsid w:val="00135B4C"/>
    <w:rsid w:val="001400BC"/>
    <w:rsid w:val="00140689"/>
    <w:rsid w:val="00140C63"/>
    <w:rsid w:val="00146FB1"/>
    <w:rsid w:val="001479C4"/>
    <w:rsid w:val="001537E3"/>
    <w:rsid w:val="00155911"/>
    <w:rsid w:val="0016067F"/>
    <w:rsid w:val="001646BD"/>
    <w:rsid w:val="0016592F"/>
    <w:rsid w:val="00172265"/>
    <w:rsid w:val="001746E0"/>
    <w:rsid w:val="00174CD5"/>
    <w:rsid w:val="00175316"/>
    <w:rsid w:val="00176E02"/>
    <w:rsid w:val="00180334"/>
    <w:rsid w:val="0018064C"/>
    <w:rsid w:val="00182510"/>
    <w:rsid w:val="00187091"/>
    <w:rsid w:val="00192ADF"/>
    <w:rsid w:val="00192FA5"/>
    <w:rsid w:val="00194E42"/>
    <w:rsid w:val="00197432"/>
    <w:rsid w:val="001B0F63"/>
    <w:rsid w:val="001B1E4C"/>
    <w:rsid w:val="001B4CD7"/>
    <w:rsid w:val="001B543D"/>
    <w:rsid w:val="001B6BE9"/>
    <w:rsid w:val="001C0B8A"/>
    <w:rsid w:val="001C3C2E"/>
    <w:rsid w:val="001C7145"/>
    <w:rsid w:val="001C7234"/>
    <w:rsid w:val="001C76C4"/>
    <w:rsid w:val="001C7B19"/>
    <w:rsid w:val="001D08B6"/>
    <w:rsid w:val="001D09D2"/>
    <w:rsid w:val="001D4B21"/>
    <w:rsid w:val="001D6A6A"/>
    <w:rsid w:val="001E0F87"/>
    <w:rsid w:val="001E5E01"/>
    <w:rsid w:val="001E64C6"/>
    <w:rsid w:val="001E76BA"/>
    <w:rsid w:val="001F2641"/>
    <w:rsid w:val="001F6290"/>
    <w:rsid w:val="001F7F0E"/>
    <w:rsid w:val="00202DE3"/>
    <w:rsid w:val="0020660C"/>
    <w:rsid w:val="00207676"/>
    <w:rsid w:val="00212063"/>
    <w:rsid w:val="00213C38"/>
    <w:rsid w:val="00220AA0"/>
    <w:rsid w:val="00226791"/>
    <w:rsid w:val="00226C59"/>
    <w:rsid w:val="0023149B"/>
    <w:rsid w:val="00232B79"/>
    <w:rsid w:val="00240AA2"/>
    <w:rsid w:val="0024141C"/>
    <w:rsid w:val="00242FE6"/>
    <w:rsid w:val="00245B83"/>
    <w:rsid w:val="0024729E"/>
    <w:rsid w:val="002506F4"/>
    <w:rsid w:val="002516D7"/>
    <w:rsid w:val="00253DA5"/>
    <w:rsid w:val="00261235"/>
    <w:rsid w:val="00264F79"/>
    <w:rsid w:val="00273BD3"/>
    <w:rsid w:val="002762B4"/>
    <w:rsid w:val="00283155"/>
    <w:rsid w:val="00284683"/>
    <w:rsid w:val="002846E6"/>
    <w:rsid w:val="00284AD2"/>
    <w:rsid w:val="00284B4C"/>
    <w:rsid w:val="0029033B"/>
    <w:rsid w:val="00291B44"/>
    <w:rsid w:val="00292E65"/>
    <w:rsid w:val="002941D9"/>
    <w:rsid w:val="00295CC3"/>
    <w:rsid w:val="002968AA"/>
    <w:rsid w:val="002A1F0B"/>
    <w:rsid w:val="002A25FC"/>
    <w:rsid w:val="002A34AE"/>
    <w:rsid w:val="002B22EB"/>
    <w:rsid w:val="002B242E"/>
    <w:rsid w:val="002B2C93"/>
    <w:rsid w:val="002B36AA"/>
    <w:rsid w:val="002B5C3D"/>
    <w:rsid w:val="002B6D44"/>
    <w:rsid w:val="002C2AE0"/>
    <w:rsid w:val="002C2C5B"/>
    <w:rsid w:val="002C7604"/>
    <w:rsid w:val="002D2541"/>
    <w:rsid w:val="002D3B17"/>
    <w:rsid w:val="002D4067"/>
    <w:rsid w:val="002D47ED"/>
    <w:rsid w:val="002D59CD"/>
    <w:rsid w:val="002D6610"/>
    <w:rsid w:val="002D661B"/>
    <w:rsid w:val="002D7E4E"/>
    <w:rsid w:val="0030758A"/>
    <w:rsid w:val="0031228F"/>
    <w:rsid w:val="003130AC"/>
    <w:rsid w:val="00316D42"/>
    <w:rsid w:val="0032219F"/>
    <w:rsid w:val="0032234C"/>
    <w:rsid w:val="003265F9"/>
    <w:rsid w:val="00326A4A"/>
    <w:rsid w:val="00327014"/>
    <w:rsid w:val="0033255E"/>
    <w:rsid w:val="00336C24"/>
    <w:rsid w:val="003404D1"/>
    <w:rsid w:val="003421FB"/>
    <w:rsid w:val="00342951"/>
    <w:rsid w:val="003448C3"/>
    <w:rsid w:val="00352A17"/>
    <w:rsid w:val="0035348B"/>
    <w:rsid w:val="00357278"/>
    <w:rsid w:val="003573AC"/>
    <w:rsid w:val="00361500"/>
    <w:rsid w:val="00370F46"/>
    <w:rsid w:val="003738BD"/>
    <w:rsid w:val="00374CAF"/>
    <w:rsid w:val="00376D4A"/>
    <w:rsid w:val="0038509B"/>
    <w:rsid w:val="003862A0"/>
    <w:rsid w:val="00386B9E"/>
    <w:rsid w:val="00386CD4"/>
    <w:rsid w:val="00387834"/>
    <w:rsid w:val="0039045C"/>
    <w:rsid w:val="0039428B"/>
    <w:rsid w:val="0039564A"/>
    <w:rsid w:val="00395954"/>
    <w:rsid w:val="00396752"/>
    <w:rsid w:val="003A1433"/>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11B5F"/>
    <w:rsid w:val="00411BBF"/>
    <w:rsid w:val="00411BDC"/>
    <w:rsid w:val="00415ED9"/>
    <w:rsid w:val="0042236B"/>
    <w:rsid w:val="00425C49"/>
    <w:rsid w:val="00431E30"/>
    <w:rsid w:val="00442875"/>
    <w:rsid w:val="00443F0D"/>
    <w:rsid w:val="004536AD"/>
    <w:rsid w:val="00460FE1"/>
    <w:rsid w:val="00464241"/>
    <w:rsid w:val="00466170"/>
    <w:rsid w:val="00471619"/>
    <w:rsid w:val="004740F9"/>
    <w:rsid w:val="004959C5"/>
    <w:rsid w:val="004A2ADB"/>
    <w:rsid w:val="004A3207"/>
    <w:rsid w:val="004A33BD"/>
    <w:rsid w:val="004A372D"/>
    <w:rsid w:val="004A593B"/>
    <w:rsid w:val="004B23BB"/>
    <w:rsid w:val="004B57D8"/>
    <w:rsid w:val="004B59A4"/>
    <w:rsid w:val="004B6D9D"/>
    <w:rsid w:val="004C04DD"/>
    <w:rsid w:val="004C7A6D"/>
    <w:rsid w:val="004D2AD8"/>
    <w:rsid w:val="004D3EFF"/>
    <w:rsid w:val="004D64EE"/>
    <w:rsid w:val="004E43A2"/>
    <w:rsid w:val="004E6952"/>
    <w:rsid w:val="004E7F57"/>
    <w:rsid w:val="004F517B"/>
    <w:rsid w:val="004F53EC"/>
    <w:rsid w:val="004F6FF3"/>
    <w:rsid w:val="005012A4"/>
    <w:rsid w:val="0050200A"/>
    <w:rsid w:val="005117E2"/>
    <w:rsid w:val="0051311A"/>
    <w:rsid w:val="00514776"/>
    <w:rsid w:val="005147C9"/>
    <w:rsid w:val="00515025"/>
    <w:rsid w:val="005168BE"/>
    <w:rsid w:val="00517AAE"/>
    <w:rsid w:val="00517B8C"/>
    <w:rsid w:val="0052078B"/>
    <w:rsid w:val="00520FA3"/>
    <w:rsid w:val="00525E9C"/>
    <w:rsid w:val="00533B6F"/>
    <w:rsid w:val="0053414D"/>
    <w:rsid w:val="00541F33"/>
    <w:rsid w:val="005443FC"/>
    <w:rsid w:val="00546D32"/>
    <w:rsid w:val="00552E9A"/>
    <w:rsid w:val="0055521A"/>
    <w:rsid w:val="00555B23"/>
    <w:rsid w:val="00556434"/>
    <w:rsid w:val="00560467"/>
    <w:rsid w:val="00564E64"/>
    <w:rsid w:val="005666EE"/>
    <w:rsid w:val="00566AFD"/>
    <w:rsid w:val="00566CDD"/>
    <w:rsid w:val="0057260B"/>
    <w:rsid w:val="0057347E"/>
    <w:rsid w:val="00585805"/>
    <w:rsid w:val="00586712"/>
    <w:rsid w:val="00586F06"/>
    <w:rsid w:val="00590AD9"/>
    <w:rsid w:val="00592093"/>
    <w:rsid w:val="00595CBD"/>
    <w:rsid w:val="005A151F"/>
    <w:rsid w:val="005A2D1B"/>
    <w:rsid w:val="005A3701"/>
    <w:rsid w:val="005A3F13"/>
    <w:rsid w:val="005A5B79"/>
    <w:rsid w:val="005A6801"/>
    <w:rsid w:val="005B12E9"/>
    <w:rsid w:val="005C0033"/>
    <w:rsid w:val="005C025E"/>
    <w:rsid w:val="005C6B6E"/>
    <w:rsid w:val="005D45AB"/>
    <w:rsid w:val="005D4F35"/>
    <w:rsid w:val="005D6939"/>
    <w:rsid w:val="005E3026"/>
    <w:rsid w:val="005E78F7"/>
    <w:rsid w:val="005F0454"/>
    <w:rsid w:val="005F15A4"/>
    <w:rsid w:val="005F29AE"/>
    <w:rsid w:val="005F334A"/>
    <w:rsid w:val="005F34A5"/>
    <w:rsid w:val="005F39C4"/>
    <w:rsid w:val="005F5660"/>
    <w:rsid w:val="005F74C0"/>
    <w:rsid w:val="005F7E68"/>
    <w:rsid w:val="00602978"/>
    <w:rsid w:val="00613A4F"/>
    <w:rsid w:val="00616650"/>
    <w:rsid w:val="00627EA0"/>
    <w:rsid w:val="00631A2C"/>
    <w:rsid w:val="00635AA0"/>
    <w:rsid w:val="00635F43"/>
    <w:rsid w:val="00641373"/>
    <w:rsid w:val="006437B0"/>
    <w:rsid w:val="006453DE"/>
    <w:rsid w:val="00646C47"/>
    <w:rsid w:val="0066013F"/>
    <w:rsid w:val="00660539"/>
    <w:rsid w:val="00665E65"/>
    <w:rsid w:val="0066600C"/>
    <w:rsid w:val="00670A88"/>
    <w:rsid w:val="00672992"/>
    <w:rsid w:val="00672FCB"/>
    <w:rsid w:val="0067533B"/>
    <w:rsid w:val="0067767E"/>
    <w:rsid w:val="0068200A"/>
    <w:rsid w:val="0068459D"/>
    <w:rsid w:val="00686D44"/>
    <w:rsid w:val="00690DBE"/>
    <w:rsid w:val="00690DBF"/>
    <w:rsid w:val="00693518"/>
    <w:rsid w:val="006A0384"/>
    <w:rsid w:val="006A35BC"/>
    <w:rsid w:val="006A4AB9"/>
    <w:rsid w:val="006A55FF"/>
    <w:rsid w:val="006A5934"/>
    <w:rsid w:val="006A761D"/>
    <w:rsid w:val="006B0026"/>
    <w:rsid w:val="006B2FCC"/>
    <w:rsid w:val="006B4661"/>
    <w:rsid w:val="006B7EEB"/>
    <w:rsid w:val="006C18B3"/>
    <w:rsid w:val="006C218C"/>
    <w:rsid w:val="006C5135"/>
    <w:rsid w:val="006C5275"/>
    <w:rsid w:val="006C54B3"/>
    <w:rsid w:val="006D0B3A"/>
    <w:rsid w:val="006E10D5"/>
    <w:rsid w:val="006E2BCF"/>
    <w:rsid w:val="006E30B4"/>
    <w:rsid w:val="006F01C4"/>
    <w:rsid w:val="006F0331"/>
    <w:rsid w:val="006F257A"/>
    <w:rsid w:val="006F67D5"/>
    <w:rsid w:val="006F6BC8"/>
    <w:rsid w:val="006F7B73"/>
    <w:rsid w:val="00704D1E"/>
    <w:rsid w:val="00707BD4"/>
    <w:rsid w:val="00707D5C"/>
    <w:rsid w:val="00714EC7"/>
    <w:rsid w:val="00716147"/>
    <w:rsid w:val="00716400"/>
    <w:rsid w:val="00724624"/>
    <w:rsid w:val="0073101D"/>
    <w:rsid w:val="00731700"/>
    <w:rsid w:val="0074040A"/>
    <w:rsid w:val="0074420C"/>
    <w:rsid w:val="007453A2"/>
    <w:rsid w:val="00746B78"/>
    <w:rsid w:val="00747DF7"/>
    <w:rsid w:val="00760BDD"/>
    <w:rsid w:val="00762170"/>
    <w:rsid w:val="00765237"/>
    <w:rsid w:val="00765491"/>
    <w:rsid w:val="007734FF"/>
    <w:rsid w:val="00775995"/>
    <w:rsid w:val="00787B60"/>
    <w:rsid w:val="00794D40"/>
    <w:rsid w:val="00797046"/>
    <w:rsid w:val="007A3F4D"/>
    <w:rsid w:val="007B0AE4"/>
    <w:rsid w:val="007B36D3"/>
    <w:rsid w:val="007B67D7"/>
    <w:rsid w:val="007B692C"/>
    <w:rsid w:val="007B7925"/>
    <w:rsid w:val="007B7962"/>
    <w:rsid w:val="007B7CB3"/>
    <w:rsid w:val="007C4024"/>
    <w:rsid w:val="007C559F"/>
    <w:rsid w:val="007C699A"/>
    <w:rsid w:val="007D2708"/>
    <w:rsid w:val="007D2777"/>
    <w:rsid w:val="007E39A4"/>
    <w:rsid w:val="007E5171"/>
    <w:rsid w:val="007E5B46"/>
    <w:rsid w:val="007F00A7"/>
    <w:rsid w:val="007F73A3"/>
    <w:rsid w:val="007F7451"/>
    <w:rsid w:val="007F76BA"/>
    <w:rsid w:val="007F7CCE"/>
    <w:rsid w:val="00801335"/>
    <w:rsid w:val="00804ACD"/>
    <w:rsid w:val="008068FC"/>
    <w:rsid w:val="00806D20"/>
    <w:rsid w:val="00810329"/>
    <w:rsid w:val="008114D3"/>
    <w:rsid w:val="00812677"/>
    <w:rsid w:val="00812A2B"/>
    <w:rsid w:val="008217A1"/>
    <w:rsid w:val="00822CC2"/>
    <w:rsid w:val="00824834"/>
    <w:rsid w:val="008271C1"/>
    <w:rsid w:val="00832D71"/>
    <w:rsid w:val="00835902"/>
    <w:rsid w:val="00843102"/>
    <w:rsid w:val="00844AC2"/>
    <w:rsid w:val="008500A0"/>
    <w:rsid w:val="00852900"/>
    <w:rsid w:val="008546A6"/>
    <w:rsid w:val="00856B32"/>
    <w:rsid w:val="0086058E"/>
    <w:rsid w:val="008623E2"/>
    <w:rsid w:val="00862695"/>
    <w:rsid w:val="00863EB3"/>
    <w:rsid w:val="00872BBA"/>
    <w:rsid w:val="00872ED8"/>
    <w:rsid w:val="00874103"/>
    <w:rsid w:val="008767A1"/>
    <w:rsid w:val="00877447"/>
    <w:rsid w:val="00880CD3"/>
    <w:rsid w:val="0088241D"/>
    <w:rsid w:val="008829EC"/>
    <w:rsid w:val="00882D82"/>
    <w:rsid w:val="00884CEC"/>
    <w:rsid w:val="008861ED"/>
    <w:rsid w:val="00887883"/>
    <w:rsid w:val="00893109"/>
    <w:rsid w:val="0089363A"/>
    <w:rsid w:val="008A244F"/>
    <w:rsid w:val="008A5298"/>
    <w:rsid w:val="008A53FD"/>
    <w:rsid w:val="008A64A0"/>
    <w:rsid w:val="008B46C8"/>
    <w:rsid w:val="008B4DC7"/>
    <w:rsid w:val="008B7CD4"/>
    <w:rsid w:val="008C26AF"/>
    <w:rsid w:val="008C2837"/>
    <w:rsid w:val="008C6AB0"/>
    <w:rsid w:val="008C7D31"/>
    <w:rsid w:val="008D5091"/>
    <w:rsid w:val="008D6F42"/>
    <w:rsid w:val="008D75F9"/>
    <w:rsid w:val="008E04BD"/>
    <w:rsid w:val="008E1066"/>
    <w:rsid w:val="008E1C33"/>
    <w:rsid w:val="008E2CAB"/>
    <w:rsid w:val="008E60EA"/>
    <w:rsid w:val="008F17FB"/>
    <w:rsid w:val="008F5D16"/>
    <w:rsid w:val="008F5DBB"/>
    <w:rsid w:val="008F770E"/>
    <w:rsid w:val="00901358"/>
    <w:rsid w:val="00907DA3"/>
    <w:rsid w:val="00916251"/>
    <w:rsid w:val="0091729F"/>
    <w:rsid w:val="00917960"/>
    <w:rsid w:val="00921859"/>
    <w:rsid w:val="00922BB1"/>
    <w:rsid w:val="00923A3D"/>
    <w:rsid w:val="009304D0"/>
    <w:rsid w:val="00930753"/>
    <w:rsid w:val="00930B01"/>
    <w:rsid w:val="009369D6"/>
    <w:rsid w:val="00942529"/>
    <w:rsid w:val="009461C7"/>
    <w:rsid w:val="0095205B"/>
    <w:rsid w:val="00956A71"/>
    <w:rsid w:val="00956FD4"/>
    <w:rsid w:val="00960554"/>
    <w:rsid w:val="009609EB"/>
    <w:rsid w:val="00962386"/>
    <w:rsid w:val="00963DD5"/>
    <w:rsid w:val="00963FA3"/>
    <w:rsid w:val="00966210"/>
    <w:rsid w:val="009773BF"/>
    <w:rsid w:val="009773D4"/>
    <w:rsid w:val="00984067"/>
    <w:rsid w:val="00984729"/>
    <w:rsid w:val="00991CA9"/>
    <w:rsid w:val="00997957"/>
    <w:rsid w:val="009A0157"/>
    <w:rsid w:val="009A016D"/>
    <w:rsid w:val="009A0B47"/>
    <w:rsid w:val="009A0CE6"/>
    <w:rsid w:val="009A1854"/>
    <w:rsid w:val="009A1B68"/>
    <w:rsid w:val="009A21CD"/>
    <w:rsid w:val="009A307A"/>
    <w:rsid w:val="009A4349"/>
    <w:rsid w:val="009B46B8"/>
    <w:rsid w:val="009B6C84"/>
    <w:rsid w:val="009C49D4"/>
    <w:rsid w:val="009C690E"/>
    <w:rsid w:val="009C75E6"/>
    <w:rsid w:val="009D26C8"/>
    <w:rsid w:val="009D42C4"/>
    <w:rsid w:val="009D522D"/>
    <w:rsid w:val="009D6733"/>
    <w:rsid w:val="009E014B"/>
    <w:rsid w:val="009E0AC8"/>
    <w:rsid w:val="009E285D"/>
    <w:rsid w:val="009F3788"/>
    <w:rsid w:val="009F4B62"/>
    <w:rsid w:val="009F557F"/>
    <w:rsid w:val="009F6111"/>
    <w:rsid w:val="009F7062"/>
    <w:rsid w:val="00A007EE"/>
    <w:rsid w:val="00A01BDA"/>
    <w:rsid w:val="00A07825"/>
    <w:rsid w:val="00A07DF1"/>
    <w:rsid w:val="00A1112C"/>
    <w:rsid w:val="00A12773"/>
    <w:rsid w:val="00A13FB5"/>
    <w:rsid w:val="00A16563"/>
    <w:rsid w:val="00A1681D"/>
    <w:rsid w:val="00A16FCA"/>
    <w:rsid w:val="00A177A4"/>
    <w:rsid w:val="00A204DF"/>
    <w:rsid w:val="00A2684D"/>
    <w:rsid w:val="00A32EDC"/>
    <w:rsid w:val="00A34E5E"/>
    <w:rsid w:val="00A35AB0"/>
    <w:rsid w:val="00A418C4"/>
    <w:rsid w:val="00A62973"/>
    <w:rsid w:val="00A67DCC"/>
    <w:rsid w:val="00A7315B"/>
    <w:rsid w:val="00A73436"/>
    <w:rsid w:val="00A77CA0"/>
    <w:rsid w:val="00A86D5E"/>
    <w:rsid w:val="00A93F0B"/>
    <w:rsid w:val="00AA6EE9"/>
    <w:rsid w:val="00AA70A2"/>
    <w:rsid w:val="00AB1118"/>
    <w:rsid w:val="00AB12A9"/>
    <w:rsid w:val="00AB13AE"/>
    <w:rsid w:val="00AB1894"/>
    <w:rsid w:val="00AC013B"/>
    <w:rsid w:val="00AC2E8F"/>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7AA"/>
    <w:rsid w:val="00B04064"/>
    <w:rsid w:val="00B0771B"/>
    <w:rsid w:val="00B114BD"/>
    <w:rsid w:val="00B1482A"/>
    <w:rsid w:val="00B2045E"/>
    <w:rsid w:val="00B20D55"/>
    <w:rsid w:val="00B30078"/>
    <w:rsid w:val="00B32EAD"/>
    <w:rsid w:val="00B347CC"/>
    <w:rsid w:val="00B43F5E"/>
    <w:rsid w:val="00B535AE"/>
    <w:rsid w:val="00B53850"/>
    <w:rsid w:val="00B53A82"/>
    <w:rsid w:val="00B61D3E"/>
    <w:rsid w:val="00B6371A"/>
    <w:rsid w:val="00B63FCA"/>
    <w:rsid w:val="00B645E5"/>
    <w:rsid w:val="00B67458"/>
    <w:rsid w:val="00B6762B"/>
    <w:rsid w:val="00B72BB2"/>
    <w:rsid w:val="00B75BEA"/>
    <w:rsid w:val="00B81FCD"/>
    <w:rsid w:val="00B90BB1"/>
    <w:rsid w:val="00B96109"/>
    <w:rsid w:val="00B976B6"/>
    <w:rsid w:val="00BA0275"/>
    <w:rsid w:val="00BA15EF"/>
    <w:rsid w:val="00BA1944"/>
    <w:rsid w:val="00BA6244"/>
    <w:rsid w:val="00BB17BC"/>
    <w:rsid w:val="00BB54D6"/>
    <w:rsid w:val="00BB780B"/>
    <w:rsid w:val="00BC1EEF"/>
    <w:rsid w:val="00BC2FA1"/>
    <w:rsid w:val="00BC384C"/>
    <w:rsid w:val="00BC3F61"/>
    <w:rsid w:val="00BC68A0"/>
    <w:rsid w:val="00BC6ADC"/>
    <w:rsid w:val="00BD07E5"/>
    <w:rsid w:val="00BD0E0A"/>
    <w:rsid w:val="00BD319C"/>
    <w:rsid w:val="00BD36AA"/>
    <w:rsid w:val="00BD48BE"/>
    <w:rsid w:val="00BF02CB"/>
    <w:rsid w:val="00BF545C"/>
    <w:rsid w:val="00BF7014"/>
    <w:rsid w:val="00C03A02"/>
    <w:rsid w:val="00C12B93"/>
    <w:rsid w:val="00C1385D"/>
    <w:rsid w:val="00C13E7B"/>
    <w:rsid w:val="00C15FAD"/>
    <w:rsid w:val="00C172EF"/>
    <w:rsid w:val="00C20CC5"/>
    <w:rsid w:val="00C2154D"/>
    <w:rsid w:val="00C21676"/>
    <w:rsid w:val="00C21EFA"/>
    <w:rsid w:val="00C25F6A"/>
    <w:rsid w:val="00C27D33"/>
    <w:rsid w:val="00C3467B"/>
    <w:rsid w:val="00C3567D"/>
    <w:rsid w:val="00C356A8"/>
    <w:rsid w:val="00C35792"/>
    <w:rsid w:val="00C36EF6"/>
    <w:rsid w:val="00C371D8"/>
    <w:rsid w:val="00C40C21"/>
    <w:rsid w:val="00C45635"/>
    <w:rsid w:val="00C47D07"/>
    <w:rsid w:val="00C52A55"/>
    <w:rsid w:val="00C5690E"/>
    <w:rsid w:val="00C700E2"/>
    <w:rsid w:val="00C768E2"/>
    <w:rsid w:val="00C76FCB"/>
    <w:rsid w:val="00C80D0D"/>
    <w:rsid w:val="00C84DF6"/>
    <w:rsid w:val="00C86F0A"/>
    <w:rsid w:val="00C874E7"/>
    <w:rsid w:val="00C9012D"/>
    <w:rsid w:val="00C947B1"/>
    <w:rsid w:val="00C94A95"/>
    <w:rsid w:val="00C958CA"/>
    <w:rsid w:val="00C971FF"/>
    <w:rsid w:val="00CA132E"/>
    <w:rsid w:val="00CA578A"/>
    <w:rsid w:val="00CA5DAE"/>
    <w:rsid w:val="00CA6690"/>
    <w:rsid w:val="00CA7335"/>
    <w:rsid w:val="00CB4EAD"/>
    <w:rsid w:val="00CB5159"/>
    <w:rsid w:val="00CB52D3"/>
    <w:rsid w:val="00CB5F9C"/>
    <w:rsid w:val="00CB66E6"/>
    <w:rsid w:val="00CC0608"/>
    <w:rsid w:val="00CC0622"/>
    <w:rsid w:val="00CC116B"/>
    <w:rsid w:val="00CC1298"/>
    <w:rsid w:val="00CC375F"/>
    <w:rsid w:val="00CC47B0"/>
    <w:rsid w:val="00CC67A2"/>
    <w:rsid w:val="00CC713E"/>
    <w:rsid w:val="00CD121E"/>
    <w:rsid w:val="00CD216C"/>
    <w:rsid w:val="00CD439E"/>
    <w:rsid w:val="00CD6394"/>
    <w:rsid w:val="00CD7620"/>
    <w:rsid w:val="00CE2548"/>
    <w:rsid w:val="00CE59CF"/>
    <w:rsid w:val="00CF2C30"/>
    <w:rsid w:val="00CF2EEA"/>
    <w:rsid w:val="00CF7511"/>
    <w:rsid w:val="00D0010A"/>
    <w:rsid w:val="00D02C94"/>
    <w:rsid w:val="00D10C11"/>
    <w:rsid w:val="00D11251"/>
    <w:rsid w:val="00D11500"/>
    <w:rsid w:val="00D11CAC"/>
    <w:rsid w:val="00D121B5"/>
    <w:rsid w:val="00D25765"/>
    <w:rsid w:val="00D314EA"/>
    <w:rsid w:val="00D33DED"/>
    <w:rsid w:val="00D36668"/>
    <w:rsid w:val="00D41A03"/>
    <w:rsid w:val="00D43950"/>
    <w:rsid w:val="00D45334"/>
    <w:rsid w:val="00D46134"/>
    <w:rsid w:val="00D506FC"/>
    <w:rsid w:val="00D51EEA"/>
    <w:rsid w:val="00D527D6"/>
    <w:rsid w:val="00D53DEF"/>
    <w:rsid w:val="00D5457C"/>
    <w:rsid w:val="00D55310"/>
    <w:rsid w:val="00D5747C"/>
    <w:rsid w:val="00D605A1"/>
    <w:rsid w:val="00D6271A"/>
    <w:rsid w:val="00D63C1A"/>
    <w:rsid w:val="00D7363A"/>
    <w:rsid w:val="00D76012"/>
    <w:rsid w:val="00D81B33"/>
    <w:rsid w:val="00D83461"/>
    <w:rsid w:val="00D90740"/>
    <w:rsid w:val="00D90939"/>
    <w:rsid w:val="00D90A93"/>
    <w:rsid w:val="00D9238B"/>
    <w:rsid w:val="00D973D5"/>
    <w:rsid w:val="00DA1796"/>
    <w:rsid w:val="00DB1D56"/>
    <w:rsid w:val="00DB2B00"/>
    <w:rsid w:val="00DB3813"/>
    <w:rsid w:val="00DB467D"/>
    <w:rsid w:val="00DB4AB4"/>
    <w:rsid w:val="00DC6B8A"/>
    <w:rsid w:val="00DD131E"/>
    <w:rsid w:val="00DD6402"/>
    <w:rsid w:val="00DE36BE"/>
    <w:rsid w:val="00DF4531"/>
    <w:rsid w:val="00DF7B2A"/>
    <w:rsid w:val="00E01B78"/>
    <w:rsid w:val="00E0292B"/>
    <w:rsid w:val="00E0321B"/>
    <w:rsid w:val="00E03AE0"/>
    <w:rsid w:val="00E046A9"/>
    <w:rsid w:val="00E11E4E"/>
    <w:rsid w:val="00E1381F"/>
    <w:rsid w:val="00E141BA"/>
    <w:rsid w:val="00E1774C"/>
    <w:rsid w:val="00E20BE5"/>
    <w:rsid w:val="00E24D1B"/>
    <w:rsid w:val="00E33F76"/>
    <w:rsid w:val="00E35B99"/>
    <w:rsid w:val="00E41518"/>
    <w:rsid w:val="00E421E5"/>
    <w:rsid w:val="00E4404E"/>
    <w:rsid w:val="00E46F73"/>
    <w:rsid w:val="00E475C1"/>
    <w:rsid w:val="00E47A17"/>
    <w:rsid w:val="00E500A6"/>
    <w:rsid w:val="00E50E6A"/>
    <w:rsid w:val="00E518CA"/>
    <w:rsid w:val="00E54585"/>
    <w:rsid w:val="00E550B8"/>
    <w:rsid w:val="00E555C6"/>
    <w:rsid w:val="00E66448"/>
    <w:rsid w:val="00E66B36"/>
    <w:rsid w:val="00E74739"/>
    <w:rsid w:val="00E76957"/>
    <w:rsid w:val="00E776BB"/>
    <w:rsid w:val="00E8318D"/>
    <w:rsid w:val="00E83784"/>
    <w:rsid w:val="00E84ACF"/>
    <w:rsid w:val="00E9127C"/>
    <w:rsid w:val="00E93A49"/>
    <w:rsid w:val="00EA148B"/>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F4627"/>
    <w:rsid w:val="00F01FCB"/>
    <w:rsid w:val="00F02D59"/>
    <w:rsid w:val="00F14D45"/>
    <w:rsid w:val="00F15E5A"/>
    <w:rsid w:val="00F25C1A"/>
    <w:rsid w:val="00F35722"/>
    <w:rsid w:val="00F36543"/>
    <w:rsid w:val="00F40D66"/>
    <w:rsid w:val="00F41497"/>
    <w:rsid w:val="00F42850"/>
    <w:rsid w:val="00F43572"/>
    <w:rsid w:val="00F50D32"/>
    <w:rsid w:val="00F54AF4"/>
    <w:rsid w:val="00F61356"/>
    <w:rsid w:val="00F62443"/>
    <w:rsid w:val="00F6392D"/>
    <w:rsid w:val="00F63AD2"/>
    <w:rsid w:val="00F63D42"/>
    <w:rsid w:val="00F64332"/>
    <w:rsid w:val="00F6636F"/>
    <w:rsid w:val="00F72F8B"/>
    <w:rsid w:val="00F7315A"/>
    <w:rsid w:val="00F778AB"/>
    <w:rsid w:val="00F84067"/>
    <w:rsid w:val="00F86D0E"/>
    <w:rsid w:val="00F93FBE"/>
    <w:rsid w:val="00F95D83"/>
    <w:rsid w:val="00FA2107"/>
    <w:rsid w:val="00FA2D8A"/>
    <w:rsid w:val="00FA53E8"/>
    <w:rsid w:val="00FA5BF4"/>
    <w:rsid w:val="00FB5ACA"/>
    <w:rsid w:val="00FB641E"/>
    <w:rsid w:val="00FB6EEE"/>
    <w:rsid w:val="00FB7CF2"/>
    <w:rsid w:val="00FC0002"/>
    <w:rsid w:val="00FC0802"/>
    <w:rsid w:val="00FC0FAD"/>
    <w:rsid w:val="00FC2D34"/>
    <w:rsid w:val="00FC3E2D"/>
    <w:rsid w:val="00FC6F61"/>
    <w:rsid w:val="00FE2B7D"/>
    <w:rsid w:val="00FE34EA"/>
    <w:rsid w:val="00FE72B3"/>
    <w:rsid w:val="00FF2AE8"/>
    <w:rsid w:val="00FF4782"/>
    <w:rsid w:val="00FF65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rsid w:val="00FE2B7D"/>
    <w:pPr>
      <w:keepLines/>
      <w:spacing w:before="40" w:after="40"/>
      <w:jc w:val="center"/>
    </w:pPr>
    <w:rPr>
      <w:rFonts w:eastAsia="SimSun"/>
      <w:lang w:eastAsia="x-none"/>
    </w:rPr>
  </w:style>
  <w:style w:type="paragraph" w:customStyle="1" w:styleId="TAH">
    <w:name w:val="TAH"/>
    <w:basedOn w:val="TAC"/>
    <w:link w:val="TAHCar"/>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3"/>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paragraph" w:customStyle="1" w:styleId="LGTdoc">
    <w:name w:val="LGTdoc_본문"/>
    <w:basedOn w:val="Normal"/>
    <w:link w:val="LGTdocChar"/>
    <w:rsid w:val="0035727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rsid w:val="00357278"/>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2019-01-12T05:48:00Z</dcterms:created>
  <dcterms:modified xsi:type="dcterms:W3CDTF">2019-01-12T05:51:00Z</dcterms:modified>
</cp:coreProperties>
</file>