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3D704" w14:textId="4385AFA8" w:rsidR="004E6F83" w:rsidRPr="00BC38D5" w:rsidRDefault="004E6F83" w:rsidP="00C81DF6">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sidR="00687809">
        <w:rPr>
          <w:rFonts w:ascii="Arial" w:hAnsi="Arial" w:cs="Arial"/>
          <w:sz w:val="24"/>
          <w:szCs w:val="24"/>
        </w:rPr>
        <w:t>AH-1901</w:t>
      </w:r>
      <w:r w:rsidRPr="00BC38D5">
        <w:rPr>
          <w:rFonts w:ascii="Arial" w:hAnsi="Arial" w:cs="Arial"/>
          <w:sz w:val="24"/>
          <w:szCs w:val="24"/>
        </w:rPr>
        <w:tab/>
      </w:r>
      <w:r w:rsidR="00687809">
        <w:rPr>
          <w:rFonts w:ascii="Arial" w:hAnsi="Arial" w:cs="Arial"/>
          <w:sz w:val="24"/>
          <w:szCs w:val="24"/>
        </w:rPr>
        <w:t>R1-190</w:t>
      </w:r>
      <w:r w:rsidR="00C81DF6">
        <w:rPr>
          <w:rFonts w:ascii="Arial" w:hAnsi="Arial" w:cs="Arial"/>
          <w:sz w:val="24"/>
          <w:szCs w:val="24"/>
        </w:rPr>
        <w:t>0948</w:t>
      </w:r>
    </w:p>
    <w:p w14:paraId="4D0B2945" w14:textId="5CB35969" w:rsidR="009A0B47" w:rsidRPr="00F8324B" w:rsidRDefault="00687809" w:rsidP="00687809">
      <w:pPr>
        <w:spacing w:after="0"/>
        <w:rPr>
          <w:rFonts w:ascii="Arial" w:hAnsi="Arial" w:cs="Arial"/>
          <w:sz w:val="24"/>
          <w:szCs w:val="24"/>
        </w:rPr>
      </w:pPr>
      <w:r>
        <w:rPr>
          <w:rFonts w:ascii="Arial" w:hAnsi="Arial" w:cs="Arial"/>
          <w:sz w:val="24"/>
          <w:szCs w:val="24"/>
        </w:rPr>
        <w:t>Taipei</w:t>
      </w:r>
      <w:r w:rsidR="00D4633D">
        <w:rPr>
          <w:rFonts w:ascii="Arial" w:hAnsi="Arial" w:cs="Arial"/>
          <w:sz w:val="24"/>
          <w:szCs w:val="24"/>
        </w:rPr>
        <w:t xml:space="preserve">, </w:t>
      </w:r>
      <w:r w:rsidR="004E6F83">
        <w:rPr>
          <w:rFonts w:ascii="Arial" w:hAnsi="Arial" w:cs="Arial"/>
          <w:sz w:val="24"/>
          <w:szCs w:val="24"/>
        </w:rPr>
        <w:t>2</w:t>
      </w:r>
      <w:r>
        <w:rPr>
          <w:rFonts w:ascii="Arial" w:hAnsi="Arial" w:cs="Arial"/>
          <w:sz w:val="24"/>
          <w:szCs w:val="24"/>
        </w:rPr>
        <w:t>1</w:t>
      </w:r>
      <w:r>
        <w:rPr>
          <w:rFonts w:ascii="Arial" w:hAnsi="Arial" w:cs="Arial"/>
          <w:sz w:val="24"/>
          <w:szCs w:val="24"/>
          <w:vertAlign w:val="superscript"/>
        </w:rPr>
        <w:t>st</w:t>
      </w:r>
      <w:r w:rsidR="00B300AF">
        <w:rPr>
          <w:rFonts w:ascii="Arial" w:hAnsi="Arial" w:cs="Arial"/>
          <w:sz w:val="24"/>
          <w:szCs w:val="24"/>
          <w:vertAlign w:val="superscript"/>
        </w:rPr>
        <w:t xml:space="preserve"> </w:t>
      </w:r>
      <w:r>
        <w:rPr>
          <w:rFonts w:ascii="Arial" w:hAnsi="Arial" w:cs="Arial"/>
          <w:sz w:val="24"/>
          <w:szCs w:val="24"/>
        </w:rPr>
        <w:t>– 25</w:t>
      </w:r>
      <w:r w:rsidR="004E6F83">
        <w:rPr>
          <w:rFonts w:ascii="Arial" w:hAnsi="Arial" w:cs="Arial"/>
          <w:sz w:val="24"/>
          <w:szCs w:val="24"/>
          <w:vertAlign w:val="superscript"/>
        </w:rPr>
        <w:t>th</w:t>
      </w:r>
      <w:r w:rsidR="004E6F83">
        <w:rPr>
          <w:rFonts w:ascii="Arial" w:hAnsi="Arial" w:cs="Arial"/>
          <w:sz w:val="24"/>
          <w:szCs w:val="24"/>
        </w:rPr>
        <w:t xml:space="preserve"> </w:t>
      </w:r>
      <w:r>
        <w:rPr>
          <w:rFonts w:ascii="Arial" w:hAnsi="Arial" w:cs="Arial"/>
          <w:sz w:val="24"/>
          <w:szCs w:val="24"/>
        </w:rPr>
        <w:t>January 2019</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34AB6164" w:rsidR="009A0B47" w:rsidRPr="008D44EF" w:rsidRDefault="009A0B47" w:rsidP="00687809">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87809">
        <w:rPr>
          <w:rFonts w:ascii="Arial" w:hAnsi="Arial"/>
          <w:sz w:val="24"/>
          <w:lang w:val="en-US"/>
        </w:rPr>
        <w:t>2.13.1</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05F2ED83" w:rsidR="009A0B47" w:rsidRPr="00F35722" w:rsidRDefault="009A0B47" w:rsidP="00C81DF6">
      <w:pPr>
        <w:tabs>
          <w:tab w:val="left" w:pos="1985"/>
        </w:tabs>
        <w:spacing w:after="120"/>
        <w:ind w:left="1980" w:hanging="1980"/>
        <w:rPr>
          <w:rFonts w:ascii="Arial" w:hAnsi="Arial"/>
          <w:sz w:val="24"/>
        </w:rPr>
      </w:pPr>
      <w:r w:rsidRPr="00B300AF">
        <w:rPr>
          <w:rFonts w:ascii="Arial" w:hAnsi="Arial"/>
          <w:b/>
          <w:sz w:val="24"/>
        </w:rPr>
        <w:t>Title:</w:t>
      </w:r>
      <w:r w:rsidRPr="00B300AF">
        <w:rPr>
          <w:rFonts w:ascii="Arial" w:hAnsi="Arial"/>
          <w:sz w:val="24"/>
        </w:rPr>
        <w:t xml:space="preserve"> </w:t>
      </w:r>
      <w:r w:rsidRPr="00B300AF">
        <w:rPr>
          <w:rFonts w:ascii="Arial" w:hAnsi="Arial"/>
          <w:sz w:val="24"/>
        </w:rPr>
        <w:tab/>
      </w:r>
      <w:bookmarkStart w:id="1" w:name="Title"/>
      <w:bookmarkEnd w:id="1"/>
      <w:r w:rsidR="00C81DF6">
        <w:rPr>
          <w:rFonts w:ascii="Arial" w:hAnsi="Arial"/>
          <w:sz w:val="24"/>
        </w:rPr>
        <w:t>Uplink power c</w:t>
      </w:r>
      <w:r w:rsidR="00B300AF" w:rsidRPr="00B300AF">
        <w:rPr>
          <w:rFonts w:ascii="Arial" w:hAnsi="Arial"/>
          <w:sz w:val="24"/>
        </w:rPr>
        <w:t xml:space="preserve">ontrol for NR-NR </w:t>
      </w:r>
      <w:r w:rsidR="00C81DF6">
        <w:rPr>
          <w:rFonts w:ascii="Arial" w:hAnsi="Arial"/>
          <w:sz w:val="24"/>
        </w:rPr>
        <w:t>dual-c</w:t>
      </w:r>
      <w:r w:rsidR="00B300AF" w:rsidRPr="00B300AF">
        <w:rPr>
          <w:rFonts w:ascii="Arial" w:hAnsi="Arial"/>
          <w:sz w:val="24"/>
        </w:rPr>
        <w:t>onnectivity</w:t>
      </w:r>
      <w:r>
        <w:rPr>
          <w:rFonts w:ascii="Arial" w:hAnsi="Arial"/>
          <w:sz w:val="24"/>
        </w:rPr>
        <w:t xml:space="preserve"> </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1D5BE37F" w14:textId="34CD9BB6" w:rsidR="00F15F03" w:rsidRDefault="00F15F03" w:rsidP="00DB3F78">
      <w:pPr>
        <w:jc w:val="both"/>
      </w:pPr>
      <w:r>
        <w:t xml:space="preserve">Dual Connectivity (DC) facilitates the connection of a UE to a collection of serving cells or component carriers (CCs) among which an ideal/high-capacity, low-latency backhaul does not exist or cannot be assumed. In particular, DC considers two cell groups (CGs). The CG that the UE first connects to and </w:t>
      </w:r>
      <w:r w:rsidR="00E13263" w:rsidRPr="00E13263">
        <w:t xml:space="preserve">provides the control plane connection to the core network </w:t>
      </w:r>
      <w:r>
        <w:t xml:space="preserve">is called the Master CG (MCG), and the other CG that the UE later </w:t>
      </w:r>
      <w:r w:rsidR="00E13263">
        <w:t>is configured with</w:t>
      </w:r>
      <w:r>
        <w:t xml:space="preserve"> </w:t>
      </w:r>
      <w:r w:rsidR="00DB3F78">
        <w:t xml:space="preserve">and </w:t>
      </w:r>
      <w:r w:rsidR="00E13263">
        <w:t>provid</w:t>
      </w:r>
      <w:r w:rsidR="00DB3F78">
        <w:t>es</w:t>
      </w:r>
      <w:r>
        <w:t xml:space="preserve"> supplemental </w:t>
      </w:r>
      <w:r w:rsidR="00E13263">
        <w:t xml:space="preserve">resources </w:t>
      </w:r>
      <w:r>
        <w:t>is called the Secondary CG (SCG). Some use-cases for dual connectivity include connection of a UE to two different radio access technologies (RATs) such as EUTRA-NR DC (EN-DC) or NR-EUTRA DC (NE-DC), or connection of a UE to both macro cells and small cells within one RAT such as LTE-LTE DC or NR-NR DC.</w:t>
      </w:r>
    </w:p>
    <w:p w14:paraId="1B26E815" w14:textId="535EFD1F" w:rsidR="00C81DF6" w:rsidRDefault="00C81DF6" w:rsidP="00A718DF">
      <w:pPr>
        <w:tabs>
          <w:tab w:val="left" w:pos="1440"/>
        </w:tabs>
        <w:jc w:val="both"/>
        <w:rPr>
          <w:rFonts w:eastAsia="MS Mincho"/>
          <w:lang w:val="en-US" w:eastAsia="ja-JP"/>
        </w:rPr>
      </w:pPr>
      <w:r>
        <w:rPr>
          <w:rFonts w:eastAsia="MS Mincho"/>
          <w:lang w:val="en-US" w:eastAsia="ja-JP"/>
        </w:rPr>
        <w:t xml:space="preserve">NR-NR dual-connectivity (NN-DC) was initially discussed in Rel-15 </w:t>
      </w:r>
      <w:r w:rsidR="00A718DF">
        <w:rPr>
          <w:rFonts w:eastAsia="MS Mincho"/>
          <w:lang w:val="en-US" w:eastAsia="ja-JP"/>
        </w:rPr>
        <w:t xml:space="preserve">late-drop </w:t>
      </w:r>
      <w:r>
        <w:rPr>
          <w:rFonts w:eastAsia="MS Mincho"/>
          <w:lang w:val="en-US" w:eastAsia="ja-JP"/>
        </w:rPr>
        <w:t>for the special case that one CG is in frequency range 1 (FR1) and the other CG is in frequency range 2 (FR2). In this case, no power sharing between the two CGs is defined, as can be seen in the following excerpt from TS 38.213 [1].</w:t>
      </w:r>
    </w:p>
    <w:p w14:paraId="33B74E9E" w14:textId="77777777" w:rsidR="00C81DF6" w:rsidRDefault="00C81DF6" w:rsidP="00C81DF6">
      <w:pPr>
        <w:tabs>
          <w:tab w:val="left" w:pos="1440"/>
        </w:tabs>
        <w:jc w:val="both"/>
        <w:rPr>
          <w:i/>
        </w:rPr>
      </w:pPr>
      <w:r>
        <w:rPr>
          <w:noProof/>
          <w:lang w:val="en-US"/>
        </w:rPr>
        <mc:AlternateContent>
          <mc:Choice Requires="wps">
            <w:drawing>
              <wp:inline distT="0" distB="0" distL="0" distR="0" wp14:anchorId="1A4FCB42" wp14:editId="2D0DA370">
                <wp:extent cx="5943600" cy="1137920"/>
                <wp:effectExtent l="0" t="0" r="19050" b="241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137920"/>
                        </a:xfrm>
                        <a:prstGeom prst="rect">
                          <a:avLst/>
                        </a:prstGeom>
                        <a:solidFill>
                          <a:srgbClr val="FFFFFF"/>
                        </a:solidFill>
                        <a:ln w="9525">
                          <a:solidFill>
                            <a:srgbClr val="000000"/>
                          </a:solidFill>
                          <a:miter lim="800000"/>
                          <a:headEnd/>
                          <a:tailEnd/>
                        </a:ln>
                      </wps:spPr>
                      <wps:txbx>
                        <w:txbxContent>
                          <w:p w14:paraId="313B6F23" w14:textId="79986257" w:rsidR="00C81DF6" w:rsidRPr="00C81DF6" w:rsidRDefault="00C81DF6" w:rsidP="00C81DF6">
                            <w:pPr>
                              <w:pStyle w:val="LGTdoc"/>
                              <w:spacing w:afterLines="0" w:line="240" w:lineRule="auto"/>
                              <w:rPr>
                                <w:b/>
                                <w:sz w:val="20"/>
                                <w:szCs w:val="22"/>
                              </w:rPr>
                            </w:pPr>
                            <w:r w:rsidRPr="00C81DF6">
                              <w:rPr>
                                <w:b/>
                                <w:sz w:val="20"/>
                                <w:szCs w:val="22"/>
                              </w:rPr>
                              <w:t>Excerpt from TS 38.213 [1]</w:t>
                            </w:r>
                          </w:p>
                          <w:p w14:paraId="12828ED5" w14:textId="13C7D2DF" w:rsidR="00C81DF6" w:rsidRPr="00C463CB" w:rsidRDefault="00C81DF6" w:rsidP="00C81DF6">
                            <w:pPr>
                              <w:pStyle w:val="Heading3"/>
                            </w:pPr>
                            <w:r w:rsidRPr="00B916EC">
                              <w:t>7</w:t>
                            </w:r>
                            <w:r>
                              <w:t>.6.3</w:t>
                            </w:r>
                            <w:r w:rsidRPr="00B916EC">
                              <w:tab/>
                            </w:r>
                            <w:r>
                              <w:t>NN-DC</w:t>
                            </w:r>
                          </w:p>
                          <w:p w14:paraId="35AE2AD1" w14:textId="7F6CC1D6" w:rsidR="00C81DF6" w:rsidRPr="00F809A6" w:rsidRDefault="00C81DF6" w:rsidP="00C81DF6">
                            <w:pPr>
                              <w:pStyle w:val="B1"/>
                              <w:ind w:left="0" w:firstLine="0"/>
                              <w:rPr>
                                <w:lang w:val="en-US"/>
                              </w:rPr>
                            </w:pPr>
                            <w:r w:rsidRPr="00B916EC">
                              <w:t xml:space="preserve">If a UE is configured with a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 xml:space="preserve"> 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Subclauses 7.1 through 7.5</w:t>
                            </w:r>
                            <w:r>
                              <w:rPr>
                                <w:lang w:eastAsia="ja-JP"/>
                              </w:rPr>
                              <w:t>.</w:t>
                            </w:r>
                          </w:p>
                          <w:p w14:paraId="3106C28C" w14:textId="77777777" w:rsidR="00C81DF6" w:rsidRPr="00FB0CE8" w:rsidRDefault="00C81DF6" w:rsidP="00C81DF6">
                            <w:pPr>
                              <w:rPr>
                                <w:b/>
                                <w:lang w:eastAsia="x-none"/>
                              </w:rPr>
                            </w:pPr>
                          </w:p>
                        </w:txbxContent>
                      </wps:txbx>
                      <wps:bodyPr rot="0" vert="horz" wrap="square" lIns="91440" tIns="45720" rIns="91440" bIns="45720" anchor="t" anchorCtr="0">
                        <a:noAutofit/>
                      </wps:bodyPr>
                    </wps:wsp>
                  </a:graphicData>
                </a:graphic>
              </wp:inline>
            </w:drawing>
          </mc:Choice>
          <mc:Fallback>
            <w:pict>
              <v:shapetype w14:anchorId="1A4FCB42" id="_x0000_t202" coordsize="21600,21600" o:spt="202" path="m,l,21600r21600,l21600,xe">
                <v:stroke joinstyle="miter"/>
                <v:path gradientshapeok="t" o:connecttype="rect"/>
              </v:shapetype>
              <v:shape id="Text Box 1" o:spid="_x0000_s1026" type="#_x0000_t202" style="width:468pt;height: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">
                <v:textbox>
                  <w:txbxContent>
                    <w:p w14:paraId="313B6F23" w14:textId="79986257" w:rsidR="00C81DF6" w:rsidRPr="00C81DF6" w:rsidRDefault="00C81DF6" w:rsidP="00C81DF6">
                      <w:pPr>
                        <w:pStyle w:val="LGTdoc"/>
                        <w:spacing w:afterLines="0" w:line="240" w:lineRule="auto"/>
                        <w:rPr>
                          <w:b/>
                          <w:sz w:val="20"/>
                          <w:szCs w:val="22"/>
                        </w:rPr>
                      </w:pPr>
                      <w:r w:rsidRPr="00C81DF6">
                        <w:rPr>
                          <w:b/>
                          <w:sz w:val="20"/>
                          <w:szCs w:val="22"/>
                        </w:rPr>
                        <w:t>Excerpt from TS 38.213 [1]</w:t>
                      </w:r>
                    </w:p>
                    <w:p w14:paraId="12828ED5" w14:textId="13C7D2DF" w:rsidR="00C81DF6" w:rsidRPr="00C463CB" w:rsidRDefault="00C81DF6" w:rsidP="00C81DF6">
                      <w:pPr>
                        <w:pStyle w:val="Heading3"/>
                      </w:pPr>
                      <w:r w:rsidRPr="00B916EC">
                        <w:t>7</w:t>
                      </w:r>
                      <w:r>
                        <w:t>.6.3</w:t>
                      </w:r>
                      <w:r w:rsidRPr="00B916EC">
                        <w:tab/>
                      </w:r>
                      <w:r>
                        <w:t>NN-DC</w:t>
                      </w:r>
                    </w:p>
                    <w:p w14:paraId="35AE2AD1" w14:textId="7F6CC1D6" w:rsidR="00C81DF6" w:rsidRPr="00F809A6" w:rsidRDefault="00C81DF6" w:rsidP="00C81DF6">
                      <w:pPr>
                        <w:pStyle w:val="B1"/>
                        <w:ind w:left="0" w:firstLine="0"/>
                        <w:rPr>
                          <w:lang w:val="en-US"/>
                        </w:rPr>
                      </w:pPr>
                      <w:r w:rsidRPr="00B916EC">
                        <w:t xml:space="preserve">If a UE is configured with a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 xml:space="preserve"> FR2 or in FR1</w:t>
                      </w:r>
                      <w:r w:rsidRPr="00B916EC">
                        <w:rPr>
                          <w:lang w:eastAsia="ja-JP"/>
                        </w:rPr>
                        <w:t xml:space="preserve">, </w:t>
                      </w:r>
                      <w:r>
                        <w:rPr>
                          <w:lang w:val="en-US" w:eastAsia="ja-JP"/>
                        </w:rPr>
                        <w:t xml:space="preserve">respectively, </w:t>
                      </w:r>
                      <w:r w:rsidRPr="00DA2E0D">
                        <w:t xml:space="preserve">the </w:t>
                      </w:r>
                      <w:r>
                        <w:rPr>
                          <w:lang w:val="en-US"/>
                        </w:rPr>
                        <w:t xml:space="preserve">UE performs transmission power control independently per cell group as described in </w:t>
                      </w:r>
                      <w:proofErr w:type="spellStart"/>
                      <w:r>
                        <w:rPr>
                          <w:lang w:val="en-US"/>
                        </w:rPr>
                        <w:t>Subclauses</w:t>
                      </w:r>
                      <w:proofErr w:type="spellEnd"/>
                      <w:r>
                        <w:rPr>
                          <w:lang w:val="en-US"/>
                        </w:rPr>
                        <w:t xml:space="preserve"> 7.1 through 7.5</w:t>
                      </w:r>
                      <w:r>
                        <w:rPr>
                          <w:lang w:eastAsia="ja-JP"/>
                        </w:rPr>
                        <w:t>.</w:t>
                      </w:r>
                    </w:p>
                    <w:p w14:paraId="3106C28C" w14:textId="77777777" w:rsidR="00C81DF6" w:rsidRPr="00FB0CE8" w:rsidRDefault="00C81DF6" w:rsidP="00C81DF6">
                      <w:pPr>
                        <w:rPr>
                          <w:b/>
                          <w:lang w:eastAsia="x-none"/>
                        </w:rPr>
                      </w:pPr>
                    </w:p>
                  </w:txbxContent>
                </v:textbox>
                <w10:anchorlock/>
              </v:shape>
            </w:pict>
          </mc:Fallback>
        </mc:AlternateContent>
      </w:r>
    </w:p>
    <w:p w14:paraId="750905C2" w14:textId="24336BA0" w:rsidR="00D9389C" w:rsidRDefault="00D9389C" w:rsidP="00F15F03">
      <w:pPr>
        <w:tabs>
          <w:tab w:val="left" w:pos="1440"/>
        </w:tabs>
        <w:jc w:val="both"/>
        <w:rPr>
          <w:rFonts w:eastAsia="MS Mincho"/>
          <w:lang w:val="en-US" w:eastAsia="ja-JP"/>
        </w:rPr>
      </w:pPr>
      <w:r>
        <w:rPr>
          <w:rFonts w:eastAsia="MS Mincho"/>
          <w:lang w:val="en-US" w:eastAsia="ja-JP"/>
        </w:rPr>
        <w:t>The new WI on multi</w:t>
      </w:r>
      <w:r w:rsidR="00D9281F">
        <w:rPr>
          <w:rFonts w:eastAsia="MS Mincho"/>
          <w:lang w:val="en-US" w:eastAsia="ja-JP"/>
        </w:rPr>
        <w:t>-RAT</w:t>
      </w:r>
      <w:r>
        <w:rPr>
          <w:rFonts w:eastAsia="MS Mincho"/>
          <w:lang w:val="en-US" w:eastAsia="ja-JP"/>
        </w:rPr>
        <w:t xml:space="preserve"> dual connectivity (DC) and carrier aggregation (CA) enhancement in Rel-16 aims to complete the support fo</w:t>
      </w:r>
      <w:r w:rsidR="00D9281F">
        <w:rPr>
          <w:rFonts w:eastAsia="MS Mincho"/>
          <w:lang w:val="en-US" w:eastAsia="ja-JP"/>
        </w:rPr>
        <w:t xml:space="preserve">r NN-DC for all remaining cases, in particular the </w:t>
      </w:r>
      <w:r w:rsidR="00A718DF">
        <w:rPr>
          <w:rFonts w:eastAsia="MS Mincho"/>
          <w:lang w:val="en-US" w:eastAsia="ja-JP"/>
        </w:rPr>
        <w:t xml:space="preserve">synchronous / </w:t>
      </w:r>
      <w:r w:rsidR="00D9281F">
        <w:rPr>
          <w:rFonts w:eastAsia="MS Mincho"/>
          <w:lang w:val="en-US" w:eastAsia="ja-JP"/>
        </w:rPr>
        <w:t>asynchronous NN-DC</w:t>
      </w:r>
      <w:r w:rsidR="00DB3F78" w:rsidRPr="00DB3F78">
        <w:rPr>
          <w:rFonts w:eastAsia="MS Mincho"/>
          <w:lang w:val="en-US" w:eastAsia="ja-JP"/>
        </w:rPr>
        <w:t xml:space="preserve"> </w:t>
      </w:r>
      <w:r w:rsidR="00DB3F78">
        <w:rPr>
          <w:rFonts w:eastAsia="MS Mincho"/>
          <w:lang w:val="en-US" w:eastAsia="ja-JP"/>
        </w:rPr>
        <w:t>with the two CGs both in FR1 or FR2</w:t>
      </w:r>
      <w:r w:rsidR="00D9281F">
        <w:rPr>
          <w:rFonts w:eastAsia="MS Mincho"/>
          <w:lang w:val="en-US" w:eastAsia="ja-JP"/>
        </w:rPr>
        <w:t>. A</w:t>
      </w:r>
      <w:r>
        <w:rPr>
          <w:rFonts w:eastAsia="MS Mincho"/>
          <w:lang w:val="en-US" w:eastAsia="ja-JP"/>
        </w:rPr>
        <w:t>s can be seen in the WI description</w:t>
      </w:r>
      <w:r w:rsidR="00D9281F">
        <w:rPr>
          <w:rFonts w:eastAsia="MS Mincho"/>
          <w:lang w:val="en-US" w:eastAsia="ja-JP"/>
        </w:rPr>
        <w:t xml:space="preserve"> (WID), UE power control is the main focus for RAN1. </w:t>
      </w:r>
      <w:r w:rsidR="00F15F03">
        <w:rPr>
          <w:rFonts w:eastAsia="MS Mincho"/>
          <w:lang w:val="en-US" w:eastAsia="ja-JP"/>
        </w:rPr>
        <w:t xml:space="preserve">In addition, it is recommended to take LTE mechanisms as baseline solutions, which we </w:t>
      </w:r>
      <w:r w:rsidR="001D26D7">
        <w:rPr>
          <w:rFonts w:eastAsia="MS Mincho"/>
          <w:lang w:val="en-US" w:eastAsia="ja-JP"/>
        </w:rPr>
        <w:t>briefly</w:t>
      </w:r>
      <w:r w:rsidR="00F15F03">
        <w:rPr>
          <w:rFonts w:eastAsia="MS Mincho"/>
          <w:lang w:val="en-US" w:eastAsia="ja-JP"/>
        </w:rPr>
        <w:t xml:space="preserve"> review in the next section.</w:t>
      </w:r>
    </w:p>
    <w:p w14:paraId="0D420E8F" w14:textId="77777777" w:rsidR="00D9389C" w:rsidRDefault="00D9389C" w:rsidP="00D9389C">
      <w:pPr>
        <w:tabs>
          <w:tab w:val="left" w:pos="1440"/>
        </w:tabs>
        <w:jc w:val="both"/>
        <w:rPr>
          <w:i/>
        </w:rPr>
      </w:pPr>
      <w:r>
        <w:rPr>
          <w:noProof/>
          <w:lang w:val="en-US"/>
        </w:rPr>
        <w:lastRenderedPageBreak/>
        <mc:AlternateContent>
          <mc:Choice Requires="wps">
            <w:drawing>
              <wp:inline distT="0" distB="0" distL="0" distR="0" wp14:anchorId="3A3533C1" wp14:editId="05F06911">
                <wp:extent cx="5943600" cy="2321560"/>
                <wp:effectExtent l="0" t="0" r="19050"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321560"/>
                        </a:xfrm>
                        <a:prstGeom prst="rect">
                          <a:avLst/>
                        </a:prstGeom>
                        <a:solidFill>
                          <a:srgbClr val="FFFFFF"/>
                        </a:solidFill>
                        <a:ln w="9525">
                          <a:solidFill>
                            <a:srgbClr val="000000"/>
                          </a:solidFill>
                          <a:miter lim="800000"/>
                          <a:headEnd/>
                          <a:tailEnd/>
                        </a:ln>
                      </wps:spPr>
                      <wps:txbx>
                        <w:txbxContent>
                          <w:p w14:paraId="520BE57C" w14:textId="504D32A6" w:rsidR="00D9389C" w:rsidRDefault="00D9389C" w:rsidP="00D9281F">
                            <w:pPr>
                              <w:pStyle w:val="LGTdoc"/>
                              <w:spacing w:afterLines="0" w:line="240" w:lineRule="auto"/>
                              <w:rPr>
                                <w:b/>
                                <w:sz w:val="20"/>
                                <w:szCs w:val="22"/>
                              </w:rPr>
                            </w:pPr>
                            <w:r w:rsidRPr="00C81DF6">
                              <w:rPr>
                                <w:b/>
                                <w:sz w:val="20"/>
                                <w:szCs w:val="22"/>
                              </w:rPr>
                              <w:t xml:space="preserve">Excerpt from </w:t>
                            </w:r>
                            <w:r w:rsidR="00D9281F">
                              <w:rPr>
                                <w:b/>
                                <w:sz w:val="20"/>
                                <w:szCs w:val="22"/>
                              </w:rPr>
                              <w:t xml:space="preserve">WID in </w:t>
                            </w:r>
                            <w:r w:rsidR="00D9281F" w:rsidRPr="00D9281F">
                              <w:rPr>
                                <w:b/>
                                <w:sz w:val="20"/>
                                <w:szCs w:val="22"/>
                              </w:rPr>
                              <w:t>RP-182076</w:t>
                            </w:r>
                            <w:r w:rsidR="00D9281F">
                              <w:rPr>
                                <w:b/>
                                <w:sz w:val="20"/>
                                <w:szCs w:val="22"/>
                              </w:rPr>
                              <w:t xml:space="preserve"> [2]</w:t>
                            </w:r>
                          </w:p>
                          <w:p w14:paraId="776CF003" w14:textId="77777777" w:rsidR="00D9281F" w:rsidRDefault="00D9281F" w:rsidP="00D9281F">
                            <w:pPr>
                              <w:tabs>
                                <w:tab w:val="num" w:pos="2160"/>
                              </w:tabs>
                              <w:spacing w:after="0"/>
                              <w:jc w:val="both"/>
                              <w:rPr>
                                <w:bCs/>
                                <w:lang w:val="en-US"/>
                              </w:rPr>
                            </w:pPr>
                            <w:r>
                              <w:rPr>
                                <w:bCs/>
                                <w:lang w:val="en-US"/>
                              </w:rPr>
                              <w:t>The objective of this work item is to investigate enhancements to DC and CA. At least the following topics should be considered in the work:</w:t>
                            </w:r>
                          </w:p>
                          <w:p w14:paraId="29409189" w14:textId="77777777" w:rsidR="00D9281F" w:rsidRPr="00CA2E4C" w:rsidRDefault="00D9281F" w:rsidP="00D9281F">
                            <w:pPr>
                              <w:spacing w:after="0"/>
                              <w:ind w:left="720"/>
                              <w:jc w:val="both"/>
                              <w:rPr>
                                <w:bCs/>
                                <w:lang w:val="en-US"/>
                              </w:rPr>
                            </w:pPr>
                          </w:p>
                          <w:p w14:paraId="2D1C04B8" w14:textId="77777777" w:rsidR="00D9281F" w:rsidRPr="00D9281F" w:rsidRDefault="00D9281F" w:rsidP="00FD129C">
                            <w:pPr>
                              <w:numPr>
                                <w:ilvl w:val="0"/>
                                <w:numId w:val="17"/>
                              </w:numPr>
                              <w:overflowPunct w:val="0"/>
                              <w:autoSpaceDE w:val="0"/>
                              <w:autoSpaceDN w:val="0"/>
                              <w:adjustRightInd w:val="0"/>
                              <w:spacing w:after="0"/>
                              <w:jc w:val="both"/>
                              <w:textAlignment w:val="baseline"/>
                              <w:rPr>
                                <w:bCs/>
                                <w:highlight w:val="yellow"/>
                                <w:lang w:val="en-US"/>
                              </w:rPr>
                            </w:pPr>
                            <w:bookmarkStart w:id="3" w:name="_Hlk516787901"/>
                            <w:r w:rsidRPr="00D9281F">
                              <w:rPr>
                                <w:bCs/>
                                <w:highlight w:val="yellow"/>
                                <w:lang w:val="en-US"/>
                              </w:rPr>
                              <w:t>Support of asynchronous and synchronous NR-NR Dual Connectivity [RAN1, RAN2, RAN4]</w:t>
                            </w:r>
                          </w:p>
                          <w:p w14:paraId="26EDD96B" w14:textId="77777777" w:rsidR="00D9281F" w:rsidRPr="00D9281F" w:rsidRDefault="00D9281F" w:rsidP="00FD129C">
                            <w:pPr>
                              <w:numPr>
                                <w:ilvl w:val="1"/>
                                <w:numId w:val="17"/>
                              </w:numPr>
                              <w:overflowPunct w:val="0"/>
                              <w:autoSpaceDE w:val="0"/>
                              <w:autoSpaceDN w:val="0"/>
                              <w:adjustRightInd w:val="0"/>
                              <w:spacing w:after="0"/>
                              <w:jc w:val="both"/>
                              <w:textAlignment w:val="baseline"/>
                              <w:rPr>
                                <w:bCs/>
                                <w:highlight w:val="yellow"/>
                                <w:lang w:val="en-US"/>
                              </w:rPr>
                            </w:pPr>
                            <w:r w:rsidRPr="00D9281F">
                              <w:rPr>
                                <w:bCs/>
                                <w:highlight w:val="yellow"/>
                                <w:lang w:val="en-US"/>
                              </w:rPr>
                              <w:t>UE power control [RAN1]</w:t>
                            </w:r>
                          </w:p>
                          <w:p w14:paraId="0DBA97CB" w14:textId="77777777" w:rsidR="00D9281F" w:rsidRDefault="00D9281F" w:rsidP="00FD129C">
                            <w:pPr>
                              <w:numPr>
                                <w:ilvl w:val="1"/>
                                <w:numId w:val="17"/>
                              </w:numPr>
                              <w:overflowPunct w:val="0"/>
                              <w:autoSpaceDE w:val="0"/>
                              <w:autoSpaceDN w:val="0"/>
                              <w:adjustRightInd w:val="0"/>
                              <w:spacing w:after="0"/>
                              <w:jc w:val="both"/>
                              <w:textAlignment w:val="baseline"/>
                              <w:rPr>
                                <w:bCs/>
                                <w:lang w:val="en-US"/>
                              </w:rPr>
                            </w:pPr>
                            <w:r>
                              <w:rPr>
                                <w:bCs/>
                                <w:lang w:val="en-US"/>
                              </w:rPr>
                              <w:t>RRC signalling to support of enhanced NR-NR DC [RAN2]</w:t>
                            </w:r>
                          </w:p>
                          <w:p w14:paraId="4A5E09E2" w14:textId="77777777" w:rsidR="00D9281F" w:rsidRPr="002C6C45" w:rsidRDefault="00D9281F" w:rsidP="00FD129C">
                            <w:pPr>
                              <w:numPr>
                                <w:ilvl w:val="1"/>
                                <w:numId w:val="17"/>
                              </w:numPr>
                              <w:overflowPunct w:val="0"/>
                              <w:autoSpaceDE w:val="0"/>
                              <w:autoSpaceDN w:val="0"/>
                              <w:adjustRightInd w:val="0"/>
                              <w:spacing w:after="0"/>
                              <w:jc w:val="both"/>
                              <w:textAlignment w:val="baseline"/>
                              <w:rPr>
                                <w:bCs/>
                                <w:lang w:val="en-US"/>
                              </w:rPr>
                            </w:pPr>
                            <w:r>
                              <w:rPr>
                                <w:bCs/>
                                <w:lang w:val="en-US"/>
                              </w:rPr>
                              <w:t>Core requirements to support enhanced NR-NR DC [RAN4]</w:t>
                            </w:r>
                          </w:p>
                          <w:p w14:paraId="14ADF35A" w14:textId="77777777" w:rsidR="00D9281F" w:rsidRDefault="00D9281F" w:rsidP="00D9281F">
                            <w:pPr>
                              <w:spacing w:after="0"/>
                              <w:ind w:left="360"/>
                              <w:jc w:val="both"/>
                              <w:rPr>
                                <w:bCs/>
                                <w:lang w:val="en-US"/>
                              </w:rPr>
                            </w:pPr>
                            <w:r>
                              <w:rPr>
                                <w:bCs/>
                                <w:lang w:val="en-US"/>
                              </w:rPr>
                              <w:t xml:space="preserve">Note: Synchronous DC enhancements in this WID considers only cases not covered in Rel-15 exception sheet for NR WI NR_newRAT-Core. </w:t>
                            </w:r>
                          </w:p>
                          <w:bookmarkEnd w:id="3"/>
                          <w:p w14:paraId="759E8CD9" w14:textId="1659E259" w:rsidR="00D9281F" w:rsidRDefault="00D9281F" w:rsidP="00D9281F">
                            <w:pPr>
                              <w:spacing w:after="0"/>
                              <w:ind w:left="720"/>
                              <w:jc w:val="both"/>
                              <w:rPr>
                                <w:bCs/>
                                <w:lang w:val="en-US"/>
                              </w:rPr>
                            </w:pPr>
                            <w:r>
                              <w:rPr>
                                <w:bCs/>
                                <w:lang w:val="en-US"/>
                              </w:rPr>
                              <w:t>…</w:t>
                            </w:r>
                          </w:p>
                          <w:p w14:paraId="64ACD897" w14:textId="77777777" w:rsidR="00D9281F" w:rsidRDefault="00D9281F" w:rsidP="00D9281F">
                            <w:pPr>
                              <w:tabs>
                                <w:tab w:val="num" w:pos="2160"/>
                              </w:tabs>
                              <w:spacing w:after="0"/>
                              <w:jc w:val="both"/>
                              <w:rPr>
                                <w:bCs/>
                                <w:lang w:val="en-US"/>
                              </w:rPr>
                            </w:pPr>
                            <w:r>
                              <w:rPr>
                                <w:bCs/>
                                <w:lang w:val="en-US"/>
                              </w:rPr>
                              <w:t>The work excludes combination of EN-DC and NR-NR DC configured for a UE.</w:t>
                            </w:r>
                          </w:p>
                          <w:p w14:paraId="0B9659DB" w14:textId="77777777" w:rsidR="00D9281F" w:rsidRPr="00C87950" w:rsidRDefault="00D9281F" w:rsidP="00D9281F">
                            <w:pPr>
                              <w:tabs>
                                <w:tab w:val="num" w:pos="2160"/>
                              </w:tabs>
                              <w:spacing w:after="0"/>
                              <w:jc w:val="both"/>
                              <w:rPr>
                                <w:bCs/>
                                <w:lang w:val="en-US"/>
                              </w:rPr>
                            </w:pPr>
                            <w:r>
                              <w:rPr>
                                <w:bCs/>
                                <w:lang w:val="en-US"/>
                              </w:rPr>
                              <w:t xml:space="preserve">At least scenarios with small cells should be considered, along with scenarios with large amounts of available cell bandwidth. Both FR1 and FR2 frequencies should be considered. </w:t>
                            </w:r>
                            <w:r w:rsidRPr="00F15F03">
                              <w:rPr>
                                <w:bCs/>
                                <w:highlight w:val="yellow"/>
                                <w:lang w:val="en-US"/>
                              </w:rPr>
                              <w:t>The mechanisms already specified for LTE should be used as baseline for the work</w:t>
                            </w:r>
                            <w:r>
                              <w:rPr>
                                <w:bCs/>
                                <w:lang w:val="en-US"/>
                              </w:rPr>
                              <w:t>.</w:t>
                            </w:r>
                          </w:p>
                          <w:p w14:paraId="5AAE9A93" w14:textId="77777777" w:rsidR="00D9281F" w:rsidRPr="00C81DF6" w:rsidRDefault="00D9281F" w:rsidP="00D9389C">
                            <w:pPr>
                              <w:pStyle w:val="LGTdoc"/>
                              <w:spacing w:afterLines="0" w:line="240" w:lineRule="auto"/>
                              <w:rPr>
                                <w:b/>
                                <w:sz w:val="20"/>
                                <w:szCs w:val="22"/>
                              </w:rPr>
                            </w:pPr>
                          </w:p>
                        </w:txbxContent>
                      </wps:txbx>
                      <wps:bodyPr rot="0" vert="horz" wrap="square" lIns="91440" tIns="45720" rIns="91440" bIns="45720" anchor="t" anchorCtr="0">
                        <a:noAutofit/>
                      </wps:bodyPr>
                    </wps:wsp>
                  </a:graphicData>
                </a:graphic>
              </wp:inline>
            </w:drawing>
          </mc:Choice>
          <mc:Fallback>
            <w:pict>
              <v:shape w14:anchorId="3A3533C1" id="Text Box 2" o:spid="_x0000_s1027" type="#_x0000_t202" style="width:468pt;height:18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">
                <v:textbox>
                  <w:txbxContent>
                    <w:p w14:paraId="520BE57C" w14:textId="504D32A6" w:rsidR="00D9389C" w:rsidRDefault="00D9389C" w:rsidP="00D9281F">
                      <w:pPr>
                        <w:pStyle w:val="LGTdoc"/>
                        <w:spacing w:afterLines="0" w:line="240" w:lineRule="auto"/>
                        <w:rPr>
                          <w:b/>
                          <w:sz w:val="20"/>
                          <w:szCs w:val="22"/>
                        </w:rPr>
                      </w:pPr>
                      <w:r w:rsidRPr="00C81DF6">
                        <w:rPr>
                          <w:b/>
                          <w:sz w:val="20"/>
                          <w:szCs w:val="22"/>
                        </w:rPr>
                        <w:t xml:space="preserve">Excerpt from </w:t>
                      </w:r>
                      <w:r w:rsidR="00D9281F">
                        <w:rPr>
                          <w:b/>
                          <w:sz w:val="20"/>
                          <w:szCs w:val="22"/>
                        </w:rPr>
                        <w:t xml:space="preserve">WID in </w:t>
                      </w:r>
                      <w:r w:rsidR="00D9281F" w:rsidRPr="00D9281F">
                        <w:rPr>
                          <w:b/>
                          <w:sz w:val="20"/>
                          <w:szCs w:val="22"/>
                        </w:rPr>
                        <w:t>RP-182076</w:t>
                      </w:r>
                      <w:r w:rsidR="00D9281F">
                        <w:rPr>
                          <w:b/>
                          <w:sz w:val="20"/>
                          <w:szCs w:val="22"/>
                        </w:rPr>
                        <w:t xml:space="preserve"> [2]</w:t>
                      </w:r>
                    </w:p>
                    <w:p w14:paraId="776CF003" w14:textId="77777777" w:rsidR="00D9281F" w:rsidRDefault="00D9281F" w:rsidP="00D9281F">
                      <w:pPr>
                        <w:tabs>
                          <w:tab w:val="num" w:pos="2160"/>
                        </w:tabs>
                        <w:spacing w:after="0"/>
                        <w:jc w:val="both"/>
                        <w:rPr>
                          <w:bCs/>
                          <w:lang w:val="en-US"/>
                        </w:rPr>
                      </w:pPr>
                      <w:r>
                        <w:rPr>
                          <w:bCs/>
                          <w:lang w:val="en-US"/>
                        </w:rPr>
                        <w:t>The objective of this work item is to investigate enhancements to DC and CA. At least the following topics should be considered in the work:</w:t>
                      </w:r>
                    </w:p>
                    <w:p w14:paraId="29409189" w14:textId="77777777" w:rsidR="00D9281F" w:rsidRPr="00CA2E4C" w:rsidRDefault="00D9281F" w:rsidP="00D9281F">
                      <w:pPr>
                        <w:spacing w:after="0"/>
                        <w:ind w:left="720"/>
                        <w:jc w:val="both"/>
                        <w:rPr>
                          <w:bCs/>
                          <w:lang w:val="en-US"/>
                        </w:rPr>
                      </w:pPr>
                    </w:p>
                    <w:p w14:paraId="2D1C04B8" w14:textId="77777777" w:rsidR="00D9281F" w:rsidRPr="00D9281F" w:rsidRDefault="00D9281F" w:rsidP="00FD129C">
                      <w:pPr>
                        <w:numPr>
                          <w:ilvl w:val="0"/>
                          <w:numId w:val="17"/>
                        </w:numPr>
                        <w:overflowPunct w:val="0"/>
                        <w:autoSpaceDE w:val="0"/>
                        <w:autoSpaceDN w:val="0"/>
                        <w:adjustRightInd w:val="0"/>
                        <w:spacing w:after="0"/>
                        <w:jc w:val="both"/>
                        <w:textAlignment w:val="baseline"/>
                        <w:rPr>
                          <w:bCs/>
                          <w:highlight w:val="yellow"/>
                          <w:lang w:val="en-US"/>
                        </w:rPr>
                      </w:pPr>
                      <w:bookmarkStart w:id="21" w:name="_Hlk516787901"/>
                      <w:r w:rsidRPr="00D9281F">
                        <w:rPr>
                          <w:bCs/>
                          <w:highlight w:val="yellow"/>
                          <w:lang w:val="en-US"/>
                        </w:rPr>
                        <w:t>Support of asynchronous and synchronous NR-NR Dual Connectivity [RAN1, RAN2, RAN4]</w:t>
                      </w:r>
                    </w:p>
                    <w:p w14:paraId="26EDD96B" w14:textId="77777777" w:rsidR="00D9281F" w:rsidRPr="00D9281F" w:rsidRDefault="00D9281F" w:rsidP="00FD129C">
                      <w:pPr>
                        <w:numPr>
                          <w:ilvl w:val="1"/>
                          <w:numId w:val="17"/>
                        </w:numPr>
                        <w:overflowPunct w:val="0"/>
                        <w:autoSpaceDE w:val="0"/>
                        <w:autoSpaceDN w:val="0"/>
                        <w:adjustRightInd w:val="0"/>
                        <w:spacing w:after="0"/>
                        <w:jc w:val="both"/>
                        <w:textAlignment w:val="baseline"/>
                        <w:rPr>
                          <w:bCs/>
                          <w:highlight w:val="yellow"/>
                          <w:lang w:val="en-US"/>
                        </w:rPr>
                      </w:pPr>
                      <w:r w:rsidRPr="00D9281F">
                        <w:rPr>
                          <w:bCs/>
                          <w:highlight w:val="yellow"/>
                          <w:lang w:val="en-US"/>
                        </w:rPr>
                        <w:t>UE power control [RAN1]</w:t>
                      </w:r>
                    </w:p>
                    <w:p w14:paraId="0DBA97CB" w14:textId="77777777" w:rsidR="00D9281F" w:rsidRDefault="00D9281F" w:rsidP="00FD129C">
                      <w:pPr>
                        <w:numPr>
                          <w:ilvl w:val="1"/>
                          <w:numId w:val="17"/>
                        </w:numPr>
                        <w:overflowPunct w:val="0"/>
                        <w:autoSpaceDE w:val="0"/>
                        <w:autoSpaceDN w:val="0"/>
                        <w:adjustRightInd w:val="0"/>
                        <w:spacing w:after="0"/>
                        <w:jc w:val="both"/>
                        <w:textAlignment w:val="baseline"/>
                        <w:rPr>
                          <w:bCs/>
                          <w:lang w:val="en-US"/>
                        </w:rPr>
                      </w:pPr>
                      <w:r>
                        <w:rPr>
                          <w:bCs/>
                          <w:lang w:val="en-US"/>
                        </w:rPr>
                        <w:t xml:space="preserve">RRC </w:t>
                      </w:r>
                      <w:proofErr w:type="spellStart"/>
                      <w:r>
                        <w:rPr>
                          <w:bCs/>
                          <w:lang w:val="en-US"/>
                        </w:rPr>
                        <w:t>signalling</w:t>
                      </w:r>
                      <w:proofErr w:type="spellEnd"/>
                      <w:r>
                        <w:rPr>
                          <w:bCs/>
                          <w:lang w:val="en-US"/>
                        </w:rPr>
                        <w:t xml:space="preserve"> to support of enhanced NR-NR DC [RAN2]</w:t>
                      </w:r>
                    </w:p>
                    <w:p w14:paraId="4A5E09E2" w14:textId="77777777" w:rsidR="00D9281F" w:rsidRPr="002C6C45" w:rsidRDefault="00D9281F" w:rsidP="00FD129C">
                      <w:pPr>
                        <w:numPr>
                          <w:ilvl w:val="1"/>
                          <w:numId w:val="17"/>
                        </w:numPr>
                        <w:overflowPunct w:val="0"/>
                        <w:autoSpaceDE w:val="0"/>
                        <w:autoSpaceDN w:val="0"/>
                        <w:adjustRightInd w:val="0"/>
                        <w:spacing w:after="0"/>
                        <w:jc w:val="both"/>
                        <w:textAlignment w:val="baseline"/>
                        <w:rPr>
                          <w:bCs/>
                          <w:lang w:val="en-US"/>
                        </w:rPr>
                      </w:pPr>
                      <w:r>
                        <w:rPr>
                          <w:bCs/>
                          <w:lang w:val="en-US"/>
                        </w:rPr>
                        <w:t>Core requirements to support enhanced NR-NR DC [RAN4]</w:t>
                      </w:r>
                    </w:p>
                    <w:p w14:paraId="14ADF35A" w14:textId="77777777" w:rsidR="00D9281F" w:rsidRDefault="00D9281F" w:rsidP="00D9281F">
                      <w:pPr>
                        <w:spacing w:after="0"/>
                        <w:ind w:left="360"/>
                        <w:jc w:val="both"/>
                        <w:rPr>
                          <w:bCs/>
                          <w:lang w:val="en-US"/>
                        </w:rPr>
                      </w:pPr>
                      <w:r>
                        <w:rPr>
                          <w:bCs/>
                          <w:lang w:val="en-US"/>
                        </w:rPr>
                        <w:t xml:space="preserve">Note: Synchronous DC enhancements in this WID considers only cases not covered in Rel-15 exception sheet for NR WI </w:t>
                      </w:r>
                      <w:proofErr w:type="spellStart"/>
                      <w:r>
                        <w:rPr>
                          <w:bCs/>
                          <w:lang w:val="en-US"/>
                        </w:rPr>
                        <w:t>NR_newRAT</w:t>
                      </w:r>
                      <w:proofErr w:type="spellEnd"/>
                      <w:r>
                        <w:rPr>
                          <w:bCs/>
                          <w:lang w:val="en-US"/>
                        </w:rPr>
                        <w:t xml:space="preserve">-Core. </w:t>
                      </w:r>
                    </w:p>
                    <w:bookmarkEnd w:id="21"/>
                    <w:p w14:paraId="759E8CD9" w14:textId="1659E259" w:rsidR="00D9281F" w:rsidRDefault="00D9281F" w:rsidP="00D9281F">
                      <w:pPr>
                        <w:spacing w:after="0"/>
                        <w:ind w:left="720"/>
                        <w:jc w:val="both"/>
                        <w:rPr>
                          <w:bCs/>
                          <w:lang w:val="en-US"/>
                        </w:rPr>
                      </w:pPr>
                      <w:r>
                        <w:rPr>
                          <w:bCs/>
                          <w:lang w:val="en-US"/>
                        </w:rPr>
                        <w:t>…</w:t>
                      </w:r>
                    </w:p>
                    <w:p w14:paraId="64ACD897" w14:textId="77777777" w:rsidR="00D9281F" w:rsidRDefault="00D9281F" w:rsidP="00D9281F">
                      <w:pPr>
                        <w:tabs>
                          <w:tab w:val="num" w:pos="2160"/>
                        </w:tabs>
                        <w:spacing w:after="0"/>
                        <w:jc w:val="both"/>
                        <w:rPr>
                          <w:bCs/>
                          <w:lang w:val="en-US"/>
                        </w:rPr>
                      </w:pPr>
                      <w:r>
                        <w:rPr>
                          <w:bCs/>
                          <w:lang w:val="en-US"/>
                        </w:rPr>
                        <w:t>The work excludes combination of EN-DC and NR-NR DC configured for a UE.</w:t>
                      </w:r>
                    </w:p>
                    <w:p w14:paraId="0B9659DB" w14:textId="77777777" w:rsidR="00D9281F" w:rsidRPr="00C87950" w:rsidRDefault="00D9281F" w:rsidP="00D9281F">
                      <w:pPr>
                        <w:tabs>
                          <w:tab w:val="num" w:pos="2160"/>
                        </w:tabs>
                        <w:spacing w:after="0"/>
                        <w:jc w:val="both"/>
                        <w:rPr>
                          <w:bCs/>
                          <w:lang w:val="en-US"/>
                        </w:rPr>
                      </w:pPr>
                      <w:r>
                        <w:rPr>
                          <w:bCs/>
                          <w:lang w:val="en-US"/>
                        </w:rPr>
                        <w:t xml:space="preserve">At least scenarios with small cells should be considered, along with scenarios with large amounts of available cell bandwidth. Both FR1 and FR2 frequencies should be considered. </w:t>
                      </w:r>
                      <w:r w:rsidRPr="00F15F03">
                        <w:rPr>
                          <w:bCs/>
                          <w:highlight w:val="yellow"/>
                          <w:lang w:val="en-US"/>
                        </w:rPr>
                        <w:t>The mechanisms already specified for LTE should be used as baseline for the work</w:t>
                      </w:r>
                      <w:r>
                        <w:rPr>
                          <w:bCs/>
                          <w:lang w:val="en-US"/>
                        </w:rPr>
                        <w:t>.</w:t>
                      </w:r>
                    </w:p>
                    <w:p w14:paraId="5AAE9A93" w14:textId="77777777" w:rsidR="00D9281F" w:rsidRPr="00C81DF6" w:rsidRDefault="00D9281F" w:rsidP="00D9389C">
                      <w:pPr>
                        <w:pStyle w:val="LGTdoc"/>
                        <w:spacing w:afterLines="0" w:line="240" w:lineRule="auto"/>
                        <w:rPr>
                          <w:b/>
                          <w:sz w:val="20"/>
                          <w:szCs w:val="22"/>
                        </w:rPr>
                      </w:pPr>
                    </w:p>
                  </w:txbxContent>
                </v:textbox>
                <w10:anchorlock/>
              </v:shape>
            </w:pict>
          </mc:Fallback>
        </mc:AlternateContent>
      </w:r>
    </w:p>
    <w:p w14:paraId="11292304" w14:textId="4E858207" w:rsidR="004A372D" w:rsidRDefault="009A0B47" w:rsidP="00F15F03">
      <w:pPr>
        <w:tabs>
          <w:tab w:val="left" w:pos="1440"/>
        </w:tabs>
        <w:jc w:val="both"/>
        <w:rPr>
          <w:i/>
        </w:rPr>
      </w:pPr>
      <w:r>
        <w:rPr>
          <w:rFonts w:eastAsia="MS Mincho"/>
          <w:lang w:val="en-US" w:eastAsia="ja-JP"/>
        </w:rPr>
        <w:t xml:space="preserve">In this contribution, we provide our views on </w:t>
      </w:r>
      <w:r w:rsidR="00D9281F">
        <w:rPr>
          <w:rFonts w:eastAsia="MS Mincho"/>
          <w:lang w:val="en-US" w:eastAsia="ja-JP"/>
        </w:rPr>
        <w:t>the</w:t>
      </w:r>
      <w:r w:rsidR="00361500">
        <w:rPr>
          <w:rFonts w:eastAsia="MS Mincho"/>
          <w:lang w:val="en-US" w:eastAsia="ja-JP"/>
        </w:rPr>
        <w:t xml:space="preserve"> </w:t>
      </w:r>
      <w:r w:rsidR="00D9281F">
        <w:rPr>
          <w:rFonts w:eastAsia="MS Mincho"/>
          <w:lang w:val="en-US" w:eastAsia="ja-JP"/>
        </w:rPr>
        <w:t xml:space="preserve">main </w:t>
      </w:r>
      <w:r w:rsidR="00F15F03">
        <w:rPr>
          <w:rFonts w:eastAsia="MS Mincho"/>
          <w:lang w:val="en-US" w:eastAsia="ja-JP"/>
        </w:rPr>
        <w:t>new aspects</w:t>
      </w:r>
      <w:r w:rsidR="00D9281F">
        <w:rPr>
          <w:rFonts w:eastAsia="MS Mincho"/>
          <w:lang w:val="en-US" w:eastAsia="ja-JP"/>
        </w:rPr>
        <w:t xml:space="preserve"> for NN-DC </w:t>
      </w:r>
      <w:r>
        <w:rPr>
          <w:rFonts w:eastAsia="MS Mincho"/>
          <w:lang w:val="en-US" w:eastAsia="ja-JP"/>
        </w:rPr>
        <w:t>power control</w:t>
      </w:r>
      <w:r w:rsidR="00D4633D" w:rsidRPr="00D4633D">
        <w:rPr>
          <w:rFonts w:eastAsia="MS Mincho"/>
          <w:lang w:val="en-US" w:eastAsia="ja-JP"/>
        </w:rPr>
        <w:t xml:space="preserve"> </w:t>
      </w:r>
      <w:r w:rsidR="00D9281F">
        <w:rPr>
          <w:rFonts w:eastAsia="MS Mincho"/>
          <w:lang w:val="en-US" w:eastAsia="ja-JP"/>
        </w:rPr>
        <w:t xml:space="preserve">and propose several solutions to address those </w:t>
      </w:r>
      <w:r w:rsidR="00F15F03">
        <w:rPr>
          <w:rFonts w:eastAsia="MS Mincho"/>
          <w:lang w:val="en-US" w:eastAsia="ja-JP"/>
        </w:rPr>
        <w:t>new aspects</w:t>
      </w:r>
      <w:r w:rsidR="009A003E">
        <w:rPr>
          <w:rFonts w:eastAsia="MS Mincho"/>
          <w:lang w:val="en-US" w:eastAsia="ja-JP"/>
        </w:rPr>
        <w:t>.</w:t>
      </w:r>
    </w:p>
    <w:p w14:paraId="6166C549" w14:textId="51357ABA" w:rsidR="008A1B8C" w:rsidRDefault="00F15F03" w:rsidP="00F15F03">
      <w:pPr>
        <w:pStyle w:val="Heading1"/>
        <w:tabs>
          <w:tab w:val="num" w:pos="0"/>
        </w:tabs>
        <w:ind w:left="0" w:firstLine="0"/>
        <w:jc w:val="both"/>
        <w:rPr>
          <w:rFonts w:eastAsia="MS Mincho"/>
          <w:lang w:eastAsia="ja-JP"/>
        </w:rPr>
      </w:pPr>
      <w:r>
        <w:rPr>
          <w:rFonts w:eastAsia="MS Mincho"/>
          <w:lang w:eastAsia="ja-JP"/>
        </w:rPr>
        <w:t xml:space="preserve">Background on </w:t>
      </w:r>
      <w:r w:rsidR="001D26D7">
        <w:rPr>
          <w:rFonts w:eastAsia="MS Mincho"/>
          <w:lang w:eastAsia="ja-JP"/>
        </w:rPr>
        <w:t>LTE-</w:t>
      </w:r>
      <w:r w:rsidR="008A1B8C">
        <w:rPr>
          <w:rFonts w:eastAsia="MS Mincho"/>
          <w:lang w:eastAsia="ja-JP"/>
        </w:rPr>
        <w:t>DC Power Control</w:t>
      </w:r>
    </w:p>
    <w:p w14:paraId="07ECA617" w14:textId="01FA2DDF" w:rsidR="008A1B8C" w:rsidRPr="005A7B6A" w:rsidRDefault="008A1B8C" w:rsidP="001D26D7">
      <w:pPr>
        <w:spacing w:after="200" w:line="276" w:lineRule="auto"/>
        <w:jc w:val="both"/>
      </w:pPr>
      <w:r>
        <w:t xml:space="preserve">Power control for </w:t>
      </w:r>
      <w:r w:rsidR="001D26D7">
        <w:t xml:space="preserve">EUTRA-EUTRA </w:t>
      </w:r>
      <w:r>
        <w:t xml:space="preserve">DC </w:t>
      </w:r>
      <w:r w:rsidR="001D26D7">
        <w:t xml:space="preserve">(or briefly, LTE-DC) </w:t>
      </w:r>
      <w:r w:rsidR="00244439">
        <w:t>is specified in [</w:t>
      </w:r>
      <w:r w:rsidR="00A0565E">
        <w:t xml:space="preserve">3, </w:t>
      </w:r>
      <w:r w:rsidR="00244439">
        <w:t>TS 36.213]</w:t>
      </w:r>
      <w:r>
        <w:t>. Two power control modes are defined for LTE-DC: power control mode 1 (PCM-1) which applies to synchronous LTE-DC, and power control mode 2 (PCM-2)</w:t>
      </w:r>
      <w:r w:rsidRPr="000A258D">
        <w:t xml:space="preserve"> </w:t>
      </w:r>
      <w:r>
        <w:t xml:space="preserve">which applies to asynchronous LTE-DC. The common elements to both PCM-1 and PCM-2 are that: (i) Both modes rely on a notion of minimum guaranteed power (MGP), so that no single CG (e.g., MCG) uses up all the UE transmit power and leaves the other CG (e.g., SCG) deprived of power; (ii) Both modes rely on priority rules among channels/signals </w:t>
      </w:r>
      <w:r w:rsidR="001D26D7">
        <w:t>for</w:t>
      </w:r>
      <w:r>
        <w:t xml:space="preserve"> overlapping transmissions, in the sense that, power allocation at least within a CG is performed based on the priority levels of different channels and signals. In the case that the remaining power for a certain priority level is not sufficient for transmission of that channel/signal (i.e., a power-limited situation), the UE performs power scaling or dropping of that </w:t>
      </w:r>
      <w:r w:rsidRPr="000A54E9">
        <w:t xml:space="preserve">channel/signal. </w:t>
      </w:r>
    </w:p>
    <w:p w14:paraId="1CAC74A8" w14:textId="54C72F73" w:rsidR="008A1B8C" w:rsidRPr="00E9219B" w:rsidRDefault="008A1B8C" w:rsidP="001D26D7">
      <w:pPr>
        <w:spacing w:after="120"/>
        <w:jc w:val="both"/>
      </w:pPr>
      <w:r>
        <w:t xml:space="preserve">In PCM-1, which is defined for synchronous LTE-DC, </w:t>
      </w:r>
      <w:r w:rsidR="001D26D7">
        <w:t xml:space="preserve">a subframe (say [i1]) of a first CG (say CG1) fully overlaps with a subframe (say [i2]) of the other CG (say CG2). In this case, </w:t>
      </w:r>
      <w:r>
        <w:t xml:space="preserve">before allocating </w:t>
      </w:r>
      <w:r w:rsidRPr="00E9219B">
        <w:t xml:space="preserve">power </w:t>
      </w:r>
      <w:r>
        <w:t>to any given priority level</w:t>
      </w:r>
      <w:r w:rsidR="001D26D7">
        <w:t xml:space="preserve"> in a given CG</w:t>
      </w:r>
      <w:r>
        <w:t xml:space="preserve">, </w:t>
      </w:r>
      <w:r w:rsidRPr="00E9219B">
        <w:t>the transmission power for the following are allocated</w:t>
      </w:r>
      <w:r>
        <w:t xml:space="preserve"> first</w:t>
      </w:r>
      <w:r w:rsidRPr="00E9219B">
        <w:t>:</w:t>
      </w:r>
    </w:p>
    <w:p w14:paraId="1F0422A1" w14:textId="77777777" w:rsidR="008A1B8C" w:rsidRPr="00E9219B" w:rsidRDefault="008A1B8C" w:rsidP="00FD129C">
      <w:pPr>
        <w:numPr>
          <w:ilvl w:val="0"/>
          <w:numId w:val="13"/>
        </w:numPr>
        <w:spacing w:after="0" w:line="276" w:lineRule="auto"/>
        <w:jc w:val="both"/>
      </w:pPr>
      <w:r w:rsidRPr="00E9219B">
        <w:t>All transmissions within the same CG with higher priority</w:t>
      </w:r>
      <w:r>
        <w:t>;</w:t>
      </w:r>
    </w:p>
    <w:p w14:paraId="7CB14CE8" w14:textId="77777777" w:rsidR="008A1B8C" w:rsidRPr="00E9219B" w:rsidRDefault="008A1B8C" w:rsidP="00FD129C">
      <w:pPr>
        <w:numPr>
          <w:ilvl w:val="0"/>
          <w:numId w:val="13"/>
        </w:numPr>
        <w:spacing w:after="0" w:line="276" w:lineRule="auto"/>
        <w:jc w:val="both"/>
      </w:pPr>
      <w:r w:rsidRPr="00E9219B">
        <w:t>All transmissions of th</w:t>
      </w:r>
      <w:r>
        <w:t>e other CG with higher priority;</w:t>
      </w:r>
    </w:p>
    <w:p w14:paraId="38E058FE" w14:textId="77777777" w:rsidR="008A1B8C" w:rsidRPr="00E9219B" w:rsidRDefault="008A1B8C" w:rsidP="00FD129C">
      <w:pPr>
        <w:numPr>
          <w:ilvl w:val="0"/>
          <w:numId w:val="13"/>
        </w:numPr>
        <w:spacing w:after="0" w:line="276" w:lineRule="auto"/>
        <w:jc w:val="both"/>
      </w:pPr>
      <w:r w:rsidRPr="00E9219B">
        <w:t>All transmissions of the other CG with lower priority up to the MGP of the other CG, in case of MGP leftover</w:t>
      </w:r>
      <w:r>
        <w:t>.</w:t>
      </w:r>
    </w:p>
    <w:p w14:paraId="11C2D3BB" w14:textId="3976F8C3" w:rsidR="008A1B8C" w:rsidRPr="00E9219B" w:rsidRDefault="008A1B8C" w:rsidP="000D61CF">
      <w:pPr>
        <w:spacing w:before="120"/>
        <w:jc w:val="both"/>
      </w:pPr>
      <w:r>
        <w:t>Note tha</w:t>
      </w:r>
      <w:r w:rsidR="001D26D7">
        <w:t xml:space="preserve">t, such a “back-and-forth” and </w:t>
      </w:r>
      <w:r>
        <w:t xml:space="preserve">exchange between power levels of different priority levels within and across CGs are indeed possible in PCM-1, because synchronous DC (with fixed/same numerology and processing time) is considered.  </w:t>
      </w:r>
    </w:p>
    <w:p w14:paraId="7A415D09" w14:textId="0075EE23" w:rsidR="008A1B8C" w:rsidRPr="00E9219B" w:rsidRDefault="008A1B8C" w:rsidP="008A1B8C">
      <w:pPr>
        <w:jc w:val="both"/>
      </w:pPr>
      <w:r>
        <w:t xml:space="preserve">In LTE-DC PCM-2, which is defined for UEs capable of asynchronous </w:t>
      </w:r>
      <w:r w:rsidRPr="00E9219B">
        <w:t xml:space="preserve">DC </w:t>
      </w:r>
      <w:r>
        <w:t xml:space="preserve">operation, a subframe (say </w:t>
      </w:r>
      <w:r w:rsidR="00ED7E71">
        <w:t>[</w:t>
      </w:r>
      <w:r>
        <w:t>i1</w:t>
      </w:r>
      <w:r w:rsidR="00ED7E71">
        <w:t>]</w:t>
      </w:r>
      <w:r>
        <w:t xml:space="preserve">) of a first CG (say CG1) can partially overlap with two subframes (say </w:t>
      </w:r>
      <w:r w:rsidR="00ED7E71">
        <w:t>[</w:t>
      </w:r>
      <w:r>
        <w:t>i2-1</w:t>
      </w:r>
      <w:r w:rsidR="00ED7E71">
        <w:t>]</w:t>
      </w:r>
      <w:r>
        <w:t xml:space="preserve"> and </w:t>
      </w:r>
      <w:r w:rsidR="00ED7E71">
        <w:t>[</w:t>
      </w:r>
      <w:r>
        <w:t>i2</w:t>
      </w:r>
      <w:r w:rsidR="00ED7E71">
        <w:t>]</w:t>
      </w:r>
      <w:r>
        <w:t>) of the other CG (say CG2). In this case, t</w:t>
      </w:r>
      <w:r w:rsidRPr="00E9219B">
        <w:t>here are two steps in the power allocation procedure:</w:t>
      </w:r>
    </w:p>
    <w:p w14:paraId="389B13A3" w14:textId="02D9413F" w:rsidR="008A1B8C" w:rsidRDefault="008A1B8C" w:rsidP="00FD129C">
      <w:pPr>
        <w:numPr>
          <w:ilvl w:val="0"/>
          <w:numId w:val="14"/>
        </w:numPr>
        <w:spacing w:after="0" w:line="276" w:lineRule="auto"/>
        <w:jc w:val="both"/>
      </w:pPr>
      <w:r w:rsidRPr="00E9219B">
        <w:t>First, the UE determines the total available power for a CG</w:t>
      </w:r>
      <w:r w:rsidR="001D26D7">
        <w:t xml:space="preserve"> (say CG1)</w:t>
      </w:r>
      <w:r w:rsidRPr="00E9219B">
        <w:t xml:space="preserve">, based on </w:t>
      </w:r>
      <w:r w:rsidR="001D26D7">
        <w:t>a “first-come first-serve” pr</w:t>
      </w:r>
      <w:r w:rsidR="00B016F4">
        <w:t>inciple</w:t>
      </w:r>
      <w:r>
        <w:t xml:space="preserve"> </w:t>
      </w:r>
      <w:r w:rsidRPr="00E9219B">
        <w:t xml:space="preserve">and </w:t>
      </w:r>
      <w:r w:rsidRPr="000D61CF">
        <w:rPr>
          <w:bCs/>
        </w:rPr>
        <w:t>semi-static</w:t>
      </w:r>
      <w:r>
        <w:t xml:space="preserve"> </w:t>
      </w:r>
      <w:r w:rsidRPr="00E9219B">
        <w:t>“look-ahead”</w:t>
      </w:r>
      <w:r>
        <w:t>, i.e., by first allocating power as follows:</w:t>
      </w:r>
    </w:p>
    <w:p w14:paraId="304D2750" w14:textId="0F201054" w:rsidR="008A1B8C" w:rsidRPr="00E9219B" w:rsidRDefault="008A1B8C" w:rsidP="00FD129C">
      <w:pPr>
        <w:numPr>
          <w:ilvl w:val="1"/>
          <w:numId w:val="14"/>
        </w:numPr>
        <w:spacing w:after="0" w:line="276" w:lineRule="auto"/>
        <w:jc w:val="both"/>
      </w:pPr>
      <w:r w:rsidRPr="00E9219B">
        <w:t>Earlier overlapping tra</w:t>
      </w:r>
      <w:r>
        <w:t>nsmissions</w:t>
      </w:r>
      <w:r w:rsidR="00006DCF">
        <w:t xml:space="preserve"> </w:t>
      </w:r>
      <w:r>
        <w:t>of the other CG (</w:t>
      </w:r>
      <w:r w:rsidR="00B016F4">
        <w:t xml:space="preserve">say </w:t>
      </w:r>
      <w:r w:rsidRPr="00E9219B">
        <w:t>CG2)</w:t>
      </w:r>
      <w:r w:rsidR="00006DCF">
        <w:t xml:space="preserve">, i.e., </w:t>
      </w:r>
      <w:r w:rsidR="00B016F4">
        <w:t xml:space="preserve">in </w:t>
      </w:r>
      <w:r w:rsidR="00006DCF">
        <w:t>subframe [i2-1]</w:t>
      </w:r>
      <w:r w:rsidR="00B016F4">
        <w:t>;</w:t>
      </w:r>
    </w:p>
    <w:p w14:paraId="2CC6AA9F" w14:textId="5C1F10B3" w:rsidR="00006DCF" w:rsidRDefault="008A1B8C" w:rsidP="00FD129C">
      <w:pPr>
        <w:numPr>
          <w:ilvl w:val="1"/>
          <w:numId w:val="14"/>
        </w:numPr>
        <w:spacing w:after="0" w:line="276" w:lineRule="auto"/>
        <w:jc w:val="both"/>
      </w:pPr>
      <w:r>
        <w:t>The MGP of the other CG (</w:t>
      </w:r>
      <w:r w:rsidR="00006DCF">
        <w:t xml:space="preserve">say </w:t>
      </w:r>
      <w:r w:rsidRPr="00E9219B">
        <w:t xml:space="preserve">CG2) </w:t>
      </w:r>
      <w:r>
        <w:t xml:space="preserve">OR the PRACH power </w:t>
      </w:r>
      <w:r w:rsidR="00B016F4">
        <w:t>in</w:t>
      </w:r>
      <w:r>
        <w:t xml:space="preserve"> subframe</w:t>
      </w:r>
      <w:r w:rsidRPr="00E9219B">
        <w:t xml:space="preserve"> </w:t>
      </w:r>
      <w:r w:rsidRPr="00133236">
        <w:t>[i2]</w:t>
      </w:r>
      <w:r w:rsidRPr="00006DCF">
        <w:rPr>
          <w:b/>
          <w:bCs/>
        </w:rPr>
        <w:t xml:space="preserve"> </w:t>
      </w:r>
      <w:r w:rsidRPr="00E9219B">
        <w:t>of the other CG (</w:t>
      </w:r>
      <w:r w:rsidR="00006DCF">
        <w:t xml:space="preserve">say </w:t>
      </w:r>
      <w:r w:rsidRPr="00E9219B">
        <w:t>CG2), whichever is larger</w:t>
      </w:r>
      <w:r>
        <w:t xml:space="preserve">, if </w:t>
      </w:r>
      <w:r w:rsidR="00006DCF">
        <w:t xml:space="preserve">the later overlapping transmission in the other CG (i.e., subframe [i2] of CG2) is a “possible UL” subframe based on a </w:t>
      </w:r>
      <w:r>
        <w:t>semi-static “look-ahead”</w:t>
      </w:r>
      <w:r w:rsidR="00B016F4">
        <w:t>;</w:t>
      </w:r>
    </w:p>
    <w:p w14:paraId="0555BA14" w14:textId="61F3C3DD" w:rsidR="00B016F4" w:rsidRDefault="00B016F4" w:rsidP="00FD129C">
      <w:pPr>
        <w:numPr>
          <w:ilvl w:val="2"/>
          <w:numId w:val="14"/>
        </w:numPr>
        <w:spacing w:after="0" w:line="276" w:lineRule="auto"/>
        <w:jc w:val="both"/>
      </w:pPr>
      <w:r>
        <w:lastRenderedPageBreak/>
        <w:t>Semi-static “look-ahead” is based on higher layer signaling, e.g., TDD DL/UL subframe structure;</w:t>
      </w:r>
    </w:p>
    <w:p w14:paraId="1AE9EC66" w14:textId="30903981" w:rsidR="008A1B8C" w:rsidRDefault="00006DCF" w:rsidP="00FD129C">
      <w:pPr>
        <w:numPr>
          <w:ilvl w:val="2"/>
          <w:numId w:val="14"/>
        </w:numPr>
        <w:spacing w:after="0" w:line="276" w:lineRule="auto"/>
        <w:jc w:val="both"/>
      </w:pPr>
      <w:r>
        <w:t>A “possible UL” subframe is defined as a subframe in which there is a possibility for an UL transmission (including PRACH), so that the UE cannot rule out the certainty of no UL transmission</w:t>
      </w:r>
      <w:r w:rsidR="00CE6147">
        <w:t>s</w:t>
      </w:r>
      <w:r>
        <w:t xml:space="preserve">, e.g., it is an UL or flexible subframe </w:t>
      </w:r>
      <w:r w:rsidR="00B016F4">
        <w:t>in the TDD DL/UL subframe structure.</w:t>
      </w:r>
    </w:p>
    <w:p w14:paraId="1B1ED1B5" w14:textId="27FAD146" w:rsidR="008A1B8C" w:rsidRPr="00E9219B" w:rsidRDefault="008A1B8C" w:rsidP="00FD129C">
      <w:pPr>
        <w:numPr>
          <w:ilvl w:val="0"/>
          <w:numId w:val="14"/>
        </w:numPr>
        <w:spacing w:after="0" w:line="276" w:lineRule="auto"/>
        <w:jc w:val="both"/>
      </w:pPr>
      <w:r w:rsidRPr="00E9219B">
        <w:t xml:space="preserve">Next, the UE decides on the power scaling within that CG, based on the priority </w:t>
      </w:r>
      <w:r>
        <w:t xml:space="preserve">level </w:t>
      </w:r>
      <w:r w:rsidRPr="00E9219B">
        <w:t>of transmission</w:t>
      </w:r>
      <w:r>
        <w:t>s</w:t>
      </w:r>
      <w:r w:rsidR="00CE6147">
        <w:t>.</w:t>
      </w:r>
    </w:p>
    <w:p w14:paraId="045002CD" w14:textId="62E8DED3" w:rsidR="00F15F03" w:rsidRDefault="00CE6147" w:rsidP="00F15F03">
      <w:pPr>
        <w:pStyle w:val="Heading1"/>
        <w:tabs>
          <w:tab w:val="num" w:pos="0"/>
        </w:tabs>
        <w:ind w:left="0" w:firstLine="0"/>
        <w:jc w:val="both"/>
        <w:rPr>
          <w:rFonts w:eastAsia="MS Mincho"/>
          <w:lang w:eastAsia="ja-JP"/>
        </w:rPr>
      </w:pPr>
      <w:r>
        <w:rPr>
          <w:rFonts w:eastAsia="MS Mincho"/>
          <w:lang w:eastAsia="ja-JP"/>
        </w:rPr>
        <w:t>NN-</w:t>
      </w:r>
      <w:r w:rsidR="00F15F03">
        <w:rPr>
          <w:rFonts w:eastAsia="MS Mincho"/>
          <w:lang w:eastAsia="ja-JP"/>
        </w:rPr>
        <w:t>DC Power Control</w:t>
      </w:r>
    </w:p>
    <w:p w14:paraId="6112D2EB" w14:textId="7E2182EC" w:rsidR="008A1B8C" w:rsidRDefault="008A1B8C" w:rsidP="008A1B8C">
      <w:pPr>
        <w:jc w:val="both"/>
      </w:pPr>
      <w:r>
        <w:t>There are several aspects in 5G New Radio (NR) that were not present in LTE. In particular, (at least legacy) LTE uses: (i) a fixed 15 kHz subcarrier spacing (SCS) for OFDM operation; (ii) a fixed timeline in which the uplink grant or downlink assignment for a transmission always arrives e.g., 4 subframes beforehand; (iii</w:t>
      </w:r>
      <w:r w:rsidRPr="000A54E9">
        <w:t xml:space="preserve">) a fixed e.g., 4-subframe timeline for processing/preparation of a transmission; and (iv) </w:t>
      </w:r>
      <w:r w:rsidRPr="005A7B6A">
        <w:t>restricted set of transmission time intervals/durations within a subframe</w:t>
      </w:r>
      <w:r w:rsidRPr="000A54E9">
        <w:t xml:space="preserve">. On the other hand, NR allows for: (i) configurable SCS and numerology; (ii) configurable grant-to-transmission time </w:t>
      </w:r>
      <w:r w:rsidRPr="000B65DB">
        <w:t xml:space="preserve">(e.g, delay between the DCI received </w:t>
      </w:r>
      <w:r w:rsidRPr="007C70FA">
        <w:t xml:space="preserve">in the </w:t>
      </w:r>
      <w:r w:rsidR="005B7D2E" w:rsidRPr="007C70FA">
        <w:t xml:space="preserve">scheduling </w:t>
      </w:r>
      <w:r w:rsidR="00BD4E31">
        <w:t xml:space="preserve">DL </w:t>
      </w:r>
      <w:r w:rsidR="005B7D2E" w:rsidRPr="007C70FA">
        <w:t xml:space="preserve">active </w:t>
      </w:r>
      <w:r w:rsidRPr="007C70FA">
        <w:t>BWP</w:t>
      </w:r>
      <w:r w:rsidRPr="00363FB4">
        <w:t xml:space="preserve">, and the scheduled PUSCH </w:t>
      </w:r>
      <w:r w:rsidRPr="007C70FA">
        <w:t>in the target</w:t>
      </w:r>
      <w:r w:rsidR="005B7D2E" w:rsidRPr="007C70FA">
        <w:t xml:space="preserve"> scheduled</w:t>
      </w:r>
      <w:r w:rsidR="00BD4E31">
        <w:t xml:space="preserve"> UL</w:t>
      </w:r>
      <w:r w:rsidRPr="007C70FA">
        <w:t xml:space="preserve"> BWP</w:t>
      </w:r>
      <w:bookmarkStart w:id="4" w:name="_GoBack"/>
      <w:bookmarkEnd w:id="4"/>
      <w:r w:rsidRPr="00363FB4">
        <w:t>) and even “self-contai</w:t>
      </w:r>
      <w:r w:rsidRPr="005A7B6A">
        <w:t>ned” slot</w:t>
      </w:r>
      <w:r w:rsidRPr="000A54E9">
        <w:t>s;</w:t>
      </w:r>
      <w:r>
        <w:t xml:space="preserve"> (iii) a minimum preparation time </w:t>
      </w:r>
      <w:r w:rsidR="00CE6147">
        <w:t>[</w:t>
      </w:r>
      <w:r w:rsidR="00A0565E">
        <w:t xml:space="preserve">4, </w:t>
      </w:r>
      <w:r w:rsidR="00CE6147">
        <w:t xml:space="preserve">TS 38.214] </w:t>
      </w:r>
      <w:r>
        <w:t xml:space="preserve">depending on the numerology and the UE capability, while the actual UE </w:t>
      </w:r>
      <w:r w:rsidRPr="000A54E9">
        <w:t xml:space="preserve">preparation time can be the same as or larger than this minimum preparation time; and (iv) one or multiple </w:t>
      </w:r>
      <w:r w:rsidR="00CE6147">
        <w:t>“mini-slot</w:t>
      </w:r>
      <w:r w:rsidRPr="005A7B6A">
        <w:t xml:space="preserve">” </w:t>
      </w:r>
      <w:r w:rsidR="00CE6147">
        <w:t>transmission</w:t>
      </w:r>
      <w:r w:rsidR="00A718DF">
        <w:t>s</w:t>
      </w:r>
      <w:r w:rsidR="00CE6147">
        <w:t xml:space="preserve"> </w:t>
      </w:r>
      <w:r w:rsidRPr="005A7B6A">
        <w:t>or PUSCH mapping Type-B [</w:t>
      </w:r>
      <w:r w:rsidR="00A0565E">
        <w:t xml:space="preserve">5, </w:t>
      </w:r>
      <w:r w:rsidRPr="005A7B6A">
        <w:t>TS 38.211]</w:t>
      </w:r>
      <w:r w:rsidRPr="000A54E9">
        <w:t>.</w:t>
      </w:r>
      <w:r>
        <w:t xml:space="preserve"> </w:t>
      </w:r>
    </w:p>
    <w:p w14:paraId="753EE267" w14:textId="0BC54C6A" w:rsidR="00DB3F78" w:rsidRDefault="00DB3F78" w:rsidP="008A1B8C">
      <w:pPr>
        <w:jc w:val="both"/>
      </w:pPr>
      <w:r>
        <w:t xml:space="preserve">During Rel-15 late-drop specification time and to minimize the specification and hardware impact, it was proposed in [4] and [5] to re-use the NR-CA framework for NN-DC power control, i.e., </w:t>
      </w:r>
      <w:r w:rsidR="00363FB4">
        <w:t>re-</w:t>
      </w:r>
      <w:r>
        <w:t>use the priority rule in CA power control and leave the details on power scaling or dropping up to UE implementation. However, similar to proposals in [6, 7, 8], we believe further enhancements for NN-DC power control based on LTE-DC power control can be achieved. In the following, we provide our views on NN-DC power control.</w:t>
      </w:r>
    </w:p>
    <w:p w14:paraId="72D7374E" w14:textId="6BC89025" w:rsidR="008A1B8C" w:rsidRPr="004F1787" w:rsidRDefault="008A1B8C" w:rsidP="001E30A2">
      <w:pPr>
        <w:pStyle w:val="Heading2"/>
      </w:pPr>
      <w:r w:rsidRPr="004F1787">
        <w:t xml:space="preserve">Look-ahead </w:t>
      </w:r>
      <w:r>
        <w:t xml:space="preserve">and </w:t>
      </w:r>
      <w:r w:rsidR="00F15F03">
        <w:t>Cut-off Time for NN</w:t>
      </w:r>
      <w:r w:rsidRPr="004F1787">
        <w:t xml:space="preserve">-DC Power Control </w:t>
      </w:r>
    </w:p>
    <w:p w14:paraId="4571A877" w14:textId="3752306B" w:rsidR="008A1B8C" w:rsidRDefault="00A0565E" w:rsidP="00EB1F01">
      <w:pPr>
        <w:jc w:val="both"/>
        <w:rPr>
          <w:u w:val="single"/>
        </w:rPr>
      </w:pPr>
      <w:r>
        <w:t>In NN</w:t>
      </w:r>
      <w:r w:rsidR="008A1B8C" w:rsidRPr="00244439">
        <w:t xml:space="preserve">-DC, </w:t>
      </w:r>
      <w:r>
        <w:t xml:space="preserve">uplink </w:t>
      </w:r>
      <w:r w:rsidR="008A1B8C" w:rsidRPr="00244439">
        <w:t>transmission</w:t>
      </w:r>
      <w:r>
        <w:t>s</w:t>
      </w:r>
      <w:r w:rsidR="008A1B8C" w:rsidRPr="00244439">
        <w:t xml:space="preserve"> </w:t>
      </w:r>
      <w:r>
        <w:t>on</w:t>
      </w:r>
      <w:r w:rsidR="008A1B8C" w:rsidRPr="00244439">
        <w:t xml:space="preserve"> the two CGs with potentially different numerologies, different start time and different duration can overlap and lead to a power-limited situation. Moreover, the </w:t>
      </w:r>
      <w:r>
        <w:t xml:space="preserve">uplink </w:t>
      </w:r>
      <w:r w:rsidR="008A1B8C" w:rsidRPr="00244439">
        <w:t>transmission</w:t>
      </w:r>
      <w:r>
        <w:t>s</w:t>
      </w:r>
      <w:r w:rsidR="008A1B8C" w:rsidRPr="00244439">
        <w:t xml:space="preserve"> are based on scheduling DCIs or other higher layer signal</w:t>
      </w:r>
      <w:r>
        <w:t>l</w:t>
      </w:r>
      <w:r w:rsidR="008A1B8C" w:rsidRPr="00244439">
        <w:t>ing that allocate UL resources and arrive at different points in time, and will be processed by the UE in different time</w:t>
      </w:r>
      <w:r>
        <w:t xml:space="preserve">s. Therefore, a </w:t>
      </w:r>
      <w:r w:rsidR="003B72C1">
        <w:t>consideration</w:t>
      </w:r>
      <w:r w:rsidR="008A1B8C" w:rsidRPr="00244439">
        <w:t xml:space="preserve"> when determining the power setting for a certain transmission</w:t>
      </w:r>
      <w:r w:rsidR="003B72C1">
        <w:t xml:space="preserve"> is whether</w:t>
      </w:r>
      <w:r w:rsidR="008A1B8C" w:rsidRPr="00244439">
        <w:t xml:space="preserve"> </w:t>
      </w:r>
      <w:r w:rsidR="00EB1F01" w:rsidRPr="007C70FA">
        <w:t xml:space="preserve">the UE can go beyond the semi-static “look-ahead” </w:t>
      </w:r>
      <w:r w:rsidR="00363FB4" w:rsidRPr="007C70FA">
        <w:t xml:space="preserve">that is </w:t>
      </w:r>
      <w:r w:rsidR="00EB1F01" w:rsidRPr="007C70FA">
        <w:t xml:space="preserve">based on higher-layer signalling </w:t>
      </w:r>
      <w:r w:rsidR="00363FB4" w:rsidRPr="007C70FA">
        <w:t xml:space="preserve">as </w:t>
      </w:r>
      <w:r w:rsidR="00EB1F01" w:rsidRPr="007C70FA">
        <w:t xml:space="preserve">considered in LTE-DC, and rely on a </w:t>
      </w:r>
      <w:r w:rsidRPr="007C70FA">
        <w:rPr>
          <w:i/>
          <w:iCs/>
        </w:rPr>
        <w:t>dynamic</w:t>
      </w:r>
      <w:r w:rsidRPr="007C70FA">
        <w:t xml:space="preserve"> </w:t>
      </w:r>
      <w:r w:rsidR="008A1B8C" w:rsidRPr="007C70FA">
        <w:t>“look-ahead” into other upcoming, overlapping transmissions</w:t>
      </w:r>
      <w:r w:rsidR="008A1B8C" w:rsidRPr="00363FB4">
        <w:t xml:space="preserve"> and take their transmissi</w:t>
      </w:r>
      <w:r w:rsidR="008A1B8C" w:rsidRPr="0050172E">
        <w:t xml:space="preserve">on details (such as RB allocation, etc.) into account for the power determination at hand – </w:t>
      </w:r>
      <w:r w:rsidR="003B72C1">
        <w:t>this is</w:t>
      </w:r>
      <w:r w:rsidR="008A1B8C" w:rsidRPr="0050172E">
        <w:t xml:space="preserve"> possible in NR due to different timelines and processing times for different transmissions.</w:t>
      </w:r>
      <w:r w:rsidR="008A1B8C">
        <w:rPr>
          <w:u w:val="single"/>
        </w:rPr>
        <w:t xml:space="preserve"> </w:t>
      </w:r>
      <w:r w:rsidR="00DB3F78">
        <w:rPr>
          <w:u w:val="single"/>
        </w:rPr>
        <w:t xml:space="preserve">A similar proposal to use dynamic “look-ahead” was </w:t>
      </w:r>
      <w:r w:rsidR="00BD4E31">
        <w:rPr>
          <w:u w:val="single"/>
        </w:rPr>
        <w:t>discussed</w:t>
      </w:r>
      <w:r w:rsidR="00DB3F78">
        <w:rPr>
          <w:u w:val="single"/>
        </w:rPr>
        <w:t xml:space="preserve"> in [7].</w:t>
      </w:r>
    </w:p>
    <w:p w14:paraId="3458C442" w14:textId="7B8FA401" w:rsidR="008A1B8C" w:rsidRDefault="008A1B8C" w:rsidP="00363FB4">
      <w:pPr>
        <w:jc w:val="both"/>
      </w:pPr>
      <w:r w:rsidRPr="00244439">
        <w:t xml:space="preserve">Accordingly, one can define a “cut-off” time for the </w:t>
      </w:r>
      <w:r w:rsidR="00EB1F01">
        <w:t xml:space="preserve">dynamic </w:t>
      </w:r>
      <w:r w:rsidRPr="00244439">
        <w:t xml:space="preserve">“look-ahead” in </w:t>
      </w:r>
      <w:r w:rsidR="00363FB4" w:rsidRPr="00244439">
        <w:t>N</w:t>
      </w:r>
      <w:r w:rsidR="00363FB4">
        <w:t>N</w:t>
      </w:r>
      <w:r w:rsidRPr="00244439">
        <w:t xml:space="preserve">-DC power control, so that the UE can look-ahead into transmission that are early enough w.r.t. the cut-off time, but for transmissions that are later than the cut-off time, the UE is not able to do look-ahead for power determination of the transmission of interest. </w:t>
      </w:r>
      <w:r w:rsidR="007F1FDE">
        <w:t xml:space="preserve">The cut-off time can be a conservative value such as </w:t>
      </w:r>
      <w:r w:rsidRPr="00244439">
        <w:t xml:space="preserve">the </w:t>
      </w:r>
      <w:r w:rsidR="007E6CA9" w:rsidRPr="00244439">
        <w:t xml:space="preserve">reception time </w:t>
      </w:r>
      <w:r w:rsidR="007E6CA9">
        <w:t xml:space="preserve">of the </w:t>
      </w:r>
      <w:r w:rsidRPr="00244439">
        <w:t xml:space="preserve">DCI grant / higher layer signalling, or </w:t>
      </w:r>
      <w:r w:rsidR="007F1FDE">
        <w:t xml:space="preserve">more aggressive such as the </w:t>
      </w:r>
      <w:r w:rsidR="007E6CA9">
        <w:t xml:space="preserve">uplink </w:t>
      </w:r>
      <w:r w:rsidR="007F1FDE">
        <w:t>transmission time offset by a</w:t>
      </w:r>
      <w:r>
        <w:t xml:space="preserve"> number of symbols, </w:t>
      </w:r>
      <w:r w:rsidR="007E6CA9">
        <w:t>e.g.,</w:t>
      </w:r>
      <w:r w:rsidR="007F1FDE">
        <w:t xml:space="preserve"> </w:t>
      </w:r>
      <w:r>
        <w:t>UE processing</w:t>
      </w:r>
      <w:r w:rsidR="002C6C54">
        <w:t xml:space="preserve"> duration </w:t>
      </w:r>
      <w:r w:rsidR="007F1FDE">
        <w:t>/</w:t>
      </w:r>
      <w:r w:rsidR="002C6C54">
        <w:t xml:space="preserve"> </w:t>
      </w:r>
      <w:r>
        <w:t>PUSCH preparation time</w:t>
      </w:r>
      <w:r w:rsidR="00EB1F01">
        <w:t xml:space="preserve"> [4, TS 38.214]</w:t>
      </w:r>
      <w:r>
        <w:t xml:space="preserve">. The closer a cut-off time is to the </w:t>
      </w:r>
      <w:r w:rsidR="007E6CA9">
        <w:t xml:space="preserve">uplink </w:t>
      </w:r>
      <w:r>
        <w:t xml:space="preserve">transmission time, the more “look-ahead” is available to the UE since details about many overlapping transmissions will be known. The closer a cut-off time is to the grant/signalling time, the less “look-ahead” is available to the UE since details about few overlapping transmissions may be known. </w:t>
      </w:r>
      <w:r w:rsidR="00DB3F78">
        <w:t xml:space="preserve">A similar proposal to use a “power determination time” was </w:t>
      </w:r>
      <w:r w:rsidR="00BD4E31">
        <w:t>discussed</w:t>
      </w:r>
      <w:r w:rsidR="00DB3F78">
        <w:t xml:space="preserve"> in [8].</w:t>
      </w:r>
    </w:p>
    <w:p w14:paraId="2AD366E4" w14:textId="77777777" w:rsidR="00EB1F01" w:rsidRDefault="00EB1F01" w:rsidP="00EB1F01">
      <w:pPr>
        <w:jc w:val="both"/>
        <w:rPr>
          <w:i/>
          <w:iCs/>
        </w:rPr>
      </w:pPr>
      <w:r w:rsidRPr="001842F8">
        <w:rPr>
          <w:b/>
          <w:bCs/>
          <w:i/>
          <w:iCs/>
          <w:u w:val="single"/>
        </w:rPr>
        <w:t>Proposal 1</w:t>
      </w:r>
      <w:r>
        <w:rPr>
          <w:i/>
          <w:iCs/>
        </w:rPr>
        <w:t>: In NN</w:t>
      </w:r>
      <w:r w:rsidRPr="00244439">
        <w:rPr>
          <w:i/>
          <w:iCs/>
        </w:rPr>
        <w:t>-DC, power determination of any given UL transmission on a CG</w:t>
      </w:r>
      <w:r>
        <w:rPr>
          <w:i/>
          <w:iCs/>
        </w:rPr>
        <w:t xml:space="preserve"> can be based on dynamic “look-ahead”</w:t>
      </w:r>
      <w:r w:rsidRPr="00244439">
        <w:rPr>
          <w:i/>
          <w:iCs/>
        </w:rPr>
        <w:t xml:space="preserve">, </w:t>
      </w:r>
      <w:r>
        <w:rPr>
          <w:i/>
          <w:iCs/>
        </w:rPr>
        <w:t xml:space="preserve">so that UE can take into account other UL transmissions before a certain </w:t>
      </w:r>
      <w:r w:rsidRPr="00244439">
        <w:rPr>
          <w:i/>
          <w:iCs/>
        </w:rPr>
        <w:t xml:space="preserve">“cut-off” </w:t>
      </w:r>
      <w:r>
        <w:rPr>
          <w:i/>
          <w:iCs/>
        </w:rPr>
        <w:t xml:space="preserve">time. </w:t>
      </w:r>
    </w:p>
    <w:p w14:paraId="2D1D2962" w14:textId="25486ECB" w:rsidR="007E6CA9" w:rsidRDefault="007E6CA9" w:rsidP="002C6C54">
      <w:pPr>
        <w:jc w:val="both"/>
        <w:rPr>
          <w:i/>
          <w:iCs/>
        </w:rPr>
      </w:pPr>
      <w:r w:rsidRPr="001842F8">
        <w:rPr>
          <w:b/>
          <w:bCs/>
          <w:i/>
          <w:iCs/>
          <w:u w:val="single"/>
        </w:rPr>
        <w:t xml:space="preserve">Proposal </w:t>
      </w:r>
      <w:r>
        <w:rPr>
          <w:b/>
          <w:bCs/>
          <w:i/>
          <w:iCs/>
          <w:u w:val="single"/>
        </w:rPr>
        <w:t>2</w:t>
      </w:r>
      <w:r>
        <w:rPr>
          <w:i/>
          <w:iCs/>
        </w:rPr>
        <w:t>: The</w:t>
      </w:r>
      <w:r w:rsidRPr="00244439">
        <w:rPr>
          <w:i/>
          <w:iCs/>
        </w:rPr>
        <w:t xml:space="preserve"> </w:t>
      </w:r>
      <w:r>
        <w:rPr>
          <w:i/>
          <w:iCs/>
        </w:rPr>
        <w:t xml:space="preserve">cut-off time for </w:t>
      </w:r>
      <w:r w:rsidRPr="00244439">
        <w:rPr>
          <w:i/>
          <w:iCs/>
        </w:rPr>
        <w:t xml:space="preserve">power determination </w:t>
      </w:r>
      <w:r>
        <w:rPr>
          <w:i/>
          <w:iCs/>
        </w:rPr>
        <w:t xml:space="preserve">in NN-DC </w:t>
      </w:r>
      <w:r w:rsidR="003B72C1">
        <w:rPr>
          <w:i/>
          <w:iCs/>
        </w:rPr>
        <w:t>and the degree of aggressiveness of the cut-off time relative to the uplink transmission time needs to be further studied</w:t>
      </w:r>
      <w:r>
        <w:rPr>
          <w:i/>
          <w:iCs/>
        </w:rPr>
        <w:t xml:space="preserve">. </w:t>
      </w:r>
    </w:p>
    <w:p w14:paraId="4C6DE873" w14:textId="5949755F" w:rsidR="008A1B8C" w:rsidRPr="00244439" w:rsidRDefault="002C6C54" w:rsidP="00F110C6">
      <w:pPr>
        <w:jc w:val="both"/>
      </w:pPr>
      <w:r>
        <w:lastRenderedPageBreak/>
        <w:t>Once a definition for a cut-off</w:t>
      </w:r>
      <w:r w:rsidR="008A1B8C" w:rsidRPr="00244439">
        <w:t xml:space="preserve"> time is adopted, for power determination of a </w:t>
      </w:r>
      <w:r w:rsidR="00F110C6">
        <w:t>given</w:t>
      </w:r>
      <w:r w:rsidR="008A1B8C" w:rsidRPr="00244439">
        <w:t xml:space="preserve"> transmission on a </w:t>
      </w:r>
      <w:r w:rsidR="00F110C6">
        <w:t xml:space="preserve">given </w:t>
      </w:r>
      <w:r w:rsidR="008A1B8C" w:rsidRPr="00244439">
        <w:t xml:space="preserve">CG, three categories of </w:t>
      </w:r>
      <w:r w:rsidR="00F110C6">
        <w:t xml:space="preserve">other </w:t>
      </w:r>
      <w:r>
        <w:t xml:space="preserve">overlapping </w:t>
      </w:r>
      <w:r w:rsidR="008A1B8C" w:rsidRPr="00244439">
        <w:t>transmissions can be defined:</w:t>
      </w:r>
    </w:p>
    <w:p w14:paraId="2F7B60C4" w14:textId="502AEBF4" w:rsidR="008A1B8C" w:rsidRPr="00244439" w:rsidRDefault="008A1B8C" w:rsidP="00FD129C">
      <w:pPr>
        <w:pStyle w:val="ListParagraph"/>
        <w:numPr>
          <w:ilvl w:val="0"/>
          <w:numId w:val="15"/>
        </w:numPr>
        <w:jc w:val="both"/>
        <w:rPr>
          <w:sz w:val="20"/>
          <w:szCs w:val="20"/>
        </w:rPr>
      </w:pPr>
      <w:r w:rsidRPr="00244439">
        <w:rPr>
          <w:b/>
          <w:bCs/>
          <w:sz w:val="20"/>
          <w:szCs w:val="20"/>
        </w:rPr>
        <w:t>Category 0 transmissions</w:t>
      </w:r>
      <w:r w:rsidR="00C27BAC">
        <w:rPr>
          <w:b/>
          <w:bCs/>
          <w:sz w:val="20"/>
          <w:szCs w:val="20"/>
        </w:rPr>
        <w:t xml:space="preserve"> (earlier transmissions)</w:t>
      </w:r>
      <w:r w:rsidRPr="00244439">
        <w:rPr>
          <w:sz w:val="20"/>
          <w:szCs w:val="20"/>
        </w:rPr>
        <w:t>: those overlapping transmissions that start before the transmission of interest</w:t>
      </w:r>
      <w:r w:rsidR="00DB5679">
        <w:rPr>
          <w:sz w:val="20"/>
          <w:szCs w:val="20"/>
        </w:rPr>
        <w:t xml:space="preserve"> and </w:t>
      </w:r>
      <w:r w:rsidR="002C6C54">
        <w:rPr>
          <w:sz w:val="20"/>
          <w:szCs w:val="20"/>
        </w:rPr>
        <w:t xml:space="preserve">whose </w:t>
      </w:r>
      <w:r w:rsidR="00DB5679">
        <w:rPr>
          <w:sz w:val="20"/>
          <w:szCs w:val="20"/>
        </w:rPr>
        <w:t>transmission power allocations have been complete – no processing time available to take in to account “new” overlapping transmissions</w:t>
      </w:r>
      <w:r w:rsidR="0070539F">
        <w:rPr>
          <w:sz w:val="20"/>
          <w:szCs w:val="20"/>
        </w:rPr>
        <w:t xml:space="preserve"> (including the transmission of interest)</w:t>
      </w:r>
      <w:r w:rsidRPr="00244439">
        <w:rPr>
          <w:sz w:val="20"/>
          <w:szCs w:val="20"/>
        </w:rPr>
        <w:t>. For these transmissions, the power is already allocated</w:t>
      </w:r>
      <w:r w:rsidR="002C6C54">
        <w:rPr>
          <w:sz w:val="20"/>
          <w:szCs w:val="20"/>
        </w:rPr>
        <w:t xml:space="preserve"> and</w:t>
      </w:r>
      <w:r w:rsidR="00E45A9A">
        <w:rPr>
          <w:sz w:val="20"/>
          <w:szCs w:val="20"/>
        </w:rPr>
        <w:t xml:space="preserve"> cannot be </w:t>
      </w:r>
      <w:r w:rsidR="0070539F">
        <w:rPr>
          <w:sz w:val="20"/>
          <w:szCs w:val="20"/>
        </w:rPr>
        <w:t>(re-)</w:t>
      </w:r>
      <w:r w:rsidR="002C6C54">
        <w:rPr>
          <w:sz w:val="20"/>
          <w:szCs w:val="20"/>
        </w:rPr>
        <w:t>shared</w:t>
      </w:r>
      <w:r w:rsidR="00E45A9A">
        <w:rPr>
          <w:sz w:val="20"/>
          <w:szCs w:val="20"/>
        </w:rPr>
        <w:t xml:space="preserve"> or </w:t>
      </w:r>
      <w:r w:rsidRPr="00244439">
        <w:rPr>
          <w:sz w:val="20"/>
          <w:szCs w:val="20"/>
        </w:rPr>
        <w:t>(re-)adjust</w:t>
      </w:r>
      <w:r w:rsidR="00E45A9A">
        <w:rPr>
          <w:sz w:val="20"/>
          <w:szCs w:val="20"/>
        </w:rPr>
        <w:t>ed</w:t>
      </w:r>
      <w:r w:rsidRPr="00244439">
        <w:rPr>
          <w:sz w:val="20"/>
          <w:szCs w:val="20"/>
        </w:rPr>
        <w:t>. They are similar to [i2-1] transmission in LTE-DC PCM2.</w:t>
      </w:r>
    </w:p>
    <w:p w14:paraId="2B3C02A4" w14:textId="415C5469" w:rsidR="008A1B8C" w:rsidRPr="00244439" w:rsidRDefault="008A1B8C" w:rsidP="00FD129C">
      <w:pPr>
        <w:pStyle w:val="ListParagraph"/>
        <w:numPr>
          <w:ilvl w:val="0"/>
          <w:numId w:val="15"/>
        </w:numPr>
        <w:jc w:val="both"/>
        <w:rPr>
          <w:sz w:val="20"/>
          <w:szCs w:val="20"/>
        </w:rPr>
      </w:pPr>
      <w:r w:rsidRPr="00244439">
        <w:rPr>
          <w:b/>
          <w:bCs/>
          <w:sz w:val="20"/>
          <w:szCs w:val="20"/>
        </w:rPr>
        <w:t>Category 1 transmissions</w:t>
      </w:r>
      <w:r w:rsidR="00C27BAC">
        <w:rPr>
          <w:b/>
          <w:bCs/>
          <w:sz w:val="20"/>
          <w:szCs w:val="20"/>
        </w:rPr>
        <w:t xml:space="preserve"> (concurrent transmissions before the cut-off time)</w:t>
      </w:r>
      <w:r w:rsidRPr="00244439">
        <w:rPr>
          <w:sz w:val="20"/>
          <w:szCs w:val="20"/>
        </w:rPr>
        <w:t xml:space="preserve">: those overlapping transmissions that start </w:t>
      </w:r>
      <w:r w:rsidR="0070539F">
        <w:rPr>
          <w:sz w:val="20"/>
          <w:szCs w:val="20"/>
        </w:rPr>
        <w:t>with</w:t>
      </w:r>
      <w:r w:rsidRPr="00244439">
        <w:rPr>
          <w:sz w:val="20"/>
          <w:szCs w:val="20"/>
        </w:rPr>
        <w:t xml:space="preserve"> or after the transmission of interest, but whose grant/</w:t>
      </w:r>
      <w:r w:rsidR="00183466">
        <w:rPr>
          <w:sz w:val="20"/>
          <w:szCs w:val="20"/>
        </w:rPr>
        <w:t>signal</w:t>
      </w:r>
      <w:r w:rsidR="00183466" w:rsidRPr="00244439">
        <w:rPr>
          <w:sz w:val="20"/>
          <w:szCs w:val="20"/>
        </w:rPr>
        <w:t>ing</w:t>
      </w:r>
      <w:r w:rsidRPr="00244439">
        <w:rPr>
          <w:sz w:val="20"/>
          <w:szCs w:val="20"/>
        </w:rPr>
        <w:t xml:space="preserve"> ha</w:t>
      </w:r>
      <w:r w:rsidR="0070539F">
        <w:rPr>
          <w:sz w:val="20"/>
          <w:szCs w:val="20"/>
        </w:rPr>
        <w:t>s</w:t>
      </w:r>
      <w:r w:rsidRPr="00244439">
        <w:rPr>
          <w:sz w:val="20"/>
          <w:szCs w:val="20"/>
        </w:rPr>
        <w:t xml:space="preserve"> arrived before the </w:t>
      </w:r>
      <w:r w:rsidR="002C6C54">
        <w:rPr>
          <w:sz w:val="20"/>
          <w:szCs w:val="20"/>
        </w:rPr>
        <w:t>dynamic look-ahead cut-off time for NN</w:t>
      </w:r>
      <w:r w:rsidRPr="00244439">
        <w:rPr>
          <w:sz w:val="20"/>
          <w:szCs w:val="20"/>
        </w:rPr>
        <w:t>-DC power control. For these transmissions, the power can be allocated similar to LTE-DC PCM1 based on priority rules and MGP.</w:t>
      </w:r>
    </w:p>
    <w:p w14:paraId="383E1356" w14:textId="34ACB801" w:rsidR="008A1B8C" w:rsidRPr="00244439" w:rsidRDefault="008A1B8C" w:rsidP="00C27BAC">
      <w:pPr>
        <w:pStyle w:val="ListParagraph"/>
        <w:numPr>
          <w:ilvl w:val="0"/>
          <w:numId w:val="15"/>
        </w:numPr>
        <w:jc w:val="both"/>
        <w:rPr>
          <w:sz w:val="20"/>
          <w:szCs w:val="20"/>
        </w:rPr>
      </w:pPr>
      <w:r w:rsidRPr="00244439">
        <w:rPr>
          <w:b/>
          <w:bCs/>
          <w:sz w:val="20"/>
          <w:szCs w:val="20"/>
        </w:rPr>
        <w:t>Category 2 transmissions</w:t>
      </w:r>
      <w:r w:rsidR="00C27BAC">
        <w:rPr>
          <w:b/>
          <w:bCs/>
          <w:sz w:val="20"/>
          <w:szCs w:val="20"/>
        </w:rPr>
        <w:t xml:space="preserve"> (concurrent transmissions after the cut-off time)</w:t>
      </w:r>
      <w:r w:rsidRPr="00244439">
        <w:rPr>
          <w:sz w:val="20"/>
          <w:szCs w:val="20"/>
        </w:rPr>
        <w:t xml:space="preserve">: those overlapping transmissions that start </w:t>
      </w:r>
      <w:r w:rsidR="0070539F">
        <w:rPr>
          <w:sz w:val="20"/>
          <w:szCs w:val="20"/>
        </w:rPr>
        <w:t>with</w:t>
      </w:r>
      <w:r w:rsidRPr="00244439">
        <w:rPr>
          <w:sz w:val="20"/>
          <w:szCs w:val="20"/>
        </w:rPr>
        <w:t xml:space="preserve"> or after the transmission of interest, and whose grant/</w:t>
      </w:r>
      <w:r w:rsidR="00183466">
        <w:rPr>
          <w:sz w:val="20"/>
          <w:szCs w:val="20"/>
        </w:rPr>
        <w:t>signal</w:t>
      </w:r>
      <w:r w:rsidR="00183466" w:rsidRPr="00244439">
        <w:rPr>
          <w:sz w:val="20"/>
          <w:szCs w:val="20"/>
        </w:rPr>
        <w:t>ing</w:t>
      </w:r>
      <w:r w:rsidRPr="00244439">
        <w:rPr>
          <w:sz w:val="20"/>
          <w:szCs w:val="20"/>
        </w:rPr>
        <w:t xml:space="preserve"> arrives after </w:t>
      </w:r>
      <w:r w:rsidR="00363FB4" w:rsidRPr="00244439">
        <w:rPr>
          <w:sz w:val="20"/>
          <w:szCs w:val="20"/>
        </w:rPr>
        <w:t>th</w:t>
      </w:r>
      <w:r w:rsidR="00363FB4">
        <w:rPr>
          <w:sz w:val="20"/>
          <w:szCs w:val="20"/>
        </w:rPr>
        <w:t xml:space="preserve">e </w:t>
      </w:r>
      <w:r w:rsidR="0070539F">
        <w:rPr>
          <w:sz w:val="20"/>
          <w:szCs w:val="20"/>
        </w:rPr>
        <w:t>dynamic look-ahead cut-off time for NN</w:t>
      </w:r>
      <w:r w:rsidRPr="00244439">
        <w:rPr>
          <w:sz w:val="20"/>
          <w:szCs w:val="20"/>
        </w:rPr>
        <w:t xml:space="preserve">-DC power control. For these transmissions, that are similar to [i2] transmissions in LTE-DC PCM2, only an MGP is reserved, as no further </w:t>
      </w:r>
      <w:r w:rsidR="0070539F">
        <w:rPr>
          <w:sz w:val="20"/>
          <w:szCs w:val="20"/>
        </w:rPr>
        <w:t>information</w:t>
      </w:r>
      <w:r w:rsidRPr="00244439">
        <w:rPr>
          <w:sz w:val="20"/>
          <w:szCs w:val="20"/>
        </w:rPr>
        <w:t xml:space="preserve"> </w:t>
      </w:r>
      <w:r w:rsidR="0070539F">
        <w:rPr>
          <w:sz w:val="20"/>
          <w:szCs w:val="20"/>
        </w:rPr>
        <w:t>is</w:t>
      </w:r>
      <w:r w:rsidRPr="00244439">
        <w:rPr>
          <w:sz w:val="20"/>
          <w:szCs w:val="20"/>
        </w:rPr>
        <w:t xml:space="preserve"> available to the UE. </w:t>
      </w:r>
    </w:p>
    <w:p w14:paraId="4078A834" w14:textId="151CB717" w:rsidR="008A1B8C" w:rsidRPr="00244439" w:rsidRDefault="008A1B8C" w:rsidP="00F110C6">
      <w:pPr>
        <w:jc w:val="both"/>
        <w:rPr>
          <w:i/>
          <w:iCs/>
        </w:rPr>
      </w:pPr>
      <w:r w:rsidRPr="001842F8">
        <w:rPr>
          <w:b/>
          <w:bCs/>
          <w:i/>
          <w:iCs/>
          <w:u w:val="single"/>
        </w:rPr>
        <w:t>Proposal</w:t>
      </w:r>
      <w:r w:rsidR="006C3E80" w:rsidRPr="001842F8">
        <w:rPr>
          <w:b/>
          <w:bCs/>
          <w:i/>
          <w:iCs/>
          <w:u w:val="single"/>
        </w:rPr>
        <w:t xml:space="preserve"> </w:t>
      </w:r>
      <w:r w:rsidR="00F110C6">
        <w:rPr>
          <w:b/>
          <w:bCs/>
          <w:i/>
          <w:iCs/>
          <w:u w:val="single"/>
        </w:rPr>
        <w:t>3</w:t>
      </w:r>
      <w:r w:rsidRPr="00244439">
        <w:rPr>
          <w:i/>
          <w:iCs/>
        </w:rPr>
        <w:t xml:space="preserve">: </w:t>
      </w:r>
      <w:r w:rsidR="00F110C6">
        <w:rPr>
          <w:i/>
          <w:iCs/>
        </w:rPr>
        <w:t>F</w:t>
      </w:r>
      <w:r w:rsidRPr="00244439">
        <w:rPr>
          <w:i/>
          <w:iCs/>
        </w:rPr>
        <w:t>or power determination of any given UL transmission on a CG</w:t>
      </w:r>
      <w:r w:rsidR="00F110C6">
        <w:rPr>
          <w:i/>
          <w:iCs/>
        </w:rPr>
        <w:t xml:space="preserve"> i</w:t>
      </w:r>
      <w:r w:rsidR="00F110C6" w:rsidRPr="00244439">
        <w:rPr>
          <w:i/>
          <w:iCs/>
        </w:rPr>
        <w:t>n N</w:t>
      </w:r>
      <w:r w:rsidR="00F110C6">
        <w:rPr>
          <w:i/>
          <w:iCs/>
        </w:rPr>
        <w:t>N-DC</w:t>
      </w:r>
      <w:r w:rsidRPr="00244439">
        <w:rPr>
          <w:i/>
          <w:iCs/>
        </w:rPr>
        <w:t>, the UE considers three categories of transmissions based on the start</w:t>
      </w:r>
      <w:r w:rsidR="00F110C6">
        <w:rPr>
          <w:i/>
          <w:iCs/>
        </w:rPr>
        <w:t>ing</w:t>
      </w:r>
      <w:r w:rsidRPr="00244439">
        <w:rPr>
          <w:i/>
          <w:iCs/>
        </w:rPr>
        <w:t xml:space="preserve"> time of the transmission</w:t>
      </w:r>
      <w:r w:rsidR="00F110C6">
        <w:rPr>
          <w:i/>
          <w:iCs/>
        </w:rPr>
        <w:t>s</w:t>
      </w:r>
      <w:r w:rsidRPr="00244439">
        <w:rPr>
          <w:i/>
          <w:iCs/>
        </w:rPr>
        <w:t xml:space="preserve"> a</w:t>
      </w:r>
      <w:r w:rsidR="00F110C6">
        <w:rPr>
          <w:i/>
          <w:iCs/>
        </w:rPr>
        <w:t>nd the cut-off</w:t>
      </w:r>
      <w:r w:rsidRPr="00244439">
        <w:rPr>
          <w:i/>
          <w:iCs/>
        </w:rPr>
        <w:t xml:space="preserve"> time for </w:t>
      </w:r>
      <w:r w:rsidR="00F110C6">
        <w:rPr>
          <w:i/>
          <w:iCs/>
        </w:rPr>
        <w:t>dynamic look-ahead for NN</w:t>
      </w:r>
      <w:r w:rsidRPr="00244439">
        <w:rPr>
          <w:i/>
          <w:iCs/>
        </w:rPr>
        <w:t>-DC power control</w:t>
      </w:r>
      <w:r w:rsidR="0070539F">
        <w:rPr>
          <w:i/>
          <w:iCs/>
        </w:rPr>
        <w:t>.</w:t>
      </w:r>
    </w:p>
    <w:p w14:paraId="6FD9A42F" w14:textId="654DCCB6" w:rsidR="008A1B8C" w:rsidRPr="00244439" w:rsidRDefault="008A1B8C" w:rsidP="00F110C6">
      <w:pPr>
        <w:jc w:val="both"/>
        <w:rPr>
          <w:i/>
          <w:iCs/>
        </w:rPr>
      </w:pPr>
      <w:r w:rsidRPr="001842F8">
        <w:rPr>
          <w:b/>
          <w:bCs/>
          <w:i/>
          <w:iCs/>
          <w:u w:val="single"/>
        </w:rPr>
        <w:t>Proposal</w:t>
      </w:r>
      <w:r w:rsidR="006C3E80" w:rsidRPr="001842F8">
        <w:rPr>
          <w:b/>
          <w:bCs/>
          <w:i/>
          <w:iCs/>
          <w:u w:val="single"/>
        </w:rPr>
        <w:t xml:space="preserve"> </w:t>
      </w:r>
      <w:r w:rsidR="00F110C6">
        <w:rPr>
          <w:b/>
          <w:bCs/>
          <w:i/>
          <w:iCs/>
          <w:u w:val="single"/>
        </w:rPr>
        <w:t>4</w:t>
      </w:r>
      <w:r w:rsidRPr="00244439">
        <w:rPr>
          <w:i/>
          <w:iCs/>
        </w:rPr>
        <w:t>: For N</w:t>
      </w:r>
      <w:r w:rsidR="00F110C6">
        <w:rPr>
          <w:i/>
          <w:iCs/>
        </w:rPr>
        <w:t>N</w:t>
      </w:r>
      <w:r w:rsidRPr="00244439">
        <w:rPr>
          <w:i/>
          <w:iCs/>
        </w:rPr>
        <w:t xml:space="preserve">-DC power control, when </w:t>
      </w:r>
      <w:r w:rsidR="00F110C6">
        <w:rPr>
          <w:i/>
          <w:iCs/>
        </w:rPr>
        <w:t xml:space="preserve">dynamic </w:t>
      </w:r>
      <w:r w:rsidRPr="00244439">
        <w:rPr>
          <w:i/>
          <w:iCs/>
        </w:rPr>
        <w:t xml:space="preserve">look-ahead with appropriate cut-off time is considered, a combination of LTE-DC PCM1 and PCM-2 can be used. </w:t>
      </w:r>
    </w:p>
    <w:p w14:paraId="4852D914" w14:textId="043F993C" w:rsidR="008A1B8C" w:rsidRPr="004F1787" w:rsidRDefault="008A1B8C" w:rsidP="008A1B8C">
      <w:pPr>
        <w:pStyle w:val="Heading2"/>
      </w:pPr>
      <w:r w:rsidRPr="004F1787">
        <w:t>Minim</w:t>
      </w:r>
      <w:r w:rsidR="00F15F03">
        <w:t>um guaranteed power (MGP) for NN</w:t>
      </w:r>
      <w:r w:rsidRPr="004F1787">
        <w:t xml:space="preserve">-DC </w:t>
      </w:r>
    </w:p>
    <w:p w14:paraId="230B01D6" w14:textId="31A23479" w:rsidR="008A1B8C" w:rsidRDefault="00DB5679" w:rsidP="00E45A9A">
      <w:pPr>
        <w:jc w:val="both"/>
      </w:pPr>
      <w:r>
        <w:t xml:space="preserve">Minimum </w:t>
      </w:r>
      <w:r w:rsidR="008A1B8C" w:rsidRPr="000B65DB">
        <w:t xml:space="preserve">guaranteed power (MGP) for a cell group (CG) </w:t>
      </w:r>
      <w:r>
        <w:t>can</w:t>
      </w:r>
      <w:r w:rsidR="008A1B8C" w:rsidRPr="000B65DB">
        <w:t xml:space="preserve"> ensure that no CG is </w:t>
      </w:r>
      <w:r w:rsidR="008A1B8C" w:rsidRPr="005A7B6A">
        <w:t>totally deprived of at least some amount/fraction of the UE transmit power</w:t>
      </w:r>
      <w:r w:rsidR="008A1B8C" w:rsidRPr="000B65DB">
        <w:t xml:space="preserve">. </w:t>
      </w:r>
      <w:r w:rsidR="00E45A9A">
        <w:t xml:space="preserve">In LTE, MGP is defined as an RRC configured fraction (say, γ_CG) of the dual connectivity Pcmax. </w:t>
      </w:r>
      <w:r w:rsidR="008A1B8C" w:rsidRPr="000B65DB">
        <w:t>In 5G NR, due to different n</w:t>
      </w:r>
      <w:r w:rsidR="008A1B8C" w:rsidRPr="00754CEA">
        <w:t xml:space="preserve">umerologies </w:t>
      </w:r>
      <w:r w:rsidR="008A1B8C" w:rsidRPr="005A7B6A">
        <w:t>and processing times</w:t>
      </w:r>
      <w:r w:rsidR="008A1B8C" w:rsidRPr="000B65DB">
        <w:t>, and existence of mini-slots, definition of MGP for NR-DC needs to be revisited.</w:t>
      </w:r>
      <w:r w:rsidR="008A1B8C">
        <w:t xml:space="preserve"> In </w:t>
      </w:r>
      <w:r w:rsidR="0064409B">
        <w:t>particular</w:t>
      </w:r>
      <w:r w:rsidR="008A1B8C">
        <w:t>, it is possible that a transmission on a CG overlaps with multiple transmissions on another CG. At least several options can be considered as below for definition of MGP</w:t>
      </w:r>
      <w:r w:rsidR="00E45A9A">
        <w:t xml:space="preserve"> for NR-DC</w:t>
      </w:r>
      <w:r w:rsidR="008A1B8C">
        <w:t>:</w:t>
      </w:r>
    </w:p>
    <w:p w14:paraId="78524535" w14:textId="5E7FD0BC"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maximum dual connectivity Pcmax </w:t>
      </w:r>
      <w:r w:rsidR="00E45A9A">
        <w:rPr>
          <w:sz w:val="20"/>
          <w:szCs w:val="20"/>
        </w:rPr>
        <w:t xml:space="preserve">values </w:t>
      </w:r>
      <w:r w:rsidRPr="00E613C3">
        <w:rPr>
          <w:sz w:val="20"/>
          <w:szCs w:val="20"/>
        </w:rPr>
        <w:t>across all overlapping transmissions</w:t>
      </w:r>
      <w:r w:rsidR="00CC5802">
        <w:rPr>
          <w:sz w:val="20"/>
          <w:szCs w:val="20"/>
        </w:rPr>
        <w:t>;</w:t>
      </w:r>
    </w:p>
    <w:p w14:paraId="0735F3A0" w14:textId="6877AC3D"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minimum dual connectivity Pcmax </w:t>
      </w:r>
      <w:r w:rsidR="00E45A9A">
        <w:rPr>
          <w:sz w:val="20"/>
          <w:szCs w:val="20"/>
        </w:rPr>
        <w:t xml:space="preserve">values </w:t>
      </w:r>
      <w:r w:rsidRPr="00E613C3">
        <w:rPr>
          <w:sz w:val="20"/>
          <w:szCs w:val="20"/>
        </w:rPr>
        <w:t>across all overlapping transmissions</w:t>
      </w:r>
      <w:r w:rsidR="00CC5802">
        <w:rPr>
          <w:sz w:val="20"/>
          <w:szCs w:val="20"/>
        </w:rPr>
        <w:t>;</w:t>
      </w:r>
    </w:p>
    <w:p w14:paraId="3BCFEDDC" w14:textId="5217883C"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dual connectivity Pcmax </w:t>
      </w:r>
      <w:r w:rsidR="00E45A9A">
        <w:rPr>
          <w:sz w:val="20"/>
          <w:szCs w:val="20"/>
        </w:rPr>
        <w:t xml:space="preserve">value </w:t>
      </w:r>
      <w:r w:rsidRPr="00E613C3">
        <w:rPr>
          <w:sz w:val="20"/>
          <w:szCs w:val="20"/>
        </w:rPr>
        <w:t>across all overlapping transmissions</w:t>
      </w:r>
      <w:r w:rsidR="00CC5802">
        <w:rPr>
          <w:sz w:val="20"/>
          <w:szCs w:val="20"/>
        </w:rPr>
        <w:t>;</w:t>
      </w:r>
    </w:p>
    <w:p w14:paraId="32E4D542" w14:textId="6BD24B19"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dual connectivity Pcmax </w:t>
      </w:r>
      <w:r w:rsidR="00E45A9A">
        <w:rPr>
          <w:sz w:val="20"/>
          <w:szCs w:val="20"/>
        </w:rPr>
        <w:t xml:space="preserve">value </w:t>
      </w:r>
      <w:r w:rsidRPr="00E613C3">
        <w:rPr>
          <w:sz w:val="20"/>
          <w:szCs w:val="20"/>
        </w:rPr>
        <w:t>for the transmission with the highest L1 priority level across all overlapping transmissions</w:t>
      </w:r>
      <w:r w:rsidR="00CC5802">
        <w:rPr>
          <w:sz w:val="20"/>
          <w:szCs w:val="20"/>
        </w:rPr>
        <w:t>.</w:t>
      </w:r>
    </w:p>
    <w:p w14:paraId="0FD611A2" w14:textId="7C6508E1" w:rsidR="008A1B8C" w:rsidRDefault="008A1B8C" w:rsidP="00CC5802">
      <w:pPr>
        <w:jc w:val="both"/>
      </w:pPr>
      <w:r>
        <w:t>We believe that</w:t>
      </w:r>
      <w:r w:rsidR="00CC5802">
        <w:t xml:space="preserve"> Option (d) is the best option</w:t>
      </w:r>
      <w:r w:rsidR="006421D4">
        <w:t xml:space="preserve"> </w:t>
      </w:r>
      <w:r w:rsidR="00CC5802">
        <w:t>since</w:t>
      </w:r>
      <w:r>
        <w:t xml:space="preserve"> </w:t>
      </w:r>
      <w:r w:rsidR="00CC5802">
        <w:t>it decreases</w:t>
      </w:r>
      <w:r>
        <w:t xml:space="preserve"> UE complexity and also guarantees that at least the most important transmission will be successfully communicated. Note that, </w:t>
      </w:r>
      <w:r w:rsidRPr="00E613C3">
        <w:t>dual connectivity Pcmax</w:t>
      </w:r>
      <w:r>
        <w:t xml:space="preserve"> can be only computed for those overlapping transmissions whose details are known to the UE</w:t>
      </w:r>
      <w:r w:rsidR="00CC5802">
        <w:t xml:space="preserve"> early enough, i.e., before the cut-off time</w:t>
      </w:r>
      <w:r>
        <w:t>, e.g., Category 0 and Category 1 transmissions</w:t>
      </w:r>
      <w:r w:rsidR="00CC5802">
        <w:t xml:space="preserve"> as defined above</w:t>
      </w:r>
      <w:r>
        <w:t>.</w:t>
      </w:r>
    </w:p>
    <w:p w14:paraId="1C393F38" w14:textId="474408AA" w:rsidR="008A1B8C" w:rsidRDefault="008A1B8C" w:rsidP="00CC5802">
      <w:pPr>
        <w:jc w:val="both"/>
      </w:pPr>
      <w:r w:rsidRPr="001C54D2">
        <w:rPr>
          <w:b/>
          <w:bCs/>
          <w:i/>
          <w:iCs/>
          <w:u w:val="single"/>
        </w:rPr>
        <w:t>Proposal</w:t>
      </w:r>
      <w:r w:rsidR="006C3E80">
        <w:rPr>
          <w:b/>
          <w:bCs/>
          <w:i/>
          <w:iCs/>
          <w:u w:val="single"/>
        </w:rPr>
        <w:t xml:space="preserve"> </w:t>
      </w:r>
      <w:r w:rsidR="006421D4">
        <w:rPr>
          <w:b/>
          <w:bCs/>
          <w:i/>
          <w:iCs/>
          <w:u w:val="single"/>
        </w:rPr>
        <w:t>5</w:t>
      </w:r>
      <w:r>
        <w:t xml:space="preserve">: </w:t>
      </w:r>
      <w:r w:rsidR="00CC5802">
        <w:rPr>
          <w:i/>
          <w:iCs/>
        </w:rPr>
        <w:t>In NN</w:t>
      </w:r>
      <w:r w:rsidRPr="00E613C3">
        <w:rPr>
          <w:i/>
          <w:iCs/>
        </w:rPr>
        <w:t xml:space="preserve">-DC, in the case of multiple </w:t>
      </w:r>
      <w:r w:rsidR="00CC5802" w:rsidRPr="00E613C3">
        <w:rPr>
          <w:i/>
          <w:iCs/>
        </w:rPr>
        <w:t>transmissions</w:t>
      </w:r>
      <w:r w:rsidR="00CC5802">
        <w:rPr>
          <w:i/>
          <w:iCs/>
        </w:rPr>
        <w:t xml:space="preserve"> </w:t>
      </w:r>
      <w:r w:rsidRPr="00E613C3">
        <w:rPr>
          <w:i/>
          <w:iCs/>
        </w:rPr>
        <w:t xml:space="preserve">overlapping </w:t>
      </w:r>
      <w:r w:rsidR="00CC5802">
        <w:rPr>
          <w:i/>
          <w:iCs/>
        </w:rPr>
        <w:t>with a given uplink transmission</w:t>
      </w:r>
      <w:r w:rsidRPr="00E613C3">
        <w:rPr>
          <w:i/>
          <w:iCs/>
        </w:rPr>
        <w:t xml:space="preserve">, MGP is defined as an RRC configured fraction of the dual connectivity Pcmax for the transmission with the highest L1 priority level </w:t>
      </w:r>
      <w:r w:rsidR="00CC5802">
        <w:rPr>
          <w:i/>
          <w:iCs/>
        </w:rPr>
        <w:t>among</w:t>
      </w:r>
      <w:r w:rsidRPr="00E613C3">
        <w:rPr>
          <w:i/>
          <w:iCs/>
        </w:rPr>
        <w:t xml:space="preserve"> all overlapping transmissions whose transmission details are known to the UE</w:t>
      </w:r>
      <w:r w:rsidR="00CC5802">
        <w:rPr>
          <w:i/>
          <w:iCs/>
        </w:rPr>
        <w:t xml:space="preserve"> early enough</w:t>
      </w:r>
      <w:r w:rsidRPr="00E613C3">
        <w:rPr>
          <w:i/>
          <w:iCs/>
        </w:rPr>
        <w:t>.</w:t>
      </w:r>
      <w:r>
        <w:t xml:space="preserve"> </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lastRenderedPageBreak/>
        <w:t>Conclusion</w:t>
      </w:r>
    </w:p>
    <w:p w14:paraId="5A7A592D" w14:textId="79085A12" w:rsidR="009A0B47" w:rsidRDefault="007E5B46" w:rsidP="00440A3E">
      <w:pPr>
        <w:jc w:val="both"/>
        <w:rPr>
          <w:lang w:eastAsia="ja-JP"/>
        </w:rPr>
      </w:pPr>
      <w:r>
        <w:t xml:space="preserve">In summary, </w:t>
      </w:r>
      <w:r>
        <w:rPr>
          <w:lang w:eastAsia="ja-JP"/>
        </w:rPr>
        <w:t>we propose the followings for</w:t>
      </w:r>
      <w:r w:rsidR="00CC5802">
        <w:rPr>
          <w:lang w:eastAsia="ja-JP"/>
        </w:rPr>
        <w:t xml:space="preserve"> NN</w:t>
      </w:r>
      <w:r w:rsidR="00440A3E">
        <w:rPr>
          <w:lang w:eastAsia="ja-JP"/>
        </w:rPr>
        <w:t>-DC</w:t>
      </w:r>
      <w:r>
        <w:rPr>
          <w:lang w:eastAsia="ja-JP"/>
        </w:rPr>
        <w:t xml:space="preserve"> power control:</w:t>
      </w:r>
    </w:p>
    <w:p w14:paraId="5074511C" w14:textId="77777777" w:rsidR="00CC5802" w:rsidRPr="007C70FA" w:rsidRDefault="00CC5802" w:rsidP="00CC5802">
      <w:pPr>
        <w:jc w:val="both"/>
        <w:rPr>
          <w:iCs/>
        </w:rPr>
      </w:pPr>
      <w:r w:rsidRPr="007C70FA">
        <w:rPr>
          <w:b/>
          <w:bCs/>
          <w:iCs/>
          <w:u w:val="single"/>
        </w:rPr>
        <w:t>Proposal 1</w:t>
      </w:r>
      <w:r w:rsidRPr="007C70FA">
        <w:rPr>
          <w:iCs/>
        </w:rPr>
        <w:t xml:space="preserve">: In NN-DC, power determination of any given UL transmission on a CG can be based on dynamic “look-ahead”, so that UE can take into account other UL transmissions before a certain “cut-off” time. </w:t>
      </w:r>
    </w:p>
    <w:p w14:paraId="195880A8" w14:textId="03EEB851" w:rsidR="00CC5802" w:rsidRPr="007C70FA" w:rsidRDefault="00CC5802" w:rsidP="00CC5802">
      <w:pPr>
        <w:jc w:val="both"/>
        <w:rPr>
          <w:iCs/>
        </w:rPr>
      </w:pPr>
      <w:r w:rsidRPr="007C70FA">
        <w:rPr>
          <w:b/>
          <w:bCs/>
          <w:iCs/>
          <w:u w:val="single"/>
        </w:rPr>
        <w:t>Proposal 2</w:t>
      </w:r>
      <w:r w:rsidRPr="007C70FA">
        <w:rPr>
          <w:iCs/>
        </w:rPr>
        <w:t xml:space="preserve">: The cut-off time for power determination in NN-DC </w:t>
      </w:r>
      <w:r w:rsidR="00212B5E" w:rsidRPr="007C70FA">
        <w:rPr>
          <w:iCs/>
        </w:rPr>
        <w:t>and the degree of aggressiveness of the cut-off time relative to the uplink transmission time needs to be further studied</w:t>
      </w:r>
      <w:r w:rsidRPr="007C70FA">
        <w:rPr>
          <w:iCs/>
        </w:rPr>
        <w:t xml:space="preserve">. </w:t>
      </w:r>
    </w:p>
    <w:p w14:paraId="2552E56B" w14:textId="77777777" w:rsidR="00CC5802" w:rsidRPr="007C70FA" w:rsidRDefault="00CC5802" w:rsidP="00CC5802">
      <w:pPr>
        <w:jc w:val="both"/>
        <w:rPr>
          <w:iCs/>
        </w:rPr>
      </w:pPr>
      <w:r w:rsidRPr="007C70FA">
        <w:rPr>
          <w:b/>
          <w:bCs/>
          <w:iCs/>
          <w:u w:val="single"/>
        </w:rPr>
        <w:t>Proposal 3</w:t>
      </w:r>
      <w:r w:rsidRPr="007C70FA">
        <w:rPr>
          <w:iCs/>
        </w:rPr>
        <w:t>: For power determination of any given UL transmission on a CG in NN-DC, the UE considers three categories of transmissions based on the starting time of the transmissions and the cut-off time for dynamic look-ahead for NN-DC power control.</w:t>
      </w:r>
    </w:p>
    <w:p w14:paraId="7837FEA7" w14:textId="77777777" w:rsidR="00CC5802" w:rsidRPr="007C70FA" w:rsidRDefault="00CC5802" w:rsidP="00CC5802">
      <w:pPr>
        <w:jc w:val="both"/>
        <w:rPr>
          <w:iCs/>
        </w:rPr>
      </w:pPr>
      <w:r w:rsidRPr="007C70FA">
        <w:rPr>
          <w:b/>
          <w:bCs/>
          <w:iCs/>
          <w:u w:val="single"/>
        </w:rPr>
        <w:t>Proposal 4</w:t>
      </w:r>
      <w:r w:rsidRPr="007C70FA">
        <w:rPr>
          <w:iCs/>
        </w:rPr>
        <w:t xml:space="preserve">: For NN-DC power control, when dynamic look-ahead with appropriate cut-off time is considered, a combination of LTE-DC PCM1 and PCM-2 can be used. </w:t>
      </w:r>
    </w:p>
    <w:p w14:paraId="57E92992" w14:textId="77777777" w:rsidR="00CC5802" w:rsidRPr="00212B5E" w:rsidRDefault="00CC5802" w:rsidP="00CC5802">
      <w:pPr>
        <w:jc w:val="both"/>
      </w:pPr>
      <w:r w:rsidRPr="007C70FA">
        <w:rPr>
          <w:b/>
          <w:bCs/>
          <w:iCs/>
          <w:u w:val="single"/>
        </w:rPr>
        <w:t>Proposal 5</w:t>
      </w:r>
      <w:r w:rsidRPr="00212B5E">
        <w:t xml:space="preserve">: </w:t>
      </w:r>
      <w:r w:rsidRPr="007C70FA">
        <w:rPr>
          <w:iCs/>
        </w:rPr>
        <w:t>In NN-DC, in the case of multiple transmissions overlapping with a given uplink transmission, MGP is defined as an RRC configured fraction of the dual connectivity Pcmax for the transmission with the highest L1 priority level among all overlapping transmissions whose transmission details are known to the UE early enough.</w:t>
      </w:r>
      <w:r w:rsidRPr="00212B5E">
        <w:t xml:space="preserve">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29A442F6" w14:textId="60D5B041" w:rsidR="00471619" w:rsidRPr="00FB5ACA" w:rsidRDefault="00471619" w:rsidP="00C81DF6">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sidR="00C81DF6">
        <w:rPr>
          <w:bCs/>
        </w:rPr>
        <w:t>”, Rel. 15, v15.4</w:t>
      </w:r>
      <w:r>
        <w:rPr>
          <w:bCs/>
        </w:rPr>
        <w:t xml:space="preserve">.0, </w:t>
      </w:r>
      <w:r w:rsidR="00C81DF6">
        <w:rPr>
          <w:bCs/>
        </w:rPr>
        <w:t>December</w:t>
      </w:r>
      <w:r w:rsidR="00930753">
        <w:rPr>
          <w:bCs/>
        </w:rPr>
        <w:t xml:space="preserve"> </w:t>
      </w:r>
      <w:r>
        <w:rPr>
          <w:bCs/>
        </w:rPr>
        <w:t>2018.</w:t>
      </w:r>
    </w:p>
    <w:p w14:paraId="7AD65219" w14:textId="215E5566" w:rsidR="003A2E14" w:rsidRPr="00566CDD" w:rsidRDefault="00D9389C" w:rsidP="00D9389C">
      <w:pPr>
        <w:numPr>
          <w:ilvl w:val="0"/>
          <w:numId w:val="2"/>
        </w:numPr>
        <w:jc w:val="both"/>
        <w:rPr>
          <w:lang w:bidi="en-US"/>
        </w:rPr>
      </w:pPr>
      <w:r w:rsidRPr="00D9389C">
        <w:rPr>
          <w:lang w:bidi="en-US"/>
        </w:rPr>
        <w:t>RP-182076</w:t>
      </w:r>
      <w:r w:rsidR="003A2E14">
        <w:rPr>
          <w:lang w:bidi="en-US"/>
        </w:rPr>
        <w:t xml:space="preserve">, </w:t>
      </w:r>
      <w:r w:rsidR="003A2E14">
        <w:rPr>
          <w:bCs/>
        </w:rPr>
        <w:t>“</w:t>
      </w:r>
      <w:r w:rsidRPr="00D9389C">
        <w:rPr>
          <w:bCs/>
        </w:rPr>
        <w:t>WID on Multi-RAT Dual-Connectivity and Carrier Aggregation enhancements (LTE_NR_DC_CA_enh-Core)</w:t>
      </w:r>
      <w:r w:rsidR="003A2E14">
        <w:rPr>
          <w:bCs/>
        </w:rPr>
        <w:t xml:space="preserve">”, </w:t>
      </w:r>
      <w:r>
        <w:rPr>
          <w:bCs/>
        </w:rPr>
        <w:t xml:space="preserve">RAN Plenary </w:t>
      </w:r>
      <w:r w:rsidRPr="00D9389C">
        <w:rPr>
          <w:bCs/>
        </w:rPr>
        <w:t>RAN#81</w:t>
      </w:r>
      <w:r w:rsidR="003A2E14">
        <w:rPr>
          <w:bCs/>
        </w:rPr>
        <w:t xml:space="preserve">, </w:t>
      </w:r>
      <w:r>
        <w:rPr>
          <w:bCs/>
        </w:rPr>
        <w:t>September</w:t>
      </w:r>
      <w:r w:rsidR="003A2E14">
        <w:rPr>
          <w:bCs/>
        </w:rPr>
        <w:t xml:space="preserve"> 2018.</w:t>
      </w:r>
    </w:p>
    <w:p w14:paraId="1D5F4225" w14:textId="5840DB5F" w:rsidR="003A2E14" w:rsidRPr="00FB5ACA" w:rsidRDefault="00953A0C" w:rsidP="00CE6147">
      <w:pPr>
        <w:numPr>
          <w:ilvl w:val="0"/>
          <w:numId w:val="2"/>
        </w:numPr>
        <w:jc w:val="both"/>
        <w:rPr>
          <w:lang w:bidi="en-US"/>
        </w:rPr>
      </w:pPr>
      <w:r>
        <w:rPr>
          <w:lang w:bidi="en-US"/>
        </w:rPr>
        <w:t>TS 36.213</w:t>
      </w:r>
      <w:r w:rsidR="003A2E14">
        <w:rPr>
          <w:lang w:bidi="en-US"/>
        </w:rPr>
        <w:t xml:space="preserve">, </w:t>
      </w:r>
      <w:r w:rsidR="003A2E14">
        <w:rPr>
          <w:bCs/>
        </w:rPr>
        <w:t>“</w:t>
      </w:r>
      <w:r>
        <w:rPr>
          <w:bCs/>
        </w:rPr>
        <w:t>EUTRA</w:t>
      </w:r>
      <w:r w:rsidR="003A2E14">
        <w:rPr>
          <w:bCs/>
        </w:rPr>
        <w:t>,</w:t>
      </w:r>
      <w:r>
        <w:rPr>
          <w:bCs/>
        </w:rPr>
        <w:t xml:space="preserve"> Physical layer procedures</w:t>
      </w:r>
      <w:r w:rsidR="00CE6147">
        <w:rPr>
          <w:bCs/>
        </w:rPr>
        <w:t>”, Rel. 15, v15.4</w:t>
      </w:r>
      <w:r w:rsidR="003A2E14">
        <w:rPr>
          <w:bCs/>
        </w:rPr>
        <w:t xml:space="preserve">.0, </w:t>
      </w:r>
      <w:r w:rsidR="00CE6147">
        <w:rPr>
          <w:bCs/>
        </w:rPr>
        <w:t>December</w:t>
      </w:r>
      <w:r w:rsidR="003A2E14">
        <w:rPr>
          <w:bCs/>
        </w:rPr>
        <w:t xml:space="preserve"> 2018.</w:t>
      </w:r>
    </w:p>
    <w:p w14:paraId="447F7B81" w14:textId="77777777" w:rsidR="00DB3F78" w:rsidRDefault="00DB3F78" w:rsidP="00DB3F78">
      <w:pPr>
        <w:numPr>
          <w:ilvl w:val="0"/>
          <w:numId w:val="2"/>
        </w:numPr>
        <w:jc w:val="both"/>
        <w:rPr>
          <w:lang w:bidi="en-US"/>
        </w:rPr>
      </w:pPr>
      <w:r w:rsidRPr="00166EF4">
        <w:rPr>
          <w:lang w:bidi="en-US"/>
        </w:rPr>
        <w:t>R1-1808676</w:t>
      </w:r>
      <w:r>
        <w:rPr>
          <w:lang w:bidi="en-US"/>
        </w:rPr>
        <w:t>, “</w:t>
      </w:r>
      <w:r w:rsidRPr="00166EF4">
        <w:rPr>
          <w:lang w:bidi="en-US"/>
        </w:rPr>
        <w:t>Remaining Issues on UL Power Control</w:t>
      </w:r>
      <w:r>
        <w:rPr>
          <w:lang w:bidi="en-US"/>
        </w:rPr>
        <w:t>,” Intel, RAN1#94, Gothenburg, Sweden, August 2018.</w:t>
      </w:r>
    </w:p>
    <w:p w14:paraId="69B1E425" w14:textId="77777777" w:rsidR="00DB3F78" w:rsidRDefault="00DB3F78" w:rsidP="00DB3F78">
      <w:pPr>
        <w:numPr>
          <w:ilvl w:val="0"/>
          <w:numId w:val="2"/>
        </w:numPr>
        <w:jc w:val="both"/>
        <w:rPr>
          <w:lang w:bidi="en-US"/>
        </w:rPr>
      </w:pPr>
      <w:r w:rsidRPr="00B91F1E">
        <w:rPr>
          <w:lang w:bidi="en-US"/>
        </w:rPr>
        <w:t>R1-1808384</w:t>
      </w:r>
      <w:r>
        <w:rPr>
          <w:lang w:bidi="en-US"/>
        </w:rPr>
        <w:t>, “</w:t>
      </w:r>
      <w:r w:rsidRPr="00B91F1E">
        <w:rPr>
          <w:lang w:bidi="en-US"/>
        </w:rPr>
        <w:t>Remaining Issues of NR Power Control</w:t>
      </w:r>
      <w:r>
        <w:rPr>
          <w:lang w:bidi="en-US"/>
        </w:rPr>
        <w:t>,” CATT, RAN1#94, Gothenburg, Sweden, August 2018.</w:t>
      </w:r>
    </w:p>
    <w:p w14:paraId="688A48F0" w14:textId="77777777" w:rsidR="00DB3F78" w:rsidRDefault="00DB3F78" w:rsidP="00DB3F78">
      <w:pPr>
        <w:numPr>
          <w:ilvl w:val="0"/>
          <w:numId w:val="2"/>
        </w:numPr>
        <w:jc w:val="both"/>
        <w:rPr>
          <w:lang w:bidi="en-US"/>
        </w:rPr>
      </w:pPr>
      <w:r w:rsidRPr="00A5291A">
        <w:rPr>
          <w:lang w:bidi="en-US"/>
        </w:rPr>
        <w:t>R1-1808758</w:t>
      </w:r>
      <w:r>
        <w:rPr>
          <w:lang w:bidi="en-US"/>
        </w:rPr>
        <w:t>, “</w:t>
      </w:r>
      <w:r w:rsidRPr="00A5291A">
        <w:rPr>
          <w:lang w:bidi="en-US"/>
        </w:rPr>
        <w:t>Remaining Issues on UL Power Control</w:t>
      </w:r>
      <w:r>
        <w:rPr>
          <w:lang w:bidi="en-US"/>
        </w:rPr>
        <w:t>,” Samsung, RAN1#94, Gothenburg, Sweden, August 2018.</w:t>
      </w:r>
    </w:p>
    <w:p w14:paraId="1C1D15CD" w14:textId="77777777" w:rsidR="00DB3F78" w:rsidRDefault="00DB3F78" w:rsidP="00DB3F78">
      <w:pPr>
        <w:numPr>
          <w:ilvl w:val="0"/>
          <w:numId w:val="2"/>
        </w:numPr>
        <w:jc w:val="both"/>
        <w:rPr>
          <w:lang w:bidi="en-US"/>
        </w:rPr>
      </w:pPr>
      <w:r w:rsidRPr="00166EF4">
        <w:rPr>
          <w:lang w:bidi="en-US"/>
        </w:rPr>
        <w:t>R1-1809074</w:t>
      </w:r>
      <w:r>
        <w:rPr>
          <w:lang w:bidi="en-US"/>
        </w:rPr>
        <w:t>, “</w:t>
      </w:r>
      <w:r w:rsidRPr="00166EF4">
        <w:rPr>
          <w:lang w:bidi="en-US"/>
        </w:rPr>
        <w:t>On Details of Power Control for Synchronous NR-NR DC</w:t>
      </w:r>
      <w:r>
        <w:rPr>
          <w:lang w:bidi="en-US"/>
        </w:rPr>
        <w:t>,” AT&amp;T, RAN1#94, Gothenburg, Sweden, August 2018.</w:t>
      </w:r>
    </w:p>
    <w:p w14:paraId="22DA218E" w14:textId="77777777" w:rsidR="00DB3F78" w:rsidRDefault="00DB3F78" w:rsidP="00DB3F78">
      <w:pPr>
        <w:numPr>
          <w:ilvl w:val="0"/>
          <w:numId w:val="2"/>
        </w:numPr>
        <w:jc w:val="both"/>
        <w:rPr>
          <w:lang w:bidi="en-US"/>
        </w:rPr>
      </w:pPr>
      <w:r w:rsidRPr="00894990">
        <w:rPr>
          <w:lang w:bidi="en-US"/>
        </w:rPr>
        <w:t>R1-1808200</w:t>
      </w:r>
      <w:r>
        <w:rPr>
          <w:lang w:bidi="en-US"/>
        </w:rPr>
        <w:t>, “</w:t>
      </w:r>
      <w:r w:rsidRPr="00894990">
        <w:rPr>
          <w:lang w:bidi="en-US"/>
        </w:rPr>
        <w:t>Maintenance for UL power control</w:t>
      </w:r>
      <w:r>
        <w:rPr>
          <w:lang w:bidi="en-US"/>
        </w:rPr>
        <w:t>,” ZTE, RAN1#94, Gothenburg, Sweden, August 2018.</w:t>
      </w:r>
    </w:p>
    <w:p w14:paraId="3332CF6B" w14:textId="6D8A99C2" w:rsidR="00CE6147" w:rsidRPr="00FB5ACA" w:rsidRDefault="00CE6147" w:rsidP="00CE6147">
      <w:pPr>
        <w:numPr>
          <w:ilvl w:val="0"/>
          <w:numId w:val="2"/>
        </w:numPr>
        <w:jc w:val="both"/>
        <w:rPr>
          <w:lang w:bidi="en-US"/>
        </w:rPr>
      </w:pPr>
      <w:r>
        <w:rPr>
          <w:lang w:bidi="en-US"/>
        </w:rPr>
        <w:t xml:space="preserve">TS 38.214, </w:t>
      </w:r>
      <w:r>
        <w:rPr>
          <w:bCs/>
        </w:rPr>
        <w:t>“</w:t>
      </w:r>
      <w:r w:rsidRPr="00982ECF">
        <w:rPr>
          <w:bCs/>
        </w:rPr>
        <w:t>NR</w:t>
      </w:r>
      <w:r>
        <w:rPr>
          <w:bCs/>
        </w:rPr>
        <w:t>,</w:t>
      </w:r>
      <w:r w:rsidRPr="00982ECF">
        <w:rPr>
          <w:bCs/>
        </w:rPr>
        <w:t xml:space="preserve"> Physical layer procedures for </w:t>
      </w:r>
      <w:r>
        <w:rPr>
          <w:bCs/>
        </w:rPr>
        <w:t>data”, Rel. 15, v15.4.0, December 2018.</w:t>
      </w:r>
    </w:p>
    <w:p w14:paraId="6DCD4552" w14:textId="3861B68B" w:rsidR="003A2E14" w:rsidRDefault="00866355" w:rsidP="00CC5802">
      <w:pPr>
        <w:numPr>
          <w:ilvl w:val="0"/>
          <w:numId w:val="2"/>
        </w:numPr>
        <w:jc w:val="both"/>
        <w:rPr>
          <w:lang w:bidi="en-US"/>
        </w:rPr>
      </w:pPr>
      <w:r>
        <w:rPr>
          <w:lang w:bidi="en-US"/>
        </w:rPr>
        <w:t xml:space="preserve">TS 38.211, </w:t>
      </w:r>
      <w:r>
        <w:rPr>
          <w:bCs/>
        </w:rPr>
        <w:t>“</w:t>
      </w:r>
      <w:r>
        <w:t>NR</w:t>
      </w:r>
      <w:r w:rsidRPr="0023299F">
        <w:t>;</w:t>
      </w:r>
      <w:r w:rsidRPr="00982ECF">
        <w:rPr>
          <w:bCs/>
        </w:rPr>
        <w:t xml:space="preserve"> </w:t>
      </w:r>
      <w:r w:rsidRPr="008618A9">
        <w:rPr>
          <w:bCs/>
        </w:rPr>
        <w:t>Physical channels and modulation</w:t>
      </w:r>
      <w:r>
        <w:rPr>
          <w:bCs/>
        </w:rPr>
        <w:t xml:space="preserve">”, Rel. 15, </w:t>
      </w:r>
      <w:r w:rsidR="00CE6147">
        <w:rPr>
          <w:bCs/>
        </w:rPr>
        <w:t>v15.4</w:t>
      </w:r>
      <w:r>
        <w:rPr>
          <w:bCs/>
        </w:rPr>
        <w:t xml:space="preserve">.0, </w:t>
      </w:r>
      <w:r w:rsidR="00CE6147">
        <w:rPr>
          <w:bCs/>
        </w:rPr>
        <w:t xml:space="preserve">December </w:t>
      </w:r>
      <w:r>
        <w:rPr>
          <w:bCs/>
        </w:rPr>
        <w:t>2018.</w:t>
      </w:r>
    </w:p>
    <w:sectPr w:rsidR="003A2E14" w:rsidSect="00BC384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43927" w14:textId="77777777" w:rsidR="0098226F" w:rsidRDefault="0098226F" w:rsidP="0050200A">
      <w:pPr>
        <w:spacing w:after="0"/>
      </w:pPr>
      <w:r>
        <w:separator/>
      </w:r>
    </w:p>
  </w:endnote>
  <w:endnote w:type="continuationSeparator" w:id="0">
    <w:p w14:paraId="16F839A0" w14:textId="77777777" w:rsidR="0098226F" w:rsidRDefault="0098226F"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C9085C" w:rsidRDefault="00C90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C9085C" w:rsidRDefault="00C90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C9085C" w:rsidRDefault="00C90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21163" w14:textId="77777777" w:rsidR="0098226F" w:rsidRDefault="0098226F" w:rsidP="0050200A">
      <w:pPr>
        <w:spacing w:after="0"/>
      </w:pPr>
      <w:r>
        <w:separator/>
      </w:r>
    </w:p>
  </w:footnote>
  <w:footnote w:type="continuationSeparator" w:id="0">
    <w:p w14:paraId="3A37F27E" w14:textId="77777777" w:rsidR="0098226F" w:rsidRDefault="0098226F"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C9085C" w:rsidRDefault="00C908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C9085C" w:rsidRDefault="00C90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C9085C" w:rsidRDefault="00C90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7DDD"/>
    <w:multiLevelType w:val="hybridMultilevel"/>
    <w:tmpl w:val="5A6EA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CA7298"/>
    <w:multiLevelType w:val="hybridMultilevel"/>
    <w:tmpl w:val="0A7CB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AFA71C2"/>
    <w:multiLevelType w:val="hybridMultilevel"/>
    <w:tmpl w:val="1BC22E6A"/>
    <w:lvl w:ilvl="0" w:tplc="B3B262BE">
      <w:start w:val="1"/>
      <w:numFmt w:val="bullet"/>
      <w:lvlText w:val="•"/>
      <w:lvlJc w:val="left"/>
      <w:pPr>
        <w:tabs>
          <w:tab w:val="num" w:pos="360"/>
        </w:tabs>
        <w:ind w:left="360" w:hanging="360"/>
      </w:pPr>
      <w:rPr>
        <w:rFonts w:ascii="Arial" w:hAnsi="Arial" w:hint="default"/>
      </w:rPr>
    </w:lvl>
    <w:lvl w:ilvl="1" w:tplc="98B02712">
      <w:start w:val="80"/>
      <w:numFmt w:val="bullet"/>
      <w:lvlText w:val=""/>
      <w:lvlJc w:val="left"/>
      <w:pPr>
        <w:tabs>
          <w:tab w:val="num" w:pos="1080"/>
        </w:tabs>
        <w:ind w:left="1080" w:hanging="360"/>
      </w:pPr>
      <w:rPr>
        <w:rFonts w:ascii="Wingdings" w:hAnsi="Wingdings" w:hint="default"/>
      </w:rPr>
    </w:lvl>
    <w:lvl w:ilvl="2" w:tplc="3FA85D88">
      <w:start w:val="80"/>
      <w:numFmt w:val="bullet"/>
      <w:lvlText w:val=""/>
      <w:lvlJc w:val="left"/>
      <w:pPr>
        <w:tabs>
          <w:tab w:val="num" w:pos="1800"/>
        </w:tabs>
        <w:ind w:left="1800" w:hanging="360"/>
      </w:pPr>
      <w:rPr>
        <w:rFonts w:ascii="Wingdings" w:hAnsi="Wingdings" w:hint="default"/>
      </w:rPr>
    </w:lvl>
    <w:lvl w:ilvl="3" w:tplc="D7DC97FE">
      <w:numFmt w:val="bullet"/>
      <w:lvlText w:val="-"/>
      <w:lvlJc w:val="left"/>
      <w:pPr>
        <w:ind w:left="2520" w:hanging="360"/>
      </w:pPr>
      <w:rPr>
        <w:rFonts w:ascii="Calibri" w:eastAsiaTheme="minorEastAsia" w:hAnsi="Calibri" w:cstheme="minorBidi" w:hint="default"/>
      </w:rPr>
    </w:lvl>
    <w:lvl w:ilvl="4" w:tplc="FCB0B9FA" w:tentative="1">
      <w:start w:val="1"/>
      <w:numFmt w:val="bullet"/>
      <w:lvlText w:val="•"/>
      <w:lvlJc w:val="left"/>
      <w:pPr>
        <w:tabs>
          <w:tab w:val="num" w:pos="3240"/>
        </w:tabs>
        <w:ind w:left="3240" w:hanging="360"/>
      </w:pPr>
      <w:rPr>
        <w:rFonts w:ascii="Arial" w:hAnsi="Arial" w:hint="default"/>
      </w:rPr>
    </w:lvl>
    <w:lvl w:ilvl="5" w:tplc="5024C624" w:tentative="1">
      <w:start w:val="1"/>
      <w:numFmt w:val="bullet"/>
      <w:lvlText w:val="•"/>
      <w:lvlJc w:val="left"/>
      <w:pPr>
        <w:tabs>
          <w:tab w:val="num" w:pos="3960"/>
        </w:tabs>
        <w:ind w:left="3960" w:hanging="360"/>
      </w:pPr>
      <w:rPr>
        <w:rFonts w:ascii="Arial" w:hAnsi="Arial" w:hint="default"/>
      </w:rPr>
    </w:lvl>
    <w:lvl w:ilvl="6" w:tplc="E280E3C2" w:tentative="1">
      <w:start w:val="1"/>
      <w:numFmt w:val="bullet"/>
      <w:lvlText w:val="•"/>
      <w:lvlJc w:val="left"/>
      <w:pPr>
        <w:tabs>
          <w:tab w:val="num" w:pos="4680"/>
        </w:tabs>
        <w:ind w:left="4680" w:hanging="360"/>
      </w:pPr>
      <w:rPr>
        <w:rFonts w:ascii="Arial" w:hAnsi="Arial" w:hint="default"/>
      </w:rPr>
    </w:lvl>
    <w:lvl w:ilvl="7" w:tplc="21FC4A04" w:tentative="1">
      <w:start w:val="1"/>
      <w:numFmt w:val="bullet"/>
      <w:lvlText w:val="•"/>
      <w:lvlJc w:val="left"/>
      <w:pPr>
        <w:tabs>
          <w:tab w:val="num" w:pos="5400"/>
        </w:tabs>
        <w:ind w:left="5400" w:hanging="360"/>
      </w:pPr>
      <w:rPr>
        <w:rFonts w:ascii="Arial" w:hAnsi="Arial" w:hint="default"/>
      </w:rPr>
    </w:lvl>
    <w:lvl w:ilvl="8" w:tplc="06006D1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6B642BD"/>
    <w:multiLevelType w:val="hybridMultilevel"/>
    <w:tmpl w:val="FEEE7D4E"/>
    <w:lvl w:ilvl="0" w:tplc="9CD65EF0">
      <w:start w:val="1"/>
      <w:numFmt w:val="bullet"/>
      <w:lvlText w:val="•"/>
      <w:lvlJc w:val="left"/>
      <w:pPr>
        <w:tabs>
          <w:tab w:val="num" w:pos="720"/>
        </w:tabs>
        <w:ind w:left="720" w:hanging="360"/>
      </w:pPr>
      <w:rPr>
        <w:rFonts w:ascii="Arial" w:hAnsi="Arial" w:hint="default"/>
      </w:rPr>
    </w:lvl>
    <w:lvl w:ilvl="1" w:tplc="7B08703A">
      <w:start w:val="80"/>
      <w:numFmt w:val="bullet"/>
      <w:lvlText w:val="•"/>
      <w:lvlJc w:val="left"/>
      <w:pPr>
        <w:tabs>
          <w:tab w:val="num" w:pos="1440"/>
        </w:tabs>
        <w:ind w:left="1440" w:hanging="360"/>
      </w:pPr>
      <w:rPr>
        <w:rFonts w:ascii="Arial" w:hAnsi="Arial" w:hint="default"/>
      </w:rPr>
    </w:lvl>
    <w:lvl w:ilvl="2" w:tplc="E320CC5A">
      <w:start w:val="80"/>
      <w:numFmt w:val="bullet"/>
      <w:lvlText w:val=""/>
      <w:lvlJc w:val="left"/>
      <w:pPr>
        <w:tabs>
          <w:tab w:val="num" w:pos="2160"/>
        </w:tabs>
        <w:ind w:left="2160" w:hanging="360"/>
      </w:pPr>
      <w:rPr>
        <w:rFonts w:ascii="Wingdings" w:hAnsi="Wingdings" w:hint="default"/>
      </w:rPr>
    </w:lvl>
    <w:lvl w:ilvl="3" w:tplc="106698AA">
      <w:start w:val="80"/>
      <w:numFmt w:val="bullet"/>
      <w:lvlText w:val=""/>
      <w:lvlJc w:val="left"/>
      <w:pPr>
        <w:tabs>
          <w:tab w:val="num" w:pos="2880"/>
        </w:tabs>
        <w:ind w:left="2880" w:hanging="360"/>
      </w:pPr>
      <w:rPr>
        <w:rFonts w:ascii="Wingdings" w:hAnsi="Wingdings" w:hint="default"/>
      </w:rPr>
    </w:lvl>
    <w:lvl w:ilvl="4" w:tplc="236EB660" w:tentative="1">
      <w:start w:val="1"/>
      <w:numFmt w:val="bullet"/>
      <w:lvlText w:val="•"/>
      <w:lvlJc w:val="left"/>
      <w:pPr>
        <w:tabs>
          <w:tab w:val="num" w:pos="3600"/>
        </w:tabs>
        <w:ind w:left="3600" w:hanging="360"/>
      </w:pPr>
      <w:rPr>
        <w:rFonts w:ascii="Arial" w:hAnsi="Arial" w:hint="default"/>
      </w:rPr>
    </w:lvl>
    <w:lvl w:ilvl="5" w:tplc="FCBA38BA" w:tentative="1">
      <w:start w:val="1"/>
      <w:numFmt w:val="bullet"/>
      <w:lvlText w:val="•"/>
      <w:lvlJc w:val="left"/>
      <w:pPr>
        <w:tabs>
          <w:tab w:val="num" w:pos="4320"/>
        </w:tabs>
        <w:ind w:left="4320" w:hanging="360"/>
      </w:pPr>
      <w:rPr>
        <w:rFonts w:ascii="Arial" w:hAnsi="Arial" w:hint="default"/>
      </w:rPr>
    </w:lvl>
    <w:lvl w:ilvl="6" w:tplc="BC94F09A" w:tentative="1">
      <w:start w:val="1"/>
      <w:numFmt w:val="bullet"/>
      <w:lvlText w:val="•"/>
      <w:lvlJc w:val="left"/>
      <w:pPr>
        <w:tabs>
          <w:tab w:val="num" w:pos="5040"/>
        </w:tabs>
        <w:ind w:left="5040" w:hanging="360"/>
      </w:pPr>
      <w:rPr>
        <w:rFonts w:ascii="Arial" w:hAnsi="Arial" w:hint="default"/>
      </w:rPr>
    </w:lvl>
    <w:lvl w:ilvl="7" w:tplc="F514C60C" w:tentative="1">
      <w:start w:val="1"/>
      <w:numFmt w:val="bullet"/>
      <w:lvlText w:val="•"/>
      <w:lvlJc w:val="left"/>
      <w:pPr>
        <w:tabs>
          <w:tab w:val="num" w:pos="5760"/>
        </w:tabs>
        <w:ind w:left="5760" w:hanging="360"/>
      </w:pPr>
      <w:rPr>
        <w:rFonts w:ascii="Arial" w:hAnsi="Arial" w:hint="default"/>
      </w:rPr>
    </w:lvl>
    <w:lvl w:ilvl="8" w:tplc="49328C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1"/>
  </w:num>
  <w:num w:numId="3">
    <w:abstractNumId w:val="13"/>
  </w:num>
  <w:num w:numId="4">
    <w:abstractNumId w:val="9"/>
  </w:num>
  <w:num w:numId="5">
    <w:abstractNumId w:val="16"/>
  </w:num>
  <w:num w:numId="6">
    <w:abstractNumId w:val="10"/>
  </w:num>
  <w:num w:numId="7">
    <w:abstractNumId w:val="7"/>
  </w:num>
  <w:num w:numId="8">
    <w:abstractNumId w:val="1"/>
  </w:num>
  <w:num w:numId="9">
    <w:abstractNumId w:val="14"/>
  </w:num>
  <w:num w:numId="10">
    <w:abstractNumId w:val="6"/>
  </w:num>
  <w:num w:numId="11">
    <w:abstractNumId w:val="8"/>
  </w:num>
  <w:num w:numId="12">
    <w:abstractNumId w:val="5"/>
  </w:num>
  <w:num w:numId="13">
    <w:abstractNumId w:val="12"/>
  </w:num>
  <w:num w:numId="14">
    <w:abstractNumId w:val="4"/>
  </w:num>
  <w:num w:numId="15">
    <w:abstractNumId w:val="2"/>
  </w:num>
  <w:num w:numId="16">
    <w:abstractNumId w:val="0"/>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06DCF"/>
    <w:rsid w:val="00010036"/>
    <w:rsid w:val="00021AA4"/>
    <w:rsid w:val="00024FB5"/>
    <w:rsid w:val="000347A1"/>
    <w:rsid w:val="000405B5"/>
    <w:rsid w:val="0004541B"/>
    <w:rsid w:val="000456C3"/>
    <w:rsid w:val="00046609"/>
    <w:rsid w:val="00054196"/>
    <w:rsid w:val="000546DF"/>
    <w:rsid w:val="00062941"/>
    <w:rsid w:val="000649AC"/>
    <w:rsid w:val="000663F5"/>
    <w:rsid w:val="00076639"/>
    <w:rsid w:val="00076BB5"/>
    <w:rsid w:val="00080792"/>
    <w:rsid w:val="00085741"/>
    <w:rsid w:val="000865D2"/>
    <w:rsid w:val="00090C3D"/>
    <w:rsid w:val="000B014F"/>
    <w:rsid w:val="000B01BC"/>
    <w:rsid w:val="000B19A7"/>
    <w:rsid w:val="000C050C"/>
    <w:rsid w:val="000C1812"/>
    <w:rsid w:val="000C1849"/>
    <w:rsid w:val="000D1B25"/>
    <w:rsid w:val="000D2F53"/>
    <w:rsid w:val="000D45F8"/>
    <w:rsid w:val="000D61CF"/>
    <w:rsid w:val="000E1597"/>
    <w:rsid w:val="000E773D"/>
    <w:rsid w:val="000F0118"/>
    <w:rsid w:val="000F0BEE"/>
    <w:rsid w:val="000F0C1A"/>
    <w:rsid w:val="000F0DCA"/>
    <w:rsid w:val="000F126F"/>
    <w:rsid w:val="000F4A47"/>
    <w:rsid w:val="000F4A9D"/>
    <w:rsid w:val="000F6964"/>
    <w:rsid w:val="001000E0"/>
    <w:rsid w:val="00102977"/>
    <w:rsid w:val="00102A09"/>
    <w:rsid w:val="00104AD1"/>
    <w:rsid w:val="00105D1A"/>
    <w:rsid w:val="00115DC0"/>
    <w:rsid w:val="001168EB"/>
    <w:rsid w:val="001249F8"/>
    <w:rsid w:val="00135B4C"/>
    <w:rsid w:val="001400BC"/>
    <w:rsid w:val="00140689"/>
    <w:rsid w:val="00140C63"/>
    <w:rsid w:val="00146FB1"/>
    <w:rsid w:val="001479C4"/>
    <w:rsid w:val="001537E3"/>
    <w:rsid w:val="00155911"/>
    <w:rsid w:val="0016067F"/>
    <w:rsid w:val="001646BD"/>
    <w:rsid w:val="0016592F"/>
    <w:rsid w:val="001746E0"/>
    <w:rsid w:val="00174CD5"/>
    <w:rsid w:val="00175316"/>
    <w:rsid w:val="00176E02"/>
    <w:rsid w:val="00180334"/>
    <w:rsid w:val="0018064C"/>
    <w:rsid w:val="00182510"/>
    <w:rsid w:val="00183466"/>
    <w:rsid w:val="001842F8"/>
    <w:rsid w:val="00187091"/>
    <w:rsid w:val="00192ADF"/>
    <w:rsid w:val="00192FA5"/>
    <w:rsid w:val="00194E42"/>
    <w:rsid w:val="00197432"/>
    <w:rsid w:val="001A0229"/>
    <w:rsid w:val="001A19EE"/>
    <w:rsid w:val="001B02F6"/>
    <w:rsid w:val="001B0F63"/>
    <w:rsid w:val="001B1E4C"/>
    <w:rsid w:val="001B4CD7"/>
    <w:rsid w:val="001B543D"/>
    <w:rsid w:val="001B5ABE"/>
    <w:rsid w:val="001B6BE9"/>
    <w:rsid w:val="001C2EB9"/>
    <w:rsid w:val="001C3C2E"/>
    <w:rsid w:val="001C54D2"/>
    <w:rsid w:val="001C7145"/>
    <w:rsid w:val="001C7234"/>
    <w:rsid w:val="001C76C4"/>
    <w:rsid w:val="001C7B19"/>
    <w:rsid w:val="001D0080"/>
    <w:rsid w:val="001D08B6"/>
    <w:rsid w:val="001D09D2"/>
    <w:rsid w:val="001D26D7"/>
    <w:rsid w:val="001D6A6A"/>
    <w:rsid w:val="001D7C5F"/>
    <w:rsid w:val="001E0F87"/>
    <w:rsid w:val="001E30A2"/>
    <w:rsid w:val="001E5E01"/>
    <w:rsid w:val="001E64C6"/>
    <w:rsid w:val="001E76BA"/>
    <w:rsid w:val="001F2641"/>
    <w:rsid w:val="001F7F0E"/>
    <w:rsid w:val="002021D9"/>
    <w:rsid w:val="00202DE3"/>
    <w:rsid w:val="0020660C"/>
    <w:rsid w:val="00207676"/>
    <w:rsid w:val="00210A7A"/>
    <w:rsid w:val="00212063"/>
    <w:rsid w:val="00212B5E"/>
    <w:rsid w:val="00213905"/>
    <w:rsid w:val="00213C38"/>
    <w:rsid w:val="00220AA0"/>
    <w:rsid w:val="00226791"/>
    <w:rsid w:val="00226C59"/>
    <w:rsid w:val="0023149B"/>
    <w:rsid w:val="00233289"/>
    <w:rsid w:val="00240AA2"/>
    <w:rsid w:val="0024141C"/>
    <w:rsid w:val="00242FE6"/>
    <w:rsid w:val="00244439"/>
    <w:rsid w:val="00245B83"/>
    <w:rsid w:val="0024729E"/>
    <w:rsid w:val="002506F4"/>
    <w:rsid w:val="002516D7"/>
    <w:rsid w:val="00253947"/>
    <w:rsid w:val="00253DA5"/>
    <w:rsid w:val="00261235"/>
    <w:rsid w:val="00264F79"/>
    <w:rsid w:val="00273BD3"/>
    <w:rsid w:val="002762B4"/>
    <w:rsid w:val="00284683"/>
    <w:rsid w:val="002846E6"/>
    <w:rsid w:val="00284AD2"/>
    <w:rsid w:val="00284B4C"/>
    <w:rsid w:val="0029033B"/>
    <w:rsid w:val="00291B44"/>
    <w:rsid w:val="00292E65"/>
    <w:rsid w:val="002941D9"/>
    <w:rsid w:val="00295CC3"/>
    <w:rsid w:val="002968AA"/>
    <w:rsid w:val="002A1625"/>
    <w:rsid w:val="002A1F0B"/>
    <w:rsid w:val="002A25FC"/>
    <w:rsid w:val="002A34AE"/>
    <w:rsid w:val="002B22EB"/>
    <w:rsid w:val="002B242E"/>
    <w:rsid w:val="002B2C93"/>
    <w:rsid w:val="002B36AA"/>
    <w:rsid w:val="002B55E4"/>
    <w:rsid w:val="002B5C3D"/>
    <w:rsid w:val="002B6D44"/>
    <w:rsid w:val="002C2AE0"/>
    <w:rsid w:val="002C2C5B"/>
    <w:rsid w:val="002C6C54"/>
    <w:rsid w:val="002C7604"/>
    <w:rsid w:val="002D3B17"/>
    <w:rsid w:val="002D4067"/>
    <w:rsid w:val="002D44D8"/>
    <w:rsid w:val="002D47ED"/>
    <w:rsid w:val="002D59CD"/>
    <w:rsid w:val="002D6610"/>
    <w:rsid w:val="002D661B"/>
    <w:rsid w:val="002D7E4E"/>
    <w:rsid w:val="002E28EB"/>
    <w:rsid w:val="002E7049"/>
    <w:rsid w:val="002F34BC"/>
    <w:rsid w:val="00301296"/>
    <w:rsid w:val="0030758A"/>
    <w:rsid w:val="0031228F"/>
    <w:rsid w:val="003130AC"/>
    <w:rsid w:val="00316D42"/>
    <w:rsid w:val="0032219F"/>
    <w:rsid w:val="0032234C"/>
    <w:rsid w:val="003265F9"/>
    <w:rsid w:val="00326A4A"/>
    <w:rsid w:val="0033255E"/>
    <w:rsid w:val="003404D1"/>
    <w:rsid w:val="003421FB"/>
    <w:rsid w:val="00342951"/>
    <w:rsid w:val="003448C3"/>
    <w:rsid w:val="00345359"/>
    <w:rsid w:val="00352A17"/>
    <w:rsid w:val="00352BB8"/>
    <w:rsid w:val="0035348B"/>
    <w:rsid w:val="003573AC"/>
    <w:rsid w:val="00361500"/>
    <w:rsid w:val="00363FB4"/>
    <w:rsid w:val="00370F46"/>
    <w:rsid w:val="003738BD"/>
    <w:rsid w:val="00373965"/>
    <w:rsid w:val="00374CAF"/>
    <w:rsid w:val="00376D4A"/>
    <w:rsid w:val="0038509B"/>
    <w:rsid w:val="00385D07"/>
    <w:rsid w:val="003862A0"/>
    <w:rsid w:val="00386B9E"/>
    <w:rsid w:val="00386CD4"/>
    <w:rsid w:val="00387834"/>
    <w:rsid w:val="0039045C"/>
    <w:rsid w:val="00393C73"/>
    <w:rsid w:val="0039428B"/>
    <w:rsid w:val="00395149"/>
    <w:rsid w:val="0039564A"/>
    <w:rsid w:val="00395954"/>
    <w:rsid w:val="00396752"/>
    <w:rsid w:val="003A141A"/>
    <w:rsid w:val="003A1433"/>
    <w:rsid w:val="003A2E14"/>
    <w:rsid w:val="003B0D94"/>
    <w:rsid w:val="003B2CED"/>
    <w:rsid w:val="003B72C1"/>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0658B"/>
    <w:rsid w:val="00411B5F"/>
    <w:rsid w:val="00411BBF"/>
    <w:rsid w:val="00411BDC"/>
    <w:rsid w:val="00415ED9"/>
    <w:rsid w:val="0042236B"/>
    <w:rsid w:val="00425C49"/>
    <w:rsid w:val="00431E30"/>
    <w:rsid w:val="00440A3E"/>
    <w:rsid w:val="00442875"/>
    <w:rsid w:val="00443F0D"/>
    <w:rsid w:val="004536AD"/>
    <w:rsid w:val="00460FE1"/>
    <w:rsid w:val="00466170"/>
    <w:rsid w:val="00471619"/>
    <w:rsid w:val="0047406D"/>
    <w:rsid w:val="004740F9"/>
    <w:rsid w:val="004961E6"/>
    <w:rsid w:val="004964C2"/>
    <w:rsid w:val="004A2ADB"/>
    <w:rsid w:val="004A3207"/>
    <w:rsid w:val="004A33BD"/>
    <w:rsid w:val="004A372D"/>
    <w:rsid w:val="004A593B"/>
    <w:rsid w:val="004B23BB"/>
    <w:rsid w:val="004B57D8"/>
    <w:rsid w:val="004B59A4"/>
    <w:rsid w:val="004B6D9D"/>
    <w:rsid w:val="004C04DD"/>
    <w:rsid w:val="004C7A6D"/>
    <w:rsid w:val="004D3EFF"/>
    <w:rsid w:val="004D64EE"/>
    <w:rsid w:val="004E43A2"/>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5575"/>
    <w:rsid w:val="00525E9C"/>
    <w:rsid w:val="00533B6F"/>
    <w:rsid w:val="0053414D"/>
    <w:rsid w:val="00541F33"/>
    <w:rsid w:val="00543ED1"/>
    <w:rsid w:val="005443FC"/>
    <w:rsid w:val="00546D32"/>
    <w:rsid w:val="005471EC"/>
    <w:rsid w:val="00552E9A"/>
    <w:rsid w:val="005542E5"/>
    <w:rsid w:val="00554688"/>
    <w:rsid w:val="0055521A"/>
    <w:rsid w:val="00555B23"/>
    <w:rsid w:val="00556434"/>
    <w:rsid w:val="00560467"/>
    <w:rsid w:val="00564E64"/>
    <w:rsid w:val="005666EE"/>
    <w:rsid w:val="0056686C"/>
    <w:rsid w:val="00566AFD"/>
    <w:rsid w:val="00566CDD"/>
    <w:rsid w:val="0057260B"/>
    <w:rsid w:val="0057347E"/>
    <w:rsid w:val="00585805"/>
    <w:rsid w:val="00586712"/>
    <w:rsid w:val="00586F06"/>
    <w:rsid w:val="00590AD9"/>
    <w:rsid w:val="00592093"/>
    <w:rsid w:val="00595CBD"/>
    <w:rsid w:val="005A151F"/>
    <w:rsid w:val="005A2D1B"/>
    <w:rsid w:val="005A3701"/>
    <w:rsid w:val="005A3F13"/>
    <w:rsid w:val="005A49B2"/>
    <w:rsid w:val="005A5B79"/>
    <w:rsid w:val="005A6801"/>
    <w:rsid w:val="005B12E9"/>
    <w:rsid w:val="005B7D2E"/>
    <w:rsid w:val="005C025E"/>
    <w:rsid w:val="005C41C5"/>
    <w:rsid w:val="005D1508"/>
    <w:rsid w:val="005D45AB"/>
    <w:rsid w:val="005D4F35"/>
    <w:rsid w:val="005D6939"/>
    <w:rsid w:val="005D696F"/>
    <w:rsid w:val="005E3026"/>
    <w:rsid w:val="005E5003"/>
    <w:rsid w:val="005E78F7"/>
    <w:rsid w:val="005F15A4"/>
    <w:rsid w:val="005F29AE"/>
    <w:rsid w:val="005F334A"/>
    <w:rsid w:val="005F34A5"/>
    <w:rsid w:val="005F39C4"/>
    <w:rsid w:val="005F5660"/>
    <w:rsid w:val="005F7E68"/>
    <w:rsid w:val="00602978"/>
    <w:rsid w:val="00606C0C"/>
    <w:rsid w:val="00613A4F"/>
    <w:rsid w:val="00616650"/>
    <w:rsid w:val="00620176"/>
    <w:rsid w:val="00626884"/>
    <w:rsid w:val="00627EA0"/>
    <w:rsid w:val="00631A2C"/>
    <w:rsid w:val="00641373"/>
    <w:rsid w:val="006421D4"/>
    <w:rsid w:val="006437B0"/>
    <w:rsid w:val="0064409B"/>
    <w:rsid w:val="006453DE"/>
    <w:rsid w:val="00646C47"/>
    <w:rsid w:val="0066013F"/>
    <w:rsid w:val="00660539"/>
    <w:rsid w:val="00665E65"/>
    <w:rsid w:val="0066600C"/>
    <w:rsid w:val="00670A88"/>
    <w:rsid w:val="00672992"/>
    <w:rsid w:val="00672FCB"/>
    <w:rsid w:val="0067533B"/>
    <w:rsid w:val="0067767E"/>
    <w:rsid w:val="0068200A"/>
    <w:rsid w:val="0068459D"/>
    <w:rsid w:val="006857E2"/>
    <w:rsid w:val="00686BC4"/>
    <w:rsid w:val="00686D44"/>
    <w:rsid w:val="00687809"/>
    <w:rsid w:val="00690DBE"/>
    <w:rsid w:val="00690DBF"/>
    <w:rsid w:val="00693518"/>
    <w:rsid w:val="006A0384"/>
    <w:rsid w:val="006A35BC"/>
    <w:rsid w:val="006A55FF"/>
    <w:rsid w:val="006A5934"/>
    <w:rsid w:val="006A6240"/>
    <w:rsid w:val="006A761D"/>
    <w:rsid w:val="006B0026"/>
    <w:rsid w:val="006B2FCC"/>
    <w:rsid w:val="006B4661"/>
    <w:rsid w:val="006B7EEB"/>
    <w:rsid w:val="006C18B3"/>
    <w:rsid w:val="006C3E80"/>
    <w:rsid w:val="006C5135"/>
    <w:rsid w:val="006C5275"/>
    <w:rsid w:val="006C54B3"/>
    <w:rsid w:val="006D0B3A"/>
    <w:rsid w:val="006D2E90"/>
    <w:rsid w:val="006E10D5"/>
    <w:rsid w:val="006E2BCF"/>
    <w:rsid w:val="006E30B4"/>
    <w:rsid w:val="006F01C4"/>
    <w:rsid w:val="006F0331"/>
    <w:rsid w:val="006F67D5"/>
    <w:rsid w:val="006F6BC8"/>
    <w:rsid w:val="006F7B73"/>
    <w:rsid w:val="00704D1E"/>
    <w:rsid w:val="0070539F"/>
    <w:rsid w:val="00707BD4"/>
    <w:rsid w:val="007113F1"/>
    <w:rsid w:val="00714EC7"/>
    <w:rsid w:val="00716147"/>
    <w:rsid w:val="00716400"/>
    <w:rsid w:val="00724624"/>
    <w:rsid w:val="0073101D"/>
    <w:rsid w:val="00731700"/>
    <w:rsid w:val="0074040A"/>
    <w:rsid w:val="0074420C"/>
    <w:rsid w:val="007453A2"/>
    <w:rsid w:val="00746743"/>
    <w:rsid w:val="00746B78"/>
    <w:rsid w:val="00747DF7"/>
    <w:rsid w:val="00757E77"/>
    <w:rsid w:val="00760BDD"/>
    <w:rsid w:val="00762170"/>
    <w:rsid w:val="00765237"/>
    <w:rsid w:val="00765491"/>
    <w:rsid w:val="007734FF"/>
    <w:rsid w:val="00775995"/>
    <w:rsid w:val="00787B60"/>
    <w:rsid w:val="00794D40"/>
    <w:rsid w:val="00797046"/>
    <w:rsid w:val="007A3F4D"/>
    <w:rsid w:val="007B0AE4"/>
    <w:rsid w:val="007B36D3"/>
    <w:rsid w:val="007B67D7"/>
    <w:rsid w:val="007B692C"/>
    <w:rsid w:val="007B7925"/>
    <w:rsid w:val="007B7962"/>
    <w:rsid w:val="007B7CB3"/>
    <w:rsid w:val="007C4024"/>
    <w:rsid w:val="007C4BAB"/>
    <w:rsid w:val="007C559F"/>
    <w:rsid w:val="007C699A"/>
    <w:rsid w:val="007C70FA"/>
    <w:rsid w:val="007D1626"/>
    <w:rsid w:val="007D2708"/>
    <w:rsid w:val="007D2777"/>
    <w:rsid w:val="007D3D27"/>
    <w:rsid w:val="007E39A4"/>
    <w:rsid w:val="007E5171"/>
    <w:rsid w:val="007E5B46"/>
    <w:rsid w:val="007E6CA9"/>
    <w:rsid w:val="007F00A7"/>
    <w:rsid w:val="007F1FDE"/>
    <w:rsid w:val="007F73A3"/>
    <w:rsid w:val="007F7451"/>
    <w:rsid w:val="007F76BA"/>
    <w:rsid w:val="00801335"/>
    <w:rsid w:val="00804ACD"/>
    <w:rsid w:val="008068FC"/>
    <w:rsid w:val="00806D20"/>
    <w:rsid w:val="00810329"/>
    <w:rsid w:val="008114D3"/>
    <w:rsid w:val="00812677"/>
    <w:rsid w:val="00812A2B"/>
    <w:rsid w:val="008217A1"/>
    <w:rsid w:val="00822CC2"/>
    <w:rsid w:val="00823EAD"/>
    <w:rsid w:val="00824834"/>
    <w:rsid w:val="008271C1"/>
    <w:rsid w:val="00832D71"/>
    <w:rsid w:val="00843102"/>
    <w:rsid w:val="00844AC2"/>
    <w:rsid w:val="008500A0"/>
    <w:rsid w:val="00850D34"/>
    <w:rsid w:val="00852900"/>
    <w:rsid w:val="00856B32"/>
    <w:rsid w:val="0086058E"/>
    <w:rsid w:val="008623E2"/>
    <w:rsid w:val="00862695"/>
    <w:rsid w:val="008632DC"/>
    <w:rsid w:val="00866355"/>
    <w:rsid w:val="00872BBA"/>
    <w:rsid w:val="00873586"/>
    <w:rsid w:val="00874103"/>
    <w:rsid w:val="008767A1"/>
    <w:rsid w:val="00877447"/>
    <w:rsid w:val="00880CD3"/>
    <w:rsid w:val="0088241D"/>
    <w:rsid w:val="00882D82"/>
    <w:rsid w:val="00884CEC"/>
    <w:rsid w:val="008861ED"/>
    <w:rsid w:val="00887883"/>
    <w:rsid w:val="00890AC8"/>
    <w:rsid w:val="00891A7F"/>
    <w:rsid w:val="00893109"/>
    <w:rsid w:val="0089363A"/>
    <w:rsid w:val="008A1B8C"/>
    <w:rsid w:val="008A244F"/>
    <w:rsid w:val="008A3B59"/>
    <w:rsid w:val="008A5298"/>
    <w:rsid w:val="008A53FD"/>
    <w:rsid w:val="008A64A0"/>
    <w:rsid w:val="008B46C8"/>
    <w:rsid w:val="008B4DC7"/>
    <w:rsid w:val="008B7CD4"/>
    <w:rsid w:val="008C26AF"/>
    <w:rsid w:val="008C2837"/>
    <w:rsid w:val="008C6AB0"/>
    <w:rsid w:val="008C7D31"/>
    <w:rsid w:val="008D5091"/>
    <w:rsid w:val="008D6F42"/>
    <w:rsid w:val="008D75F9"/>
    <w:rsid w:val="008E04BD"/>
    <w:rsid w:val="008E1066"/>
    <w:rsid w:val="008E1C33"/>
    <w:rsid w:val="008E2CAB"/>
    <w:rsid w:val="008E60EA"/>
    <w:rsid w:val="008F17FB"/>
    <w:rsid w:val="008F5D16"/>
    <w:rsid w:val="008F5DBB"/>
    <w:rsid w:val="008F770E"/>
    <w:rsid w:val="00901358"/>
    <w:rsid w:val="00902DDE"/>
    <w:rsid w:val="00907DA3"/>
    <w:rsid w:val="00916251"/>
    <w:rsid w:val="0091729F"/>
    <w:rsid w:val="00917960"/>
    <w:rsid w:val="00921859"/>
    <w:rsid w:val="00922BB1"/>
    <w:rsid w:val="00923A3D"/>
    <w:rsid w:val="00924760"/>
    <w:rsid w:val="009304D0"/>
    <w:rsid w:val="00930753"/>
    <w:rsid w:val="00930B01"/>
    <w:rsid w:val="009369D6"/>
    <w:rsid w:val="00942529"/>
    <w:rsid w:val="00942C27"/>
    <w:rsid w:val="009461C7"/>
    <w:rsid w:val="0095205B"/>
    <w:rsid w:val="00953A0C"/>
    <w:rsid w:val="00956A71"/>
    <w:rsid w:val="00956FD4"/>
    <w:rsid w:val="00960554"/>
    <w:rsid w:val="00961841"/>
    <w:rsid w:val="00962386"/>
    <w:rsid w:val="00963DD5"/>
    <w:rsid w:val="00963FA3"/>
    <w:rsid w:val="00966210"/>
    <w:rsid w:val="009755E5"/>
    <w:rsid w:val="009773BF"/>
    <w:rsid w:val="009773D4"/>
    <w:rsid w:val="0098226F"/>
    <w:rsid w:val="00984067"/>
    <w:rsid w:val="00984729"/>
    <w:rsid w:val="00991CA9"/>
    <w:rsid w:val="00997957"/>
    <w:rsid w:val="009A003E"/>
    <w:rsid w:val="009A0157"/>
    <w:rsid w:val="009A0B47"/>
    <w:rsid w:val="009A0CE6"/>
    <w:rsid w:val="009A1854"/>
    <w:rsid w:val="009A1B68"/>
    <w:rsid w:val="009A21CD"/>
    <w:rsid w:val="009A307A"/>
    <w:rsid w:val="009B46B8"/>
    <w:rsid w:val="009B6C84"/>
    <w:rsid w:val="009C49D4"/>
    <w:rsid w:val="009C690E"/>
    <w:rsid w:val="009C75E6"/>
    <w:rsid w:val="009D26C8"/>
    <w:rsid w:val="009D42C4"/>
    <w:rsid w:val="009D522D"/>
    <w:rsid w:val="009E014B"/>
    <w:rsid w:val="009E0AC8"/>
    <w:rsid w:val="009E285D"/>
    <w:rsid w:val="009F3788"/>
    <w:rsid w:val="009F4B62"/>
    <w:rsid w:val="009F53C0"/>
    <w:rsid w:val="009F557F"/>
    <w:rsid w:val="009F6111"/>
    <w:rsid w:val="009F7062"/>
    <w:rsid w:val="009F78EB"/>
    <w:rsid w:val="00A007EE"/>
    <w:rsid w:val="00A01BDA"/>
    <w:rsid w:val="00A0565E"/>
    <w:rsid w:val="00A07825"/>
    <w:rsid w:val="00A07DF1"/>
    <w:rsid w:val="00A1112C"/>
    <w:rsid w:val="00A12773"/>
    <w:rsid w:val="00A16563"/>
    <w:rsid w:val="00A1681D"/>
    <w:rsid w:val="00A16FCA"/>
    <w:rsid w:val="00A177A4"/>
    <w:rsid w:val="00A204DF"/>
    <w:rsid w:val="00A2684D"/>
    <w:rsid w:val="00A32EDC"/>
    <w:rsid w:val="00A34E5E"/>
    <w:rsid w:val="00A35AB0"/>
    <w:rsid w:val="00A418C4"/>
    <w:rsid w:val="00A61C3C"/>
    <w:rsid w:val="00A62973"/>
    <w:rsid w:val="00A67DCC"/>
    <w:rsid w:val="00A718DF"/>
    <w:rsid w:val="00A7315B"/>
    <w:rsid w:val="00A73436"/>
    <w:rsid w:val="00A77CA0"/>
    <w:rsid w:val="00A86D5E"/>
    <w:rsid w:val="00A8771E"/>
    <w:rsid w:val="00A93F0B"/>
    <w:rsid w:val="00AA70A2"/>
    <w:rsid w:val="00AB12A9"/>
    <w:rsid w:val="00AB13AE"/>
    <w:rsid w:val="00AB1894"/>
    <w:rsid w:val="00AC013B"/>
    <w:rsid w:val="00AC2E8F"/>
    <w:rsid w:val="00AC35D0"/>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77AA"/>
    <w:rsid w:val="00B016F4"/>
    <w:rsid w:val="00B04064"/>
    <w:rsid w:val="00B0771B"/>
    <w:rsid w:val="00B114BD"/>
    <w:rsid w:val="00B14167"/>
    <w:rsid w:val="00B1482A"/>
    <w:rsid w:val="00B2045E"/>
    <w:rsid w:val="00B20D55"/>
    <w:rsid w:val="00B26F19"/>
    <w:rsid w:val="00B30078"/>
    <w:rsid w:val="00B300AF"/>
    <w:rsid w:val="00B32EAD"/>
    <w:rsid w:val="00B347CC"/>
    <w:rsid w:val="00B4197C"/>
    <w:rsid w:val="00B43F5E"/>
    <w:rsid w:val="00B535AE"/>
    <w:rsid w:val="00B53850"/>
    <w:rsid w:val="00B53A82"/>
    <w:rsid w:val="00B61D3E"/>
    <w:rsid w:val="00B6371A"/>
    <w:rsid w:val="00B63FCA"/>
    <w:rsid w:val="00B67458"/>
    <w:rsid w:val="00B6762B"/>
    <w:rsid w:val="00B72BB2"/>
    <w:rsid w:val="00B75BEA"/>
    <w:rsid w:val="00B81FCD"/>
    <w:rsid w:val="00B867E7"/>
    <w:rsid w:val="00B90BB1"/>
    <w:rsid w:val="00B96109"/>
    <w:rsid w:val="00B976B6"/>
    <w:rsid w:val="00BA0275"/>
    <w:rsid w:val="00BA066D"/>
    <w:rsid w:val="00BA15EF"/>
    <w:rsid w:val="00BA1944"/>
    <w:rsid w:val="00BA6244"/>
    <w:rsid w:val="00BB54D6"/>
    <w:rsid w:val="00BB6437"/>
    <w:rsid w:val="00BB780B"/>
    <w:rsid w:val="00BC1EEF"/>
    <w:rsid w:val="00BC2FA1"/>
    <w:rsid w:val="00BC384C"/>
    <w:rsid w:val="00BC3F61"/>
    <w:rsid w:val="00BC68A0"/>
    <w:rsid w:val="00BC6ADC"/>
    <w:rsid w:val="00BD07E5"/>
    <w:rsid w:val="00BD319C"/>
    <w:rsid w:val="00BD36AA"/>
    <w:rsid w:val="00BD48BE"/>
    <w:rsid w:val="00BD4E31"/>
    <w:rsid w:val="00BD4F57"/>
    <w:rsid w:val="00BF2916"/>
    <w:rsid w:val="00BF545C"/>
    <w:rsid w:val="00BF5A74"/>
    <w:rsid w:val="00BF7014"/>
    <w:rsid w:val="00C03A02"/>
    <w:rsid w:val="00C05DA3"/>
    <w:rsid w:val="00C12B93"/>
    <w:rsid w:val="00C1385D"/>
    <w:rsid w:val="00C13E7B"/>
    <w:rsid w:val="00C15FAD"/>
    <w:rsid w:val="00C172EF"/>
    <w:rsid w:val="00C20C30"/>
    <w:rsid w:val="00C20CC5"/>
    <w:rsid w:val="00C2154D"/>
    <w:rsid w:val="00C21676"/>
    <w:rsid w:val="00C27BAC"/>
    <w:rsid w:val="00C3467B"/>
    <w:rsid w:val="00C3567D"/>
    <w:rsid w:val="00C356A8"/>
    <w:rsid w:val="00C35792"/>
    <w:rsid w:val="00C36E05"/>
    <w:rsid w:val="00C36EF6"/>
    <w:rsid w:val="00C371D8"/>
    <w:rsid w:val="00C40C21"/>
    <w:rsid w:val="00C45635"/>
    <w:rsid w:val="00C47D07"/>
    <w:rsid w:val="00C52A55"/>
    <w:rsid w:val="00C5690E"/>
    <w:rsid w:val="00C700E2"/>
    <w:rsid w:val="00C75D4F"/>
    <w:rsid w:val="00C768E2"/>
    <w:rsid w:val="00C76FCB"/>
    <w:rsid w:val="00C80D0D"/>
    <w:rsid w:val="00C81DF6"/>
    <w:rsid w:val="00C84DF6"/>
    <w:rsid w:val="00C86F0A"/>
    <w:rsid w:val="00C9012D"/>
    <w:rsid w:val="00C9085C"/>
    <w:rsid w:val="00C947B1"/>
    <w:rsid w:val="00C94A95"/>
    <w:rsid w:val="00C958CA"/>
    <w:rsid w:val="00C971FF"/>
    <w:rsid w:val="00CA132E"/>
    <w:rsid w:val="00CA578A"/>
    <w:rsid w:val="00CA6690"/>
    <w:rsid w:val="00CB4EAD"/>
    <w:rsid w:val="00CB5159"/>
    <w:rsid w:val="00CB52D3"/>
    <w:rsid w:val="00CB5F9C"/>
    <w:rsid w:val="00CB66E6"/>
    <w:rsid w:val="00CC0608"/>
    <w:rsid w:val="00CC0622"/>
    <w:rsid w:val="00CC116B"/>
    <w:rsid w:val="00CC375F"/>
    <w:rsid w:val="00CC47B0"/>
    <w:rsid w:val="00CC5802"/>
    <w:rsid w:val="00CC713E"/>
    <w:rsid w:val="00CD121E"/>
    <w:rsid w:val="00CD216C"/>
    <w:rsid w:val="00CD439E"/>
    <w:rsid w:val="00CD6394"/>
    <w:rsid w:val="00CD7620"/>
    <w:rsid w:val="00CE1B47"/>
    <w:rsid w:val="00CE2548"/>
    <w:rsid w:val="00CE59CF"/>
    <w:rsid w:val="00CE6147"/>
    <w:rsid w:val="00CF2C30"/>
    <w:rsid w:val="00CF2EEA"/>
    <w:rsid w:val="00D0010A"/>
    <w:rsid w:val="00D10C11"/>
    <w:rsid w:val="00D11251"/>
    <w:rsid w:val="00D11500"/>
    <w:rsid w:val="00D11CAC"/>
    <w:rsid w:val="00D121B5"/>
    <w:rsid w:val="00D1421D"/>
    <w:rsid w:val="00D15958"/>
    <w:rsid w:val="00D210C1"/>
    <w:rsid w:val="00D25765"/>
    <w:rsid w:val="00D314EA"/>
    <w:rsid w:val="00D33DED"/>
    <w:rsid w:val="00D353AD"/>
    <w:rsid w:val="00D37EFC"/>
    <w:rsid w:val="00D42DDC"/>
    <w:rsid w:val="00D43950"/>
    <w:rsid w:val="00D45334"/>
    <w:rsid w:val="00D46134"/>
    <w:rsid w:val="00D4633D"/>
    <w:rsid w:val="00D51EEA"/>
    <w:rsid w:val="00D52634"/>
    <w:rsid w:val="00D527D6"/>
    <w:rsid w:val="00D53DEF"/>
    <w:rsid w:val="00D53E71"/>
    <w:rsid w:val="00D5457C"/>
    <w:rsid w:val="00D55310"/>
    <w:rsid w:val="00D5747C"/>
    <w:rsid w:val="00D605A1"/>
    <w:rsid w:val="00D6271A"/>
    <w:rsid w:val="00D63C1A"/>
    <w:rsid w:val="00D7363A"/>
    <w:rsid w:val="00D75557"/>
    <w:rsid w:val="00D76012"/>
    <w:rsid w:val="00D7654E"/>
    <w:rsid w:val="00D81B33"/>
    <w:rsid w:val="00D821C9"/>
    <w:rsid w:val="00D83461"/>
    <w:rsid w:val="00D84E1D"/>
    <w:rsid w:val="00D90740"/>
    <w:rsid w:val="00D90939"/>
    <w:rsid w:val="00D90A93"/>
    <w:rsid w:val="00D9281F"/>
    <w:rsid w:val="00D9389C"/>
    <w:rsid w:val="00D973D5"/>
    <w:rsid w:val="00DA1796"/>
    <w:rsid w:val="00DA25EA"/>
    <w:rsid w:val="00DB1D56"/>
    <w:rsid w:val="00DB2B00"/>
    <w:rsid w:val="00DB3813"/>
    <w:rsid w:val="00DB3F78"/>
    <w:rsid w:val="00DB4AB4"/>
    <w:rsid w:val="00DB5679"/>
    <w:rsid w:val="00DD131E"/>
    <w:rsid w:val="00DE2767"/>
    <w:rsid w:val="00DE36BE"/>
    <w:rsid w:val="00DF2401"/>
    <w:rsid w:val="00DF7B2A"/>
    <w:rsid w:val="00E0292B"/>
    <w:rsid w:val="00E0321B"/>
    <w:rsid w:val="00E03AE0"/>
    <w:rsid w:val="00E046A9"/>
    <w:rsid w:val="00E05B34"/>
    <w:rsid w:val="00E05BCF"/>
    <w:rsid w:val="00E11E4E"/>
    <w:rsid w:val="00E13263"/>
    <w:rsid w:val="00E1381F"/>
    <w:rsid w:val="00E141BA"/>
    <w:rsid w:val="00E1774C"/>
    <w:rsid w:val="00E20BE5"/>
    <w:rsid w:val="00E24D1B"/>
    <w:rsid w:val="00E33F76"/>
    <w:rsid w:val="00E3560D"/>
    <w:rsid w:val="00E35B99"/>
    <w:rsid w:val="00E41518"/>
    <w:rsid w:val="00E421E5"/>
    <w:rsid w:val="00E4404E"/>
    <w:rsid w:val="00E45A9A"/>
    <w:rsid w:val="00E46F73"/>
    <w:rsid w:val="00E475C1"/>
    <w:rsid w:val="00E47A17"/>
    <w:rsid w:val="00E500A6"/>
    <w:rsid w:val="00E50E6A"/>
    <w:rsid w:val="00E518CA"/>
    <w:rsid w:val="00E54585"/>
    <w:rsid w:val="00E550B8"/>
    <w:rsid w:val="00E552DB"/>
    <w:rsid w:val="00E555C6"/>
    <w:rsid w:val="00E66448"/>
    <w:rsid w:val="00E66B36"/>
    <w:rsid w:val="00E729CF"/>
    <w:rsid w:val="00E74739"/>
    <w:rsid w:val="00E8318D"/>
    <w:rsid w:val="00E83784"/>
    <w:rsid w:val="00E84ACF"/>
    <w:rsid w:val="00E90388"/>
    <w:rsid w:val="00E9127C"/>
    <w:rsid w:val="00E93A49"/>
    <w:rsid w:val="00EA608F"/>
    <w:rsid w:val="00EB17E1"/>
    <w:rsid w:val="00EB1F0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D7E71"/>
    <w:rsid w:val="00EF4627"/>
    <w:rsid w:val="00F01FCB"/>
    <w:rsid w:val="00F02D59"/>
    <w:rsid w:val="00F110C6"/>
    <w:rsid w:val="00F129BB"/>
    <w:rsid w:val="00F14D45"/>
    <w:rsid w:val="00F15E5A"/>
    <w:rsid w:val="00F15F03"/>
    <w:rsid w:val="00F17543"/>
    <w:rsid w:val="00F2427A"/>
    <w:rsid w:val="00F25C1A"/>
    <w:rsid w:val="00F304DF"/>
    <w:rsid w:val="00F35722"/>
    <w:rsid w:val="00F36543"/>
    <w:rsid w:val="00F40D66"/>
    <w:rsid w:val="00F41497"/>
    <w:rsid w:val="00F42850"/>
    <w:rsid w:val="00F43572"/>
    <w:rsid w:val="00F45B54"/>
    <w:rsid w:val="00F50D32"/>
    <w:rsid w:val="00F54AF4"/>
    <w:rsid w:val="00F61356"/>
    <w:rsid w:val="00F62443"/>
    <w:rsid w:val="00F6392D"/>
    <w:rsid w:val="00F63AD2"/>
    <w:rsid w:val="00F63D42"/>
    <w:rsid w:val="00F64332"/>
    <w:rsid w:val="00F6636F"/>
    <w:rsid w:val="00F7315A"/>
    <w:rsid w:val="00F86D0E"/>
    <w:rsid w:val="00F93FBE"/>
    <w:rsid w:val="00F94B95"/>
    <w:rsid w:val="00F95D83"/>
    <w:rsid w:val="00FA2107"/>
    <w:rsid w:val="00FA2D8A"/>
    <w:rsid w:val="00FA53E8"/>
    <w:rsid w:val="00FA5BF4"/>
    <w:rsid w:val="00FB5ACA"/>
    <w:rsid w:val="00FB641E"/>
    <w:rsid w:val="00FB6EEE"/>
    <w:rsid w:val="00FB7CF2"/>
    <w:rsid w:val="00FC0002"/>
    <w:rsid w:val="00FC0802"/>
    <w:rsid w:val="00FC0FAD"/>
    <w:rsid w:val="00FC2D34"/>
    <w:rsid w:val="00FC3E2D"/>
    <w:rsid w:val="00FD129C"/>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paragraph" w:customStyle="1" w:styleId="LGTdoc">
    <w:name w:val="LGTdoc_본문"/>
    <w:basedOn w:val="Normal"/>
    <w:link w:val="LGTdocChar"/>
    <w:rsid w:val="00C81DF6"/>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rsid w:val="00C81DF6"/>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4770B-B06D-4B97-B125-E56A565A8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2248</Words>
  <Characters>12819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2019-01-12T07:32:00Z</dcterms:created>
  <dcterms:modified xsi:type="dcterms:W3CDTF">2019-01-12T07:32:00Z</dcterms:modified>
</cp:coreProperties>
</file>