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3D704" w14:textId="266706A4" w:rsidR="004E6F83" w:rsidRPr="00BC38D5" w:rsidRDefault="004E6F83" w:rsidP="002E04EC">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2E04EC">
        <w:rPr>
          <w:rFonts w:ascii="Arial" w:hAnsi="Arial" w:cs="Arial"/>
          <w:sz w:val="24"/>
          <w:szCs w:val="24"/>
        </w:rPr>
        <w:t>AH-1901</w:t>
      </w:r>
      <w:r w:rsidRPr="00BC38D5">
        <w:rPr>
          <w:rFonts w:ascii="Arial" w:hAnsi="Arial" w:cs="Arial"/>
          <w:sz w:val="24"/>
          <w:szCs w:val="24"/>
        </w:rPr>
        <w:tab/>
      </w:r>
      <w:r w:rsidR="002E04EC">
        <w:rPr>
          <w:rFonts w:ascii="Arial" w:hAnsi="Arial" w:cs="Arial"/>
          <w:sz w:val="24"/>
          <w:szCs w:val="24"/>
        </w:rPr>
        <w:t>R1-</w:t>
      </w:r>
      <w:r w:rsidR="008D4DE4">
        <w:rPr>
          <w:rFonts w:ascii="Arial" w:hAnsi="Arial" w:cs="Arial"/>
          <w:sz w:val="24"/>
          <w:szCs w:val="24"/>
        </w:rPr>
        <w:t>190</w:t>
      </w:r>
      <w:r w:rsidR="00CD6068">
        <w:rPr>
          <w:rFonts w:ascii="Arial" w:hAnsi="Arial" w:cs="Arial"/>
          <w:sz w:val="24"/>
          <w:szCs w:val="24"/>
        </w:rPr>
        <w:t>0</w:t>
      </w:r>
      <w:r w:rsidR="008D4DE4">
        <w:rPr>
          <w:rFonts w:ascii="Arial" w:hAnsi="Arial" w:cs="Arial"/>
          <w:sz w:val="24"/>
          <w:szCs w:val="24"/>
        </w:rPr>
        <w:t>944</w:t>
      </w:r>
    </w:p>
    <w:p w14:paraId="4D0B2945" w14:textId="48FC8FB4" w:rsidR="009A0B47" w:rsidRPr="00F8324B" w:rsidRDefault="002E04EC" w:rsidP="002E04EC">
      <w:pPr>
        <w:spacing w:after="0"/>
        <w:rPr>
          <w:rFonts w:ascii="Arial" w:hAnsi="Arial" w:cs="Arial"/>
          <w:sz w:val="24"/>
          <w:szCs w:val="24"/>
        </w:rPr>
      </w:pPr>
      <w:r>
        <w:rPr>
          <w:rFonts w:ascii="Arial" w:hAnsi="Arial" w:cs="Arial"/>
          <w:sz w:val="24"/>
          <w:szCs w:val="24"/>
        </w:rPr>
        <w:t>Taipei</w:t>
      </w:r>
      <w:r w:rsidR="004E6F83">
        <w:rPr>
          <w:rFonts w:ascii="Arial" w:hAnsi="Arial" w:cs="Arial"/>
          <w:sz w:val="24"/>
          <w:szCs w:val="24"/>
        </w:rPr>
        <w:t xml:space="preserve">, </w:t>
      </w:r>
      <w:r>
        <w:rPr>
          <w:rFonts w:ascii="Arial" w:hAnsi="Arial" w:cs="Arial"/>
          <w:sz w:val="24"/>
          <w:szCs w:val="24"/>
        </w:rPr>
        <w:t>21</w:t>
      </w:r>
      <w:r>
        <w:rPr>
          <w:rFonts w:ascii="Arial" w:hAnsi="Arial" w:cs="Arial"/>
          <w:sz w:val="24"/>
          <w:szCs w:val="24"/>
          <w:vertAlign w:val="superscript"/>
        </w:rPr>
        <w:t>st</w:t>
      </w:r>
      <w:r w:rsidR="00A845A3">
        <w:rPr>
          <w:rFonts w:ascii="Arial" w:hAnsi="Arial" w:cs="Arial"/>
          <w:sz w:val="24"/>
          <w:szCs w:val="24"/>
          <w:vertAlign w:val="superscript"/>
        </w:rPr>
        <w:t xml:space="preserve"> </w:t>
      </w:r>
      <w:r w:rsidR="004E6F83">
        <w:rPr>
          <w:rFonts w:ascii="Arial" w:hAnsi="Arial" w:cs="Arial"/>
          <w:sz w:val="24"/>
          <w:szCs w:val="24"/>
        </w:rPr>
        <w:t xml:space="preserve">– </w:t>
      </w:r>
      <w:r>
        <w:rPr>
          <w:rFonts w:ascii="Arial" w:hAnsi="Arial" w:cs="Arial"/>
          <w:sz w:val="24"/>
          <w:szCs w:val="24"/>
        </w:rPr>
        <w:t>25</w:t>
      </w:r>
      <w:r w:rsidR="004E6F83">
        <w:rPr>
          <w:rFonts w:ascii="Arial" w:hAnsi="Arial" w:cs="Arial"/>
          <w:sz w:val="24"/>
          <w:szCs w:val="24"/>
          <w:vertAlign w:val="superscript"/>
        </w:rPr>
        <w:t>th</w:t>
      </w:r>
      <w:r w:rsidR="004E6F83">
        <w:rPr>
          <w:rFonts w:ascii="Arial" w:hAnsi="Arial" w:cs="Arial"/>
          <w:sz w:val="24"/>
          <w:szCs w:val="24"/>
        </w:rPr>
        <w:t xml:space="preserve"> </w:t>
      </w:r>
      <w:r>
        <w:rPr>
          <w:rFonts w:ascii="Arial" w:hAnsi="Arial" w:cs="Arial"/>
          <w:sz w:val="24"/>
          <w:szCs w:val="24"/>
        </w:rPr>
        <w:t>January</w:t>
      </w:r>
      <w:r w:rsidR="004E6F83">
        <w:rPr>
          <w:rFonts w:ascii="Arial" w:hAnsi="Arial" w:cs="Arial"/>
          <w:sz w:val="24"/>
          <w:szCs w:val="24"/>
        </w:rPr>
        <w:t xml:space="preserve"> 201</w:t>
      </w:r>
      <w:r>
        <w:rPr>
          <w:rFonts w:ascii="Arial" w:hAnsi="Arial" w:cs="Arial"/>
          <w:sz w:val="24"/>
          <w:szCs w:val="24"/>
        </w:rPr>
        <w:t>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26765FC" w:rsidR="009A0B47" w:rsidRPr="008D44EF" w:rsidRDefault="009A0B47" w:rsidP="00650BA3">
      <w:pPr>
        <w:tabs>
          <w:tab w:val="left" w:pos="1985"/>
        </w:tabs>
        <w:spacing w:after="120"/>
        <w:rPr>
          <w:rFonts w:ascii="Arial" w:hAnsi="Arial"/>
          <w:sz w:val="24"/>
          <w:lang w:val="en-US"/>
        </w:rPr>
      </w:pPr>
      <w:r w:rsidRPr="00650BA3">
        <w:rPr>
          <w:rFonts w:ascii="Arial" w:hAnsi="Arial"/>
          <w:b/>
          <w:sz w:val="24"/>
          <w:lang w:val="en-US"/>
        </w:rPr>
        <w:t>Agenda item:</w:t>
      </w:r>
      <w:r w:rsidRPr="00650BA3">
        <w:rPr>
          <w:rFonts w:ascii="Arial" w:hAnsi="Arial"/>
          <w:sz w:val="24"/>
          <w:lang w:val="en-US"/>
        </w:rPr>
        <w:tab/>
      </w:r>
      <w:bookmarkStart w:id="0" w:name="Source"/>
      <w:bookmarkEnd w:id="0"/>
      <w:r w:rsidRPr="00650BA3">
        <w:rPr>
          <w:rFonts w:ascii="Arial" w:hAnsi="Arial"/>
          <w:sz w:val="24"/>
          <w:lang w:val="en-US"/>
        </w:rPr>
        <w:t>7.</w:t>
      </w:r>
      <w:r w:rsidR="002E04EC" w:rsidRPr="00650BA3">
        <w:rPr>
          <w:rFonts w:ascii="Arial" w:hAnsi="Arial"/>
          <w:sz w:val="24"/>
          <w:lang w:val="en-US"/>
        </w:rPr>
        <w:t>2.8.</w:t>
      </w:r>
      <w:r w:rsidR="00650BA3" w:rsidRPr="00650BA3">
        <w:rPr>
          <w:rFonts w:ascii="Arial" w:hAnsi="Arial"/>
          <w:sz w:val="24"/>
          <w:lang w:val="en-US"/>
        </w:rPr>
        <w:t>6</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F0975FE" w:rsidR="009A0B47" w:rsidRPr="00F35722" w:rsidRDefault="009A0B47" w:rsidP="002E04EC">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2E04EC">
        <w:rPr>
          <w:rFonts w:ascii="Arial" w:hAnsi="Arial"/>
          <w:sz w:val="24"/>
        </w:rPr>
        <w:t>P</w:t>
      </w:r>
      <w:r w:rsidR="004E6F83" w:rsidRPr="004E6F83">
        <w:rPr>
          <w:rFonts w:ascii="Arial" w:hAnsi="Arial"/>
          <w:sz w:val="24"/>
        </w:rPr>
        <w:t>ower control</w:t>
      </w:r>
      <w:r>
        <w:rPr>
          <w:rFonts w:ascii="Arial" w:hAnsi="Arial"/>
          <w:sz w:val="24"/>
        </w:rPr>
        <w:t xml:space="preserve"> </w:t>
      </w:r>
      <w:r w:rsidR="002E04EC">
        <w:rPr>
          <w:rFonts w:ascii="Arial" w:hAnsi="Arial"/>
          <w:sz w:val="24"/>
        </w:rPr>
        <w:t>for multi-panel uplink transmission</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6AD20C1B" w14:textId="59769ABE" w:rsidR="002E04EC" w:rsidRDefault="002E04EC" w:rsidP="00DB491C">
      <w:pPr>
        <w:tabs>
          <w:tab w:val="left" w:pos="1440"/>
        </w:tabs>
        <w:jc w:val="both"/>
        <w:rPr>
          <w:rFonts w:eastAsia="MS Mincho"/>
          <w:lang w:val="en-US" w:eastAsia="ja-JP"/>
        </w:rPr>
      </w:pPr>
      <w:r>
        <w:rPr>
          <w:rFonts w:eastAsia="MS Mincho"/>
          <w:lang w:val="en-US" w:eastAsia="ja-JP"/>
        </w:rPr>
        <w:t xml:space="preserve">Multiple UE-panel operation is a key feature </w:t>
      </w:r>
      <w:r w:rsidR="00DB491C">
        <w:rPr>
          <w:rFonts w:eastAsia="MS Mincho"/>
          <w:lang w:val="en-US" w:eastAsia="ja-JP"/>
        </w:rPr>
        <w:t>in Rel-16 enhanced MIMO (eMIMO)</w:t>
      </w:r>
      <w:r>
        <w:rPr>
          <w:rFonts w:eastAsia="MS Mincho"/>
          <w:lang w:val="en-US" w:eastAsia="ja-JP"/>
        </w:rPr>
        <w:t xml:space="preserve"> to support multi-panel downlink reception at different UE panels from one or more TRPs as well as panel-specific uplink transmission from different UE panels to one or more TRPs. In particular, it is agreed that Rel-16 will support an ID for </w:t>
      </w:r>
      <w:r w:rsidR="008D4DE4" w:rsidRPr="00FB0CE8">
        <w:rPr>
          <w:szCs w:val="22"/>
        </w:rPr>
        <w:t>indicating panel-specific UL transmission</w:t>
      </w:r>
      <w:r>
        <w:rPr>
          <w:rFonts w:eastAsia="MS Mincho"/>
          <w:lang w:val="en-US" w:eastAsia="ja-JP"/>
        </w:rPr>
        <w:t>, al</w:t>
      </w:r>
      <w:r w:rsidR="00C756AD">
        <w:rPr>
          <w:rFonts w:eastAsia="MS Mincho"/>
          <w:lang w:val="en-US" w:eastAsia="ja-JP"/>
        </w:rPr>
        <w:t>though the details on the UE-</w:t>
      </w:r>
      <w:r w:rsidR="00DB491C">
        <w:rPr>
          <w:rFonts w:eastAsia="MS Mincho"/>
          <w:lang w:val="en-US" w:eastAsia="ja-JP"/>
        </w:rPr>
        <w:t xml:space="preserve">panel ID </w:t>
      </w:r>
      <w:r>
        <w:rPr>
          <w:rFonts w:eastAsia="MS Mincho"/>
          <w:lang w:val="en-US" w:eastAsia="ja-JP"/>
        </w:rPr>
        <w:t>design and its usage</w:t>
      </w:r>
      <w:r w:rsidR="00C756AD">
        <w:rPr>
          <w:rFonts w:eastAsia="MS Mincho"/>
          <w:lang w:val="en-US" w:eastAsia="ja-JP"/>
        </w:rPr>
        <w:t>s</w:t>
      </w:r>
      <w:r>
        <w:rPr>
          <w:rFonts w:eastAsia="MS Mincho"/>
          <w:lang w:val="en-US" w:eastAsia="ja-JP"/>
        </w:rPr>
        <w:t xml:space="preserve"> </w:t>
      </w:r>
      <w:r w:rsidR="00DB491C">
        <w:rPr>
          <w:rFonts w:eastAsia="MS Mincho"/>
          <w:lang w:val="en-US" w:eastAsia="ja-JP"/>
        </w:rPr>
        <w:t>are</w:t>
      </w:r>
      <w:r>
        <w:rPr>
          <w:rFonts w:eastAsia="MS Mincho"/>
          <w:lang w:val="en-US" w:eastAsia="ja-JP"/>
        </w:rPr>
        <w:t xml:space="preserve"> still under discussion. </w:t>
      </w:r>
    </w:p>
    <w:p w14:paraId="33993A8B" w14:textId="77777777" w:rsidR="00FB0CE8" w:rsidRDefault="00FB0CE8" w:rsidP="00FB0CE8">
      <w:pPr>
        <w:tabs>
          <w:tab w:val="left" w:pos="1440"/>
        </w:tabs>
        <w:jc w:val="both"/>
        <w:rPr>
          <w:i/>
        </w:rPr>
      </w:pPr>
      <w:r>
        <w:rPr>
          <w:noProof/>
          <w:lang w:val="en-US"/>
        </w:rPr>
        <mc:AlternateContent>
          <mc:Choice Requires="wps">
            <w:drawing>
              <wp:inline distT="0" distB="0" distL="0" distR="0" wp14:anchorId="1867B7F2" wp14:editId="430E49C4">
                <wp:extent cx="5943600" cy="1330960"/>
                <wp:effectExtent l="0" t="0" r="19050" b="215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30960"/>
                        </a:xfrm>
                        <a:prstGeom prst="rect">
                          <a:avLst/>
                        </a:prstGeom>
                        <a:solidFill>
                          <a:srgbClr val="FFFFFF"/>
                        </a:solidFill>
                        <a:ln w="9525">
                          <a:solidFill>
                            <a:srgbClr val="000000"/>
                          </a:solidFill>
                          <a:miter lim="800000"/>
                          <a:headEnd/>
                          <a:tailEnd/>
                        </a:ln>
                      </wps:spPr>
                      <wps:txb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wps:txbx>
                      <wps:bodyPr rot="0" vert="horz" wrap="square" lIns="91440" tIns="45720" rIns="91440" bIns="45720" anchor="t" anchorCtr="0">
                        <a:noAutofit/>
                      </wps:bodyPr>
                    </wps:wsp>
                  </a:graphicData>
                </a:graphic>
              </wp:inline>
            </w:drawing>
          </mc:Choice>
          <mc:Fallback>
            <w:pict>
              <v:shapetype w14:anchorId="1867B7F2" id="_x0000_t202" coordsize="21600,21600" o:spt="202" path="m,l,21600r21600,l21600,xe">
                <v:stroke joinstyle="miter"/>
                <v:path gradientshapeok="t" o:connecttype="rect"/>
              </v:shapetype>
              <v:shape id="Text Box 1" o:spid="_x0000_s1026" type="#_x0000_t202" style="width:468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">
                <v:textbo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v:textbox>
                <w10:anchorlock/>
              </v:shape>
            </w:pict>
          </mc:Fallback>
        </mc:AlternateContent>
      </w:r>
    </w:p>
    <w:p w14:paraId="5DE22DEB" w14:textId="361B4AB5" w:rsidR="00FB0CE8" w:rsidRDefault="00D25F7D" w:rsidP="00CD6068">
      <w:pPr>
        <w:tabs>
          <w:tab w:val="left" w:pos="1440"/>
        </w:tabs>
        <w:jc w:val="both"/>
        <w:rPr>
          <w:rFonts w:eastAsia="MS Mincho"/>
          <w:lang w:val="en-US" w:eastAsia="ja-JP"/>
        </w:rPr>
      </w:pPr>
      <w:r>
        <w:rPr>
          <w:rFonts w:eastAsia="MS Mincho"/>
          <w:lang w:val="en-US" w:eastAsia="ja-JP"/>
        </w:rPr>
        <w:t>Uplink power control</w:t>
      </w:r>
      <w:r w:rsidR="000E241C">
        <w:rPr>
          <w:rFonts w:eastAsia="MS Mincho"/>
          <w:lang w:val="en-US" w:eastAsia="ja-JP"/>
        </w:rPr>
        <w:t xml:space="preserve"> (PC)</w:t>
      </w:r>
      <w:r>
        <w:rPr>
          <w:rFonts w:eastAsia="MS Mincho"/>
          <w:lang w:val="en-US" w:eastAsia="ja-JP"/>
        </w:rPr>
        <w:t xml:space="preserve"> considerations need to be taken into account for eMIMO operation, as captured in previous chairman notes. </w:t>
      </w:r>
    </w:p>
    <w:p w14:paraId="215C10C2" w14:textId="77777777" w:rsidR="00D25F7D" w:rsidRDefault="00D25F7D" w:rsidP="00D25F7D">
      <w:pPr>
        <w:tabs>
          <w:tab w:val="left" w:pos="1440"/>
        </w:tabs>
        <w:jc w:val="both"/>
        <w:rPr>
          <w:i/>
        </w:rPr>
      </w:pPr>
      <w:r>
        <w:rPr>
          <w:noProof/>
          <w:lang w:val="en-US"/>
        </w:rPr>
        <mc:AlternateContent>
          <mc:Choice Requires="wps">
            <w:drawing>
              <wp:inline distT="0" distB="0" distL="0" distR="0" wp14:anchorId="63FBB233" wp14:editId="16B06DFA">
                <wp:extent cx="5943600" cy="14173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17320"/>
                        </a:xfrm>
                        <a:prstGeom prst="rect">
                          <a:avLst/>
                        </a:prstGeom>
                        <a:solidFill>
                          <a:srgbClr val="FFFFFF"/>
                        </a:solidFill>
                        <a:ln w="9525">
                          <a:solidFill>
                            <a:srgbClr val="000000"/>
                          </a:solidFill>
                          <a:miter lim="800000"/>
                          <a:headEnd/>
                          <a:tailEnd/>
                        </a:ln>
                      </wps:spPr>
                      <wps:txbx>
                        <w:txbxContent>
                          <w:p w14:paraId="3ABBE5CF" w14:textId="41BD7FD7" w:rsidR="00D25F7D" w:rsidRDefault="00D25F7D" w:rsidP="00D25F7D">
                            <w:pPr>
                              <w:jc w:val="both"/>
                              <w:rPr>
                                <w:b/>
                              </w:rPr>
                            </w:pPr>
                            <w:r w:rsidRPr="00D25F7D">
                              <w:rPr>
                                <w:b/>
                              </w:rPr>
                              <w:t xml:space="preserve">Excerpt from </w:t>
                            </w:r>
                            <w:r>
                              <w:rPr>
                                <w:b/>
                              </w:rPr>
                              <w:t>RAN1#94-bis Chairman Notes</w:t>
                            </w:r>
                            <w:r w:rsidR="00AD1568">
                              <w:rPr>
                                <w:b/>
                              </w:rPr>
                              <w:t xml:space="preserve"> [2]</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Companies are encouraged to evaluate and study further mechanism(s) to support multiple UL Tx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Companies to consider specification implications of multiple UL Tx panel/beam support</w:t>
                            </w:r>
                          </w:p>
                          <w:p w14:paraId="73EDF0F9" w14:textId="77777777" w:rsidR="00D25F7D" w:rsidRPr="00D25F7D" w:rsidRDefault="00D25F7D" w:rsidP="00D25F7D">
                            <w:pPr>
                              <w:jc w:val="both"/>
                              <w:rPr>
                                <w:b/>
                              </w:rPr>
                            </w:pPr>
                          </w:p>
                        </w:txbxContent>
                      </wps:txbx>
                      <wps:bodyPr rot="0" vert="horz" wrap="square" lIns="91440" tIns="45720" rIns="91440" bIns="45720" anchor="t" anchorCtr="0">
                        <a:noAutofit/>
                      </wps:bodyPr>
                    </wps:wsp>
                  </a:graphicData>
                </a:graphic>
              </wp:inline>
            </w:drawing>
          </mc:Choice>
          <mc:Fallback>
            <w:pict>
              <v:shape w14:anchorId="63FBB233" id="Text Box 3" o:spid="_x0000_s1027" type="#_x0000_t202" style="width:468pt;height:1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">
                <v:textbox>
                  <w:txbxContent>
                    <w:p w14:paraId="3ABBE5CF" w14:textId="41BD7FD7" w:rsidR="00D25F7D" w:rsidRDefault="00D25F7D" w:rsidP="00D25F7D">
                      <w:pPr>
                        <w:jc w:val="both"/>
                        <w:rPr>
                          <w:b/>
                        </w:rPr>
                      </w:pPr>
                      <w:r w:rsidRPr="00D25F7D">
                        <w:rPr>
                          <w:b/>
                        </w:rPr>
                        <w:t xml:space="preserve">Excerpt from </w:t>
                      </w:r>
                      <w:r>
                        <w:rPr>
                          <w:b/>
                        </w:rPr>
                        <w:t>RAN1#94-bis Chairman Notes</w:t>
                      </w:r>
                      <w:r w:rsidR="00AD1568">
                        <w:rPr>
                          <w:b/>
                        </w:rPr>
                        <w:t xml:space="preserve"> [2]</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Companies are encouraged to evaluate and study further mechanism(s) to support multiple UL Tx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Companies to consider specification implications of multiple UL Tx panel/beam support</w:t>
                      </w:r>
                    </w:p>
                    <w:p w14:paraId="73EDF0F9" w14:textId="77777777" w:rsidR="00D25F7D" w:rsidRPr="00D25F7D" w:rsidRDefault="00D25F7D" w:rsidP="00D25F7D">
                      <w:pPr>
                        <w:jc w:val="both"/>
                        <w:rPr>
                          <w:b/>
                        </w:rPr>
                      </w:pPr>
                    </w:p>
                  </w:txbxContent>
                </v:textbox>
                <w10:anchorlock/>
              </v:shape>
            </w:pict>
          </mc:Fallback>
        </mc:AlternateContent>
      </w:r>
    </w:p>
    <w:p w14:paraId="02970308" w14:textId="34F1A36D" w:rsidR="00DB491C" w:rsidRDefault="00DB491C" w:rsidP="00C756AD">
      <w:pPr>
        <w:tabs>
          <w:tab w:val="left" w:pos="1440"/>
        </w:tabs>
        <w:jc w:val="both"/>
        <w:rPr>
          <w:rFonts w:eastAsia="MS Mincho"/>
          <w:lang w:val="en-US" w:eastAsia="ja-JP"/>
        </w:rPr>
      </w:pPr>
      <w:r>
        <w:rPr>
          <w:rFonts w:eastAsia="MS Mincho"/>
          <w:lang w:val="en-US" w:eastAsia="ja-JP"/>
        </w:rPr>
        <w:t xml:space="preserve">For multi-TRP/panel/beam operation in Rel-16 eMIMO, it is agreed that both single PDCCH (likely with new </w:t>
      </w:r>
      <w:r w:rsidR="00CD6068">
        <w:rPr>
          <w:rFonts w:eastAsia="MS Mincho"/>
          <w:lang w:val="en-US" w:eastAsia="ja-JP"/>
        </w:rPr>
        <w:t xml:space="preserve">field re-interpretations or extended </w:t>
      </w:r>
      <w:r>
        <w:rPr>
          <w:rFonts w:eastAsia="MS Mincho"/>
          <w:lang w:val="en-US" w:eastAsia="ja-JP"/>
        </w:rPr>
        <w:t>DCI formats containing extended beam indication fields, etc.) and multiple PDCCHs may be used based on backhaul assumptions at the TRPs. Although the focus for PDCCH design has been mainly on downlink reception scenarios</w:t>
      </w:r>
      <w:r w:rsidR="00C756AD" w:rsidRPr="00C756AD">
        <w:rPr>
          <w:rFonts w:eastAsia="MS Mincho"/>
          <w:lang w:val="en-US" w:eastAsia="ja-JP"/>
        </w:rPr>
        <w:t xml:space="preserve"> </w:t>
      </w:r>
      <w:r w:rsidR="00C756AD">
        <w:rPr>
          <w:rFonts w:eastAsia="MS Mincho"/>
          <w:lang w:val="en-US" w:eastAsia="ja-JP"/>
        </w:rPr>
        <w:t>so far</w:t>
      </w:r>
      <w:r>
        <w:rPr>
          <w:rFonts w:eastAsia="MS Mincho"/>
          <w:lang w:val="en-US" w:eastAsia="ja-JP"/>
        </w:rPr>
        <w:t>, the same logics and arguments equally well apply to uplink transmission scenarios.</w:t>
      </w:r>
    </w:p>
    <w:p w14:paraId="765C0BB1" w14:textId="77777777" w:rsidR="00DB491C" w:rsidRDefault="00DB491C" w:rsidP="00DB491C">
      <w:pPr>
        <w:tabs>
          <w:tab w:val="left" w:pos="1440"/>
        </w:tabs>
        <w:jc w:val="both"/>
        <w:rPr>
          <w:i/>
        </w:rPr>
      </w:pPr>
      <w:r>
        <w:rPr>
          <w:noProof/>
          <w:lang w:val="en-US"/>
        </w:rPr>
        <mc:AlternateContent>
          <mc:Choice Requires="wps">
            <w:drawing>
              <wp:inline distT="0" distB="0" distL="0" distR="0" wp14:anchorId="44397193" wp14:editId="6AC6F0F0">
                <wp:extent cx="5943600" cy="833120"/>
                <wp:effectExtent l="0" t="0" r="19050"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33120"/>
                        </a:xfrm>
                        <a:prstGeom prst="rect">
                          <a:avLst/>
                        </a:prstGeom>
                        <a:solidFill>
                          <a:srgbClr val="FFFFFF"/>
                        </a:solidFill>
                        <a:ln w="9525">
                          <a:solidFill>
                            <a:srgbClr val="000000"/>
                          </a:solidFill>
                          <a:miter lim="800000"/>
                          <a:headEnd/>
                          <a:tailEnd/>
                        </a:ln>
                      </wps:spPr>
                      <wps:txbx>
                        <w:txbxContent>
                          <w:p w14:paraId="378D87B4" w14:textId="130BFE78" w:rsidR="00DB491C" w:rsidRPr="00475447" w:rsidRDefault="00DB491C" w:rsidP="00DB491C">
                            <w:pPr>
                              <w:jc w:val="both"/>
                              <w:rPr>
                                <w:b/>
                                <w:highlight w:val="green"/>
                              </w:rPr>
                            </w:pPr>
                            <w:r w:rsidRPr="00475447">
                              <w:rPr>
                                <w:b/>
                                <w:highlight w:val="green"/>
                              </w:rPr>
                              <w:t>Agreement</w:t>
                            </w:r>
                            <w:r w:rsidRPr="00FB0CE8">
                              <w:rPr>
                                <w:b/>
                              </w:rPr>
                              <w:t xml:space="preserve"> </w:t>
                            </w:r>
                            <w:r w:rsidRPr="00FB0CE8">
                              <w:rPr>
                                <w:b/>
                                <w:szCs w:val="22"/>
                              </w:rPr>
                              <w:t>(RAN1 #95)</w:t>
                            </w:r>
                            <w:r w:rsidR="00AD1568">
                              <w:rPr>
                                <w:b/>
                                <w:szCs w:val="22"/>
                              </w:rPr>
                              <w:t xml:space="preserve"> [1]</w:t>
                            </w:r>
                          </w:p>
                          <w:p w14:paraId="4B9BD576" w14:textId="77777777" w:rsidR="00DB491C" w:rsidRPr="00FB0CE8" w:rsidRDefault="00DB491C" w:rsidP="00DB491C">
                            <w:pPr>
                              <w:jc w:val="both"/>
                              <w:rPr>
                                <w:lang w:eastAsia="x-none"/>
                              </w:rPr>
                            </w:pPr>
                            <w:r w:rsidRPr="00FB0CE8">
                              <w:t xml:space="preserve">For multi-TRP/panel transmission, </w:t>
                            </w:r>
                            <w:r w:rsidRPr="00FB0CE8">
                              <w:rPr>
                                <w:lang w:eastAsia="x-none"/>
                              </w:rPr>
                              <w:t>both multiple PDCCH and single PDCCH designs are supported in Rel-16</w:t>
                            </w:r>
                          </w:p>
                          <w:p w14:paraId="3458FE3D" w14:textId="77777777" w:rsidR="00DB491C" w:rsidRPr="00FB0CE8" w:rsidRDefault="00DB491C" w:rsidP="00DB491C">
                            <w:pPr>
                              <w:numPr>
                                <w:ilvl w:val="0"/>
                                <w:numId w:val="31"/>
                              </w:numPr>
                              <w:spacing w:after="0"/>
                              <w:jc w:val="both"/>
                              <w:rPr>
                                <w:lang w:eastAsia="x-none"/>
                              </w:rPr>
                            </w:pPr>
                            <w:r w:rsidRPr="00FB0CE8">
                              <w:rPr>
                                <w:lang w:eastAsia="x-none"/>
                              </w:rPr>
                              <w:t>Applies for eMBB</w:t>
                            </w:r>
                          </w:p>
                          <w:p w14:paraId="551E32FD" w14:textId="77777777" w:rsidR="00DB491C" w:rsidRPr="00A77523" w:rsidRDefault="00DB491C" w:rsidP="00DB491C">
                            <w:pPr>
                              <w:rPr>
                                <w:b/>
                                <w:lang w:eastAsia="x-none"/>
                              </w:rPr>
                            </w:pPr>
                          </w:p>
                        </w:txbxContent>
                      </wps:txbx>
                      <wps:bodyPr rot="0" vert="horz" wrap="square" lIns="91440" tIns="45720" rIns="91440" bIns="45720" anchor="t" anchorCtr="0">
                        <a:noAutofit/>
                      </wps:bodyPr>
                    </wps:wsp>
                  </a:graphicData>
                </a:graphic>
              </wp:inline>
            </w:drawing>
          </mc:Choice>
          <mc:Fallback>
            <w:pict>
              <v:shape w14:anchorId="44397193" id="Text Box 2" o:spid="_x0000_s1028" type="#_x0000_t202" style="width:468pt;height: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">
                <v:textbox>
                  <w:txbxContent>
                    <w:p w14:paraId="378D87B4" w14:textId="130BFE78" w:rsidR="00DB491C" w:rsidRPr="00475447" w:rsidRDefault="00DB491C" w:rsidP="00DB491C">
                      <w:pPr>
                        <w:jc w:val="both"/>
                        <w:rPr>
                          <w:b/>
                          <w:highlight w:val="green"/>
                        </w:rPr>
                      </w:pPr>
                      <w:r w:rsidRPr="00475447">
                        <w:rPr>
                          <w:b/>
                          <w:highlight w:val="green"/>
                        </w:rPr>
                        <w:t>Agreement</w:t>
                      </w:r>
                      <w:r w:rsidRPr="00FB0CE8">
                        <w:rPr>
                          <w:b/>
                        </w:rPr>
                        <w:t xml:space="preserve"> </w:t>
                      </w:r>
                      <w:r w:rsidRPr="00FB0CE8">
                        <w:rPr>
                          <w:b/>
                          <w:szCs w:val="22"/>
                        </w:rPr>
                        <w:t>(RAN1 #95)</w:t>
                      </w:r>
                      <w:r w:rsidR="00AD1568">
                        <w:rPr>
                          <w:b/>
                          <w:szCs w:val="22"/>
                        </w:rPr>
                        <w:t xml:space="preserve"> [1]</w:t>
                      </w:r>
                    </w:p>
                    <w:p w14:paraId="4B9BD576" w14:textId="77777777" w:rsidR="00DB491C" w:rsidRPr="00FB0CE8" w:rsidRDefault="00DB491C" w:rsidP="00DB491C">
                      <w:pPr>
                        <w:jc w:val="both"/>
                        <w:rPr>
                          <w:lang w:eastAsia="x-none"/>
                        </w:rPr>
                      </w:pPr>
                      <w:r w:rsidRPr="00FB0CE8">
                        <w:t xml:space="preserve">For multi-TRP/panel transmission, </w:t>
                      </w:r>
                      <w:r w:rsidRPr="00FB0CE8">
                        <w:rPr>
                          <w:lang w:eastAsia="x-none"/>
                        </w:rPr>
                        <w:t>both multiple PDCCH and single PDCCH designs are supported in Rel-16</w:t>
                      </w:r>
                    </w:p>
                    <w:p w14:paraId="3458FE3D" w14:textId="77777777" w:rsidR="00DB491C" w:rsidRPr="00FB0CE8" w:rsidRDefault="00DB491C" w:rsidP="00DB491C">
                      <w:pPr>
                        <w:numPr>
                          <w:ilvl w:val="0"/>
                          <w:numId w:val="31"/>
                        </w:numPr>
                        <w:spacing w:after="0"/>
                        <w:jc w:val="both"/>
                        <w:rPr>
                          <w:lang w:eastAsia="x-none"/>
                        </w:rPr>
                      </w:pPr>
                      <w:r w:rsidRPr="00FB0CE8">
                        <w:rPr>
                          <w:lang w:eastAsia="x-none"/>
                        </w:rPr>
                        <w:t>Applies for eMBB</w:t>
                      </w:r>
                    </w:p>
                    <w:p w14:paraId="551E32FD" w14:textId="77777777" w:rsidR="00DB491C" w:rsidRPr="00A77523" w:rsidRDefault="00DB491C" w:rsidP="00DB491C">
                      <w:pPr>
                        <w:rPr>
                          <w:b/>
                          <w:lang w:eastAsia="x-none"/>
                        </w:rPr>
                      </w:pPr>
                    </w:p>
                  </w:txbxContent>
                </v:textbox>
                <w10:anchorlock/>
              </v:shape>
            </w:pict>
          </mc:Fallback>
        </mc:AlternateContent>
      </w:r>
    </w:p>
    <w:p w14:paraId="5A92AF9B" w14:textId="500DD9DE" w:rsidR="00DB491C" w:rsidRDefault="00D25F7D" w:rsidP="00DB491C">
      <w:pPr>
        <w:tabs>
          <w:tab w:val="left" w:pos="1440"/>
        </w:tabs>
        <w:jc w:val="both"/>
        <w:rPr>
          <w:rFonts w:eastAsia="MS Mincho"/>
          <w:lang w:val="en-US" w:eastAsia="ja-JP"/>
        </w:rPr>
      </w:pPr>
      <w:r>
        <w:rPr>
          <w:rFonts w:eastAsia="MS Mincho"/>
          <w:lang w:val="en-US" w:eastAsia="ja-JP"/>
        </w:rPr>
        <w:lastRenderedPageBreak/>
        <w:t>It is well understood that, based on the time domain allocation indication in the PDCCH / DCI, multiple uplink transmissions scheduled by a single PDCCH (likely with new</w:t>
      </w:r>
      <w:r w:rsidR="008D4DE4">
        <w:rPr>
          <w:rFonts w:eastAsia="MS Mincho"/>
          <w:lang w:val="en-US" w:eastAsia="ja-JP"/>
        </w:rPr>
        <w:t xml:space="preserve"> field re-interpretations or</w:t>
      </w:r>
      <w:r>
        <w:rPr>
          <w:rFonts w:eastAsia="MS Mincho"/>
          <w:lang w:val="en-US" w:eastAsia="ja-JP"/>
        </w:rPr>
        <w:t xml:space="preserve"> extended DCI formats) or multiple PDCCHs may be one-at-a-time with no time overlap, or may partially or fully (i.e., simultaneous) overlap in time. When specifying the new uplink power control changes for the eMIMO framework, i</w:t>
      </w:r>
      <w:r w:rsidR="00FB0CE8">
        <w:rPr>
          <w:rFonts w:eastAsia="MS Mincho"/>
          <w:lang w:val="en-US" w:eastAsia="ja-JP"/>
        </w:rPr>
        <w:t xml:space="preserve">t is important to consider all different cases </w:t>
      </w:r>
      <w:r>
        <w:rPr>
          <w:rFonts w:eastAsia="MS Mincho"/>
          <w:lang w:val="en-US" w:eastAsia="ja-JP"/>
        </w:rPr>
        <w:t xml:space="preserve">for multi-panel uplink transmission based on the PDCCH design and scheduling implications. </w:t>
      </w:r>
    </w:p>
    <w:p w14:paraId="09E82C2F" w14:textId="3E6C0ADE" w:rsidR="0039791F" w:rsidRDefault="009A0B47" w:rsidP="00CD6068">
      <w:pPr>
        <w:tabs>
          <w:tab w:val="left" w:pos="1440"/>
        </w:tabs>
        <w:jc w:val="both"/>
        <w:rPr>
          <w:rFonts w:eastAsia="MS Mincho"/>
          <w:lang w:val="en-US" w:eastAsia="ja-JP"/>
        </w:rPr>
      </w:pPr>
      <w:r>
        <w:rPr>
          <w:rFonts w:eastAsia="MS Mincho"/>
          <w:lang w:val="en-US" w:eastAsia="ja-JP"/>
        </w:rPr>
        <w:t xml:space="preserve">In this contribution, we provide our views on </w:t>
      </w:r>
      <w:r w:rsidR="002E04EC">
        <w:rPr>
          <w:rFonts w:eastAsia="MS Mincho"/>
          <w:lang w:val="en-US" w:eastAsia="ja-JP"/>
        </w:rPr>
        <w:t xml:space="preserve">the power control framework for multi-panel uplink transmission and how this framework would change the power control specification in TS 38.213 </w:t>
      </w:r>
      <w:r w:rsidR="00AD1568">
        <w:rPr>
          <w:rFonts w:eastAsia="MS Mincho"/>
          <w:lang w:val="en-US" w:eastAsia="ja-JP"/>
        </w:rPr>
        <w:t xml:space="preserve">[3] </w:t>
      </w:r>
      <w:r w:rsidR="002E04EC">
        <w:rPr>
          <w:rFonts w:eastAsia="MS Mincho"/>
          <w:lang w:val="en-US" w:eastAsia="ja-JP"/>
        </w:rPr>
        <w:t>for Rel-15</w:t>
      </w:r>
      <w:r w:rsidR="0039791F">
        <w:rPr>
          <w:rFonts w:eastAsia="MS Mincho"/>
          <w:lang w:val="en-US" w:eastAsia="ja-JP"/>
        </w:rPr>
        <w:t xml:space="preserve">. </w:t>
      </w:r>
    </w:p>
    <w:p w14:paraId="444D1DDC" w14:textId="0879EF95" w:rsidR="006C5135" w:rsidRDefault="00D4633D" w:rsidP="000E773D">
      <w:pPr>
        <w:pStyle w:val="Heading1"/>
        <w:ind w:left="0" w:firstLine="0"/>
        <w:rPr>
          <w:bCs/>
        </w:rPr>
      </w:pPr>
      <w:r>
        <w:rPr>
          <w:bCs/>
        </w:rPr>
        <w:t>Power Control</w:t>
      </w:r>
      <w:r w:rsidR="001F7A47">
        <w:rPr>
          <w:bCs/>
        </w:rPr>
        <w:t xml:space="preserve"> Aspects for Multi-Panel Transmission</w:t>
      </w:r>
    </w:p>
    <w:p w14:paraId="33BFE5CB" w14:textId="48FBAE75" w:rsidR="008A1B8C" w:rsidRDefault="001F7A47" w:rsidP="0039791F">
      <w:pPr>
        <w:pStyle w:val="Heading2"/>
      </w:pPr>
      <w:r>
        <w:t xml:space="preserve">Configuration </w:t>
      </w:r>
      <w:r w:rsidR="00497B61">
        <w:t xml:space="preserve">and Indication </w:t>
      </w:r>
      <w:r>
        <w:t>of PC Parameters</w:t>
      </w:r>
    </w:p>
    <w:p w14:paraId="198AE6E4" w14:textId="7F93DDDF" w:rsidR="00082161" w:rsidRDefault="005535BC" w:rsidP="005535BC">
      <w:pPr>
        <w:jc w:val="both"/>
      </w:pPr>
      <w:r>
        <w:t>Beam-specific power control has been a</w:t>
      </w:r>
      <w:r w:rsidR="00C756AD">
        <w:t xml:space="preserve"> main principle adopted in Rel-15 for power control parameter configuration </w:t>
      </w:r>
      <w:r>
        <w:t>so that</w:t>
      </w:r>
      <w:r w:rsidR="00AD1568">
        <w:t xml:space="preserve"> a semi-static</w:t>
      </w:r>
      <w:r w:rsidR="00C756AD">
        <w:t xml:space="preserve"> mapping </w:t>
      </w:r>
      <w:r>
        <w:t xml:space="preserve">is configured </w:t>
      </w:r>
      <w:r w:rsidR="00C756AD">
        <w:t xml:space="preserve">between PUSCH/PUCCH beam indication </w:t>
      </w:r>
      <w:r w:rsidR="000E241C">
        <w:t xml:space="preserve">(e.g., SRI or PUCCH </w:t>
      </w:r>
      <w:r w:rsidR="000E241C" w:rsidRPr="000E241C">
        <w:rPr>
          <w:i/>
          <w:iCs/>
        </w:rPr>
        <w:t>SpatialRelaionInfo</w:t>
      </w:r>
      <w:r w:rsidR="000E241C">
        <w:t xml:space="preserve">) </w:t>
      </w:r>
      <w:r w:rsidR="00C756AD">
        <w:t xml:space="preserve">and the open-loop (OL), pathloss (PL) reference, and closed-loop (CL) power control parameters. </w:t>
      </w:r>
      <w:r w:rsidR="000E241C">
        <w:t>Regardless of the specific mechanism that will be agreed and adopted to capture the ID</w:t>
      </w:r>
      <w:r>
        <w:t xml:space="preserve"> for panel-specific UL transmission</w:t>
      </w:r>
      <w:r w:rsidR="000E241C">
        <w:t>, the same kind of mapping between UL beam indication and PC parameters can be re-used</w:t>
      </w:r>
      <w:r w:rsidR="00AD1568">
        <w:t xml:space="preserve"> in multi-panel transmission mode as well</w:t>
      </w:r>
      <w:r w:rsidR="00082161">
        <w:t xml:space="preserve">, so that when certain UL beam combinations from different UE panels are indicated in the PDCCH(s), the corresponding power control parameters can be inferred and applied for each individual uplink transmission. </w:t>
      </w:r>
    </w:p>
    <w:p w14:paraId="4BBB9B2E" w14:textId="2F654270" w:rsidR="00B80008" w:rsidRDefault="00B80008" w:rsidP="00B80008">
      <w:pPr>
        <w:jc w:val="both"/>
      </w:pPr>
      <w:r>
        <w:t xml:space="preserve">Furthermore, unless new agreements are made in scheduling A.I., it is assumed that Rel-16 supports only one active DL/UL bandwidth part (BWP) similar to Rel-15, so the numerology of all UL transmissions from different UE panels are the same as the numerology of the current active UL BWP. In addition, the RB allocation and MCS for all uplink transmissions are indicated in the PDCCH(s), which can be the same for all uplink transmissions (e.g., for repetition of a same TB) or can be different </w:t>
      </w:r>
      <w:r w:rsidR="00AD1568">
        <w:t xml:space="preserve">for different </w:t>
      </w:r>
      <w:r>
        <w:t xml:space="preserve">uplink transmissions (e.g., for different TBs). </w:t>
      </w:r>
      <w:r w:rsidR="00910B38">
        <w:t xml:space="preserve">One notes that multi-panel uplink transmission can have full, partial, or no overlap in time. </w:t>
      </w:r>
    </w:p>
    <w:p w14:paraId="463A2768" w14:textId="75D2C36D" w:rsidR="00B80008" w:rsidRDefault="00B80008" w:rsidP="005535BC">
      <w:pPr>
        <w:jc w:val="both"/>
      </w:pPr>
      <w:r>
        <w:t>It is proposed in [</w:t>
      </w:r>
      <w:r w:rsidR="00AD1568">
        <w:t>4</w:t>
      </w:r>
      <w:r>
        <w:t xml:space="preserve">] that, by configuring common/shared parameters, signalling saving may be possible for the case of ideal / fast backhaul (e.g., single PDCCH) compared to the case of non-ideal / slow backhaul (e.g., multiple PDCCHs). In our view, however, even for multiple TRPs in the same site or for multiple panels of a same TRP, the QCL </w:t>
      </w:r>
      <w:r w:rsidR="00910B38">
        <w:t>assumptions</w:t>
      </w:r>
      <w:r>
        <w:t xml:space="preserve"> and uplink interference situation</w:t>
      </w:r>
      <w:r w:rsidR="00910B38">
        <w:t>s</w:t>
      </w:r>
      <w:r>
        <w:t xml:space="preserve"> may be quite different, and it is not clear whether </w:t>
      </w:r>
      <w:r w:rsidR="00910B38">
        <w:t xml:space="preserve">the </w:t>
      </w:r>
      <w:r>
        <w:t xml:space="preserve">same power control parameters can be shared by different </w:t>
      </w:r>
      <w:r w:rsidR="005535BC">
        <w:t xml:space="preserve">UL </w:t>
      </w:r>
      <w:r>
        <w:t xml:space="preserve">transmissions even for the case of ideal backhaul. Therefore, it might be </w:t>
      </w:r>
      <w:r w:rsidR="008D4DE4">
        <w:t xml:space="preserve">prudent and conservative </w:t>
      </w:r>
      <w:r>
        <w:t>for the network to keep a flexible configuration framework and independently configure all power control parameters corresponding to different UL beam indications</w:t>
      </w:r>
      <w:r w:rsidR="00910B38">
        <w:t xml:space="preserve"> from different UE panels</w:t>
      </w:r>
      <w:r>
        <w:t xml:space="preserve">. Of course, </w:t>
      </w:r>
      <w:r w:rsidR="00910B38">
        <w:t xml:space="preserve">if appropriate, </w:t>
      </w:r>
      <w:r>
        <w:t xml:space="preserve">the gNB can configure same values for </w:t>
      </w:r>
      <w:r w:rsidR="00910B38">
        <w:t>certain distinct</w:t>
      </w:r>
      <w:r>
        <w:t xml:space="preserve"> UL beam indications. </w:t>
      </w:r>
    </w:p>
    <w:p w14:paraId="773D1DE2" w14:textId="443274FB" w:rsidR="00B80008" w:rsidRDefault="00B80008" w:rsidP="00E32FA7">
      <w:pPr>
        <w:jc w:val="both"/>
      </w:pPr>
      <w:r>
        <w:t xml:space="preserve">Overall, it appears that no new procedure </w:t>
      </w:r>
      <w:r w:rsidR="00E32FA7">
        <w:t xml:space="preserve">is needed </w:t>
      </w:r>
      <w:r>
        <w:t>for configuration and indication of power control parameters compared to Rel-15 design.</w:t>
      </w:r>
    </w:p>
    <w:p w14:paraId="1D0F79C6" w14:textId="1AC43278" w:rsidR="00B80008" w:rsidRPr="000D61CF" w:rsidRDefault="00B80008" w:rsidP="00E32FA7">
      <w:pPr>
        <w:jc w:val="both"/>
        <w:rPr>
          <w:i/>
        </w:rPr>
      </w:pPr>
      <w:r w:rsidRPr="00E1774C">
        <w:rPr>
          <w:b/>
          <w:i/>
          <w:u w:val="single"/>
        </w:rPr>
        <w:t xml:space="preserve">Proposal </w:t>
      </w:r>
      <w:r>
        <w:rPr>
          <w:b/>
          <w:i/>
          <w:u w:val="single"/>
        </w:rPr>
        <w:t>1</w:t>
      </w:r>
      <w:r w:rsidRPr="00E1774C">
        <w:rPr>
          <w:i/>
          <w:u w:val="single"/>
        </w:rPr>
        <w:t>:</w:t>
      </w:r>
      <w:r>
        <w:rPr>
          <w:i/>
        </w:rPr>
        <w:t xml:space="preserve"> </w:t>
      </w:r>
      <w:r w:rsidR="00E32FA7">
        <w:rPr>
          <w:i/>
        </w:rPr>
        <w:t xml:space="preserve">For </w:t>
      </w:r>
      <w:r w:rsidR="00E32FA7" w:rsidRPr="00E32FA7">
        <w:rPr>
          <w:i/>
        </w:rPr>
        <w:t xml:space="preserve">multiple UE-panel transmission, </w:t>
      </w:r>
      <w:r w:rsidR="00E32FA7">
        <w:rPr>
          <w:i/>
        </w:rPr>
        <w:t>s</w:t>
      </w:r>
      <w:r w:rsidR="00910B38">
        <w:rPr>
          <w:i/>
        </w:rPr>
        <w:t xml:space="preserve">pecification should support independent configuration of </w:t>
      </w:r>
      <w:r w:rsidR="00910B38" w:rsidRPr="00910B38">
        <w:rPr>
          <w:i/>
        </w:rPr>
        <w:t>all power control parameters corresponding to different UL beam indications from different UE panels</w:t>
      </w:r>
      <w:r w:rsidR="00910B38">
        <w:rPr>
          <w:i/>
        </w:rPr>
        <w:t>.</w:t>
      </w:r>
      <w:r w:rsidR="00910B38" w:rsidRPr="00910B38">
        <w:rPr>
          <w:i/>
        </w:rPr>
        <w:t xml:space="preserve"> </w:t>
      </w:r>
      <w:r w:rsidR="00910B38" w:rsidRPr="00910B38">
        <w:rPr>
          <w:i/>
          <w:iCs/>
        </w:rPr>
        <w:t xml:space="preserve">No new procedure </w:t>
      </w:r>
      <w:r w:rsidR="00E32FA7" w:rsidRPr="00910B38">
        <w:rPr>
          <w:i/>
          <w:iCs/>
        </w:rPr>
        <w:t xml:space="preserve">is needed </w:t>
      </w:r>
      <w:r w:rsidR="00E32FA7">
        <w:rPr>
          <w:i/>
          <w:iCs/>
        </w:rPr>
        <w:t xml:space="preserve">for </w:t>
      </w:r>
      <w:r w:rsidR="00910B38" w:rsidRPr="00910B38">
        <w:rPr>
          <w:i/>
          <w:iCs/>
        </w:rPr>
        <w:t>configuration and indication of power control parameters compared to Rel-15 design</w:t>
      </w:r>
      <w:r w:rsidRPr="000D61CF">
        <w:rPr>
          <w:i/>
        </w:rPr>
        <w:t>.</w:t>
      </w:r>
    </w:p>
    <w:p w14:paraId="494C5D7C" w14:textId="08A6BAB9" w:rsidR="00B80008" w:rsidRDefault="00B80008" w:rsidP="00CC292D">
      <w:pPr>
        <w:jc w:val="both"/>
      </w:pPr>
      <w:r>
        <w:t xml:space="preserve">One further issue is whether multiple UE-panel transmission, which is possibly targeted at different </w:t>
      </w:r>
      <w:r w:rsidR="009E1925">
        <w:t xml:space="preserve">TRPs or TRP panels, requires an increase in the number of power control parameters maintained at the UE compared to Rel-15 configurations. One recalls that, per RAN1 agreements, a UE maintains up to 32 UE-specific </w:t>
      </w:r>
      <w:r w:rsidR="00910B38">
        <w:t xml:space="preserve">PUSCH </w:t>
      </w:r>
      <w:r w:rsidR="009E1925">
        <w:t xml:space="preserve">P0 values, up to 4 pathloss references, and up to 2 </w:t>
      </w:r>
      <w:r w:rsidR="00CC292D">
        <w:t xml:space="preserve">PUSCH </w:t>
      </w:r>
      <w:r w:rsidR="009E1925">
        <w:t xml:space="preserve">closed-loop processes, </w:t>
      </w:r>
      <w:r w:rsidR="00910B38">
        <w:t xml:space="preserve">etc., </w:t>
      </w:r>
      <w:r w:rsidR="009E1925">
        <w:t xml:space="preserve">per serving cell. In our view, </w:t>
      </w:r>
      <w:r w:rsidR="00910B38">
        <w:t xml:space="preserve">no </w:t>
      </w:r>
      <w:r w:rsidR="009E1925">
        <w:t>increase is needed</w:t>
      </w:r>
      <w:r w:rsidR="00910B38">
        <w:t xml:space="preserve"> in the number of PC parameters maintained at the UE</w:t>
      </w:r>
      <w:r w:rsidR="009E1925">
        <w:t>, since multi-TRP/panel operation was already supported in Rel-15 in a spec-transparent manner (e.g., as in dynamic point selection</w:t>
      </w:r>
      <w:r w:rsidR="00E32FA7">
        <w:t xml:space="preserve"> / TRP switching</w:t>
      </w:r>
      <w:r w:rsidR="009E1925">
        <w:t>)</w:t>
      </w:r>
      <w:r w:rsidR="00E32FA7">
        <w:t xml:space="preserve">, and Rel-15 numbers were decided including all such considerations. </w:t>
      </w:r>
    </w:p>
    <w:p w14:paraId="5305BA35" w14:textId="4DDE642E" w:rsidR="00B80008" w:rsidRDefault="00E32FA7" w:rsidP="009903A9">
      <w:pPr>
        <w:jc w:val="both"/>
      </w:pPr>
      <w:r w:rsidRPr="00E1774C">
        <w:rPr>
          <w:b/>
          <w:i/>
          <w:u w:val="single"/>
        </w:rPr>
        <w:t xml:space="preserve">Proposal </w:t>
      </w:r>
      <w:r>
        <w:rPr>
          <w:b/>
          <w:i/>
          <w:u w:val="single"/>
        </w:rPr>
        <w:t>2</w:t>
      </w:r>
      <w:r w:rsidRPr="00E1774C">
        <w:rPr>
          <w:i/>
          <w:u w:val="single"/>
        </w:rPr>
        <w:t>:</w:t>
      </w:r>
      <w:r>
        <w:rPr>
          <w:i/>
        </w:rPr>
        <w:t xml:space="preserve"> For </w:t>
      </w:r>
      <w:r w:rsidRPr="00E32FA7">
        <w:rPr>
          <w:i/>
        </w:rPr>
        <w:t xml:space="preserve">multiple UE-panel transmission, </w:t>
      </w:r>
      <w:r>
        <w:rPr>
          <w:i/>
        </w:rPr>
        <w:t>no increase is needed for the number of OL/PL/CL power control parameters maintained at the UE compared to Rel-15.</w:t>
      </w:r>
    </w:p>
    <w:p w14:paraId="6B53A30A" w14:textId="77777777" w:rsidR="00497B61" w:rsidRDefault="00497B61" w:rsidP="001F7A47"/>
    <w:p w14:paraId="722CCB2B" w14:textId="2FA1BC96" w:rsidR="001F7A47" w:rsidRDefault="001F7A47" w:rsidP="001F7A47">
      <w:pPr>
        <w:pStyle w:val="Heading2"/>
      </w:pPr>
      <w:r>
        <w:t>Pcmax Definition and Number of PC Equations</w:t>
      </w:r>
    </w:p>
    <w:p w14:paraId="47B0C268" w14:textId="31A0290E" w:rsidR="006372A0" w:rsidRDefault="006372A0" w:rsidP="004853EC">
      <w:pPr>
        <w:jc w:val="both"/>
      </w:pPr>
      <w:r>
        <w:t xml:space="preserve">In Rel-15, Pcmax,f,c captures the </w:t>
      </w:r>
      <w:r w:rsidR="00CC292D">
        <w:t>maximum configured UE output power for the serving cell / uplink carrier</w:t>
      </w:r>
      <w:r>
        <w:t xml:space="preserve">. </w:t>
      </w:r>
      <w:r w:rsidR="009903A9">
        <w:t>For multi-panel transmission, s</w:t>
      </w:r>
      <w:r>
        <w:t xml:space="preserve">ince each UE panel is connected to a separate RF chain and each uplink transmission from each UE panel </w:t>
      </w:r>
      <w:r w:rsidR="0013160C">
        <w:t xml:space="preserve">can have </w:t>
      </w:r>
      <w:r>
        <w:t>its own RB allocation and MCS (same or different</w:t>
      </w:r>
      <w:r w:rsidR="004853EC">
        <w:t xml:space="preserve"> as for other UE panels</w:t>
      </w:r>
      <w:r>
        <w:t>), it makes sense to consider individual power back-off terms (such as MPR, A-MPR, etc.) for each transmitting UL panel, and therefore calculate a separate panel-specific maximum configured UE output power, which we denote as Pcmax,b,f,c, where ‘b’ is the index for UL panel/beam</w:t>
      </w:r>
      <w:r w:rsidR="004853EC">
        <w:t xml:space="preserve">, </w:t>
      </w:r>
      <w:r w:rsidR="004853EC" w:rsidRPr="009903A9">
        <w:t>based on Rel-15 specifications TS 38.101</w:t>
      </w:r>
      <w:r w:rsidR="004853EC">
        <w:t xml:space="preserve"> [5]</w:t>
      </w:r>
      <w:r>
        <w:t xml:space="preserve">. </w:t>
      </w:r>
    </w:p>
    <w:p w14:paraId="12A4D12C" w14:textId="49543B42" w:rsidR="009903A9" w:rsidRDefault="009903A9" w:rsidP="004853EC">
      <w:pPr>
        <w:jc w:val="both"/>
      </w:pPr>
      <w:r w:rsidRPr="00E1774C">
        <w:rPr>
          <w:b/>
          <w:i/>
          <w:u w:val="single"/>
        </w:rPr>
        <w:t xml:space="preserve">Proposal </w:t>
      </w:r>
      <w:r w:rsidR="004853EC">
        <w:rPr>
          <w:b/>
          <w:i/>
          <w:u w:val="single"/>
        </w:rPr>
        <w:t>3</w:t>
      </w:r>
      <w:r w:rsidRPr="00E1774C">
        <w:rPr>
          <w:i/>
          <w:u w:val="single"/>
        </w:rPr>
        <w:t>:</w:t>
      </w:r>
      <w:r>
        <w:rPr>
          <w:i/>
        </w:rPr>
        <w:t xml:space="preserve"> Unless RAN4 indicates otherwise</w:t>
      </w:r>
      <w:bookmarkStart w:id="3" w:name="_GoBack"/>
      <w:bookmarkEnd w:id="3"/>
      <w:r>
        <w:rPr>
          <w:i/>
        </w:rPr>
        <w:t xml:space="preserve">, RAN1 assumes panel-specific Pcmax,b,f,c for </w:t>
      </w:r>
      <w:r w:rsidRPr="00E32FA7">
        <w:rPr>
          <w:i/>
        </w:rPr>
        <w:t>multiple UE-panel transmission</w:t>
      </w:r>
      <w:r>
        <w:rPr>
          <w:i/>
        </w:rPr>
        <w:t>, which is defined separately for each UE transmitting panel based on Rel-15 specifications.</w:t>
      </w:r>
    </w:p>
    <w:p w14:paraId="7209BA42" w14:textId="528CA0B5" w:rsidR="009903A9" w:rsidRDefault="004853EC" w:rsidP="004853EC">
      <w:pPr>
        <w:jc w:val="both"/>
      </w:pPr>
      <w:r>
        <w:t>For multi-panel transmission, s</w:t>
      </w:r>
      <w:r w:rsidR="006372A0">
        <w:t xml:space="preserve">ince panel-specific Pcmax,b,f,c is considered and, as was discussed in Section 2.1 above, the power control parameters for each UL transmission </w:t>
      </w:r>
      <w:r>
        <w:t>corresponding to</w:t>
      </w:r>
      <w:r w:rsidR="006372A0">
        <w:t xml:space="preserve"> each UE panel is configured and indicated separately, [N] power control equations </w:t>
      </w:r>
      <w:r w:rsidR="0013160C">
        <w:t>corresponding to</w:t>
      </w:r>
      <w:r w:rsidR="006372A0">
        <w:t xml:space="preserve"> </w:t>
      </w:r>
      <w:r w:rsidR="0013160C">
        <w:t xml:space="preserve">each of the </w:t>
      </w:r>
      <w:r w:rsidR="006372A0">
        <w:t>[N] overlapping uplink transmission</w:t>
      </w:r>
      <w:r w:rsidR="0013160C">
        <w:t xml:space="preserve"> from the [N] UE-panels will be needed</w:t>
      </w:r>
      <w:r w:rsidR="006372A0">
        <w:t xml:space="preserve">.  </w:t>
      </w:r>
    </w:p>
    <w:p w14:paraId="360ED240" w14:textId="1819C7AB" w:rsidR="006372A0" w:rsidRDefault="009903A9" w:rsidP="004853EC">
      <w:pPr>
        <w:jc w:val="both"/>
        <w:rPr>
          <w:rFonts w:eastAsiaTheme="minorEastAsia"/>
          <w:lang w:val="en-US" w:eastAsia="zh-CN"/>
        </w:rPr>
      </w:pPr>
      <w:r>
        <w:t xml:space="preserve">The set of [N] overlapping uplink transmissions </w:t>
      </w:r>
      <w:r w:rsidR="004853EC">
        <w:t xml:space="preserve">from multiple UE panels </w:t>
      </w:r>
      <w:r>
        <w:t xml:space="preserve">are considered as power-limited in case the aggregate determined power for all [N] transmissions exceed the cell/uplink-specific Pcmax,f,c, which happens if </w:t>
      </w:r>
      <m:oMath>
        <m:nary>
          <m:naryPr>
            <m:chr m:val="∑"/>
            <m:limLoc m:val="undOvr"/>
            <m:supHide m:val="1"/>
            <m:ctrlPr>
              <w:rPr>
                <w:rFonts w:ascii="Cambria Math" w:eastAsiaTheme="minorEastAsia" w:hAnsi="Cambria Math"/>
                <w:i/>
                <w:lang w:val="en-US" w:eastAsia="zh-CN"/>
              </w:rPr>
            </m:ctrlPr>
          </m:naryPr>
          <m:sub>
            <m:r>
              <w:rPr>
                <w:rFonts w:ascii="Cambria Math" w:eastAsiaTheme="minorEastAsia" w:hAnsi="Cambria Math"/>
                <w:lang w:val="en-US" w:eastAsia="zh-CN"/>
              </w:rPr>
              <m:t>b</m:t>
            </m:r>
          </m:sub>
          <m:sup/>
          <m:e>
            <m:r>
              <m:rPr>
                <m:sty m:val="p"/>
              </m:rPr>
              <w:rPr>
                <w:rFonts w:ascii="Cambria Math" w:eastAsiaTheme="minorEastAsia" w:hAnsi="Cambria Math"/>
                <w:lang w:val="en-US" w:eastAsia="zh-CN"/>
              </w:rPr>
              <m:t>Pcmax,b,f,c</m:t>
            </m:r>
          </m:e>
        </m:nary>
      </m:oMath>
      <w:r w:rsidRPr="00D73779">
        <w:rPr>
          <w:rFonts w:eastAsiaTheme="minorEastAsia"/>
          <w:lang w:val="en-US" w:eastAsia="zh-CN"/>
        </w:rPr>
        <w:t xml:space="preserve"> </w:t>
      </w:r>
      <w:r>
        <w:rPr>
          <w:rFonts w:eastAsiaTheme="minorEastAsia"/>
          <w:lang w:val="en-US" w:eastAsia="zh-CN"/>
        </w:rPr>
        <w:t>&gt;</w:t>
      </w:r>
      <w:r w:rsidRPr="00D73779">
        <w:rPr>
          <w:rFonts w:eastAsiaTheme="minorEastAsia"/>
          <w:lang w:val="en-US" w:eastAsia="zh-CN"/>
        </w:rPr>
        <w:t xml:space="preserve"> Pcmax,f,c</w:t>
      </w:r>
      <w:r>
        <w:rPr>
          <w:rFonts w:eastAsiaTheme="minorEastAsia"/>
          <w:lang w:val="en-US" w:eastAsia="zh-CN"/>
        </w:rPr>
        <w:t xml:space="preserve">. In this case, specification should </w:t>
      </w:r>
      <w:r w:rsidR="004853EC">
        <w:rPr>
          <w:rFonts w:eastAsiaTheme="minorEastAsia"/>
          <w:lang w:val="en-US" w:eastAsia="zh-CN"/>
        </w:rPr>
        <w:t xml:space="preserve">support power sharing mechanisms across panels, which can be similar to priority rules for power scaling or dropping in CA power control as in TS 38.213 [3, Section 7.5] or can be further refined based on other considerations. </w:t>
      </w:r>
    </w:p>
    <w:p w14:paraId="16B579B6" w14:textId="6144034C" w:rsidR="004853EC" w:rsidRPr="004853EC" w:rsidRDefault="004853EC" w:rsidP="004853EC">
      <w:pPr>
        <w:jc w:val="both"/>
        <w:rPr>
          <w:i/>
        </w:rPr>
      </w:pPr>
      <w:r w:rsidRPr="00E1774C">
        <w:rPr>
          <w:b/>
          <w:i/>
          <w:u w:val="single"/>
        </w:rPr>
        <w:t xml:space="preserve">Proposal </w:t>
      </w:r>
      <w:r>
        <w:rPr>
          <w:b/>
          <w:i/>
          <w:u w:val="single"/>
        </w:rPr>
        <w:t>4</w:t>
      </w:r>
      <w:r w:rsidRPr="00E1774C">
        <w:rPr>
          <w:i/>
          <w:u w:val="single"/>
        </w:rPr>
        <w:t>:</w:t>
      </w:r>
      <w:r>
        <w:rPr>
          <w:i/>
        </w:rPr>
        <w:t xml:space="preserve"> For </w:t>
      </w:r>
      <w:r w:rsidRPr="00E32FA7">
        <w:rPr>
          <w:i/>
        </w:rPr>
        <w:t>multiple UE-panel transmission</w:t>
      </w:r>
      <w:r>
        <w:rPr>
          <w:i/>
        </w:rPr>
        <w:t xml:space="preserve">s that overlap in time and are power-limited, power sharing mechanisms among UE panels need to be considered, whose baseline can be the </w:t>
      </w:r>
      <w:r w:rsidRPr="004853EC">
        <w:rPr>
          <w:i/>
        </w:rPr>
        <w:t>priority rules for power scaling or dropping in CA power control as in</w:t>
      </w:r>
      <w:r>
        <w:rPr>
          <w:i/>
        </w:rPr>
        <w:t xml:space="preserve"> Rel-15. </w:t>
      </w:r>
    </w:p>
    <w:p w14:paraId="211586F0" w14:textId="6CE3E90D" w:rsidR="001F7A47" w:rsidRDefault="001F7A47" w:rsidP="001F7A47">
      <w:pPr>
        <w:pStyle w:val="Heading2"/>
      </w:pPr>
      <w:r>
        <w:t xml:space="preserve">PHR Definition and Format </w:t>
      </w:r>
    </w:p>
    <w:p w14:paraId="7F7A524B" w14:textId="57DAF8ED" w:rsidR="00C377FC" w:rsidRDefault="00C377FC" w:rsidP="00F20D81">
      <w:pPr>
        <w:jc w:val="both"/>
      </w:pPr>
      <w:r>
        <w:t>Rel-15 supports a single power headroom report (PHR) per serving cell, along with reporting the Pcmax</w:t>
      </w:r>
      <w:r w:rsidR="00563598">
        <w:t>,f,c</w:t>
      </w:r>
      <w:r>
        <w:t xml:space="preserve"> for the case of actual PHR. For multi-panel transmission, depending on the scenario, it might make sense to report 1 PHR as in Rel-15 (e.g., when all transmission from all UE panels target a same TRP / TRP-panel) or to report multiple PHRs (e.g., when targeting different TRPs / TRP-panels). Since the PHR MAC-CE format needs to be fixed, it appears best to configure [N] PHRs per serving cell, where [N] is equal to the configured maximum number of overlapping uplink transmission</w:t>
      </w:r>
      <w:r w:rsidR="00563598">
        <w:t>s</w:t>
      </w:r>
      <w:r>
        <w:t xml:space="preserve"> from different UE panels. </w:t>
      </w:r>
      <w:r w:rsidR="00F20D81">
        <w:t xml:space="preserve">If agreed in RAN1, this can be communicated to RAN2 as a preferred RAN1 design for PHR format. Another aspect to be considered is how to define virtual PHR in multi-panel transmissions. </w:t>
      </w:r>
      <w:r>
        <w:t xml:space="preserve">  </w:t>
      </w:r>
    </w:p>
    <w:p w14:paraId="50547DF7" w14:textId="5797A40E" w:rsidR="00541F33" w:rsidRDefault="00F20D81" w:rsidP="00F20D81">
      <w:pPr>
        <w:jc w:val="both"/>
        <w:rPr>
          <w:i/>
        </w:rPr>
      </w:pPr>
      <w:r w:rsidRPr="00E1774C">
        <w:rPr>
          <w:b/>
          <w:i/>
          <w:u w:val="single"/>
        </w:rPr>
        <w:t xml:space="preserve">Proposal </w:t>
      </w:r>
      <w:r>
        <w:rPr>
          <w:b/>
          <w:i/>
          <w:u w:val="single"/>
        </w:rPr>
        <w:t>5</w:t>
      </w:r>
      <w:r w:rsidRPr="00E1774C">
        <w:rPr>
          <w:i/>
          <w:u w:val="single"/>
        </w:rPr>
        <w:t>:</w:t>
      </w:r>
      <w:r>
        <w:rPr>
          <w:i/>
        </w:rPr>
        <w:t xml:space="preserve"> For </w:t>
      </w:r>
      <w:r w:rsidRPr="00E32FA7">
        <w:rPr>
          <w:i/>
        </w:rPr>
        <w:t>multiple UE-panel transmission</w:t>
      </w:r>
      <w:r>
        <w:rPr>
          <w:i/>
        </w:rPr>
        <w:t xml:space="preserve">, PHR format including the number of PHRs per serving cell and definition of virtual PHR needs to be considered.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21253059" w:rsidR="009A0B47" w:rsidRDefault="007E5B46" w:rsidP="00E32FA7">
      <w:pPr>
        <w:jc w:val="both"/>
        <w:rPr>
          <w:lang w:eastAsia="ja-JP"/>
        </w:rPr>
      </w:pPr>
      <w:r>
        <w:t xml:space="preserve">In summary, </w:t>
      </w:r>
      <w:r>
        <w:rPr>
          <w:lang w:eastAsia="ja-JP"/>
        </w:rPr>
        <w:t xml:space="preserve">we propose the followings for </w:t>
      </w:r>
      <w:r w:rsidR="00E32FA7">
        <w:rPr>
          <w:lang w:eastAsia="ja-JP"/>
        </w:rPr>
        <w:t xml:space="preserve">multiple UE-panel </w:t>
      </w:r>
      <w:r>
        <w:rPr>
          <w:lang w:eastAsia="ja-JP"/>
        </w:rPr>
        <w:t>power control:</w:t>
      </w:r>
    </w:p>
    <w:p w14:paraId="367348FD" w14:textId="452CF038" w:rsidR="00E32FA7" w:rsidRPr="002A4988" w:rsidRDefault="00E32FA7" w:rsidP="00E32FA7">
      <w:pPr>
        <w:jc w:val="both"/>
      </w:pPr>
      <w:r w:rsidRPr="002A4988">
        <w:rPr>
          <w:b/>
          <w:u w:val="single"/>
        </w:rPr>
        <w:t>Proposal 1</w:t>
      </w:r>
      <w:r w:rsidRPr="002A4988">
        <w:rPr>
          <w:u w:val="single"/>
        </w:rPr>
        <w:t>:</w:t>
      </w:r>
      <w:r w:rsidRPr="002A4988">
        <w:t xml:space="preserve"> For multiple UE-panel transmission, specification should support independent configuration of all power control parameters corresponding to different UL beam indications from different UE panels. </w:t>
      </w:r>
      <w:r w:rsidRPr="002A4988">
        <w:rPr>
          <w:iCs/>
        </w:rPr>
        <w:t>No new procedure is needed for configuration and indication of power control parameters compared to Rel-15 design</w:t>
      </w:r>
      <w:r w:rsidRPr="002A4988">
        <w:t>.</w:t>
      </w:r>
    </w:p>
    <w:p w14:paraId="66DD3B52" w14:textId="77777777" w:rsidR="004853EC" w:rsidRPr="002A4988" w:rsidRDefault="00E32FA7" w:rsidP="002A4988">
      <w:pPr>
        <w:jc w:val="both"/>
      </w:pPr>
      <w:r w:rsidRPr="002A4988">
        <w:rPr>
          <w:b/>
          <w:u w:val="single"/>
        </w:rPr>
        <w:t>Proposal 2</w:t>
      </w:r>
      <w:r w:rsidRPr="002A4988">
        <w:rPr>
          <w:u w:val="single"/>
        </w:rPr>
        <w:t>:</w:t>
      </w:r>
      <w:r w:rsidRPr="002A4988">
        <w:t xml:space="preserve"> For multiple UE-panel transmission, no increase is needed for the number of OL/PL/CL power control parameters maintained at the UE compared to Rel-15.</w:t>
      </w:r>
    </w:p>
    <w:p w14:paraId="6F2AF35F" w14:textId="77FE1D56" w:rsidR="004853EC" w:rsidRPr="00B92C05" w:rsidRDefault="004853EC" w:rsidP="002A4988">
      <w:pPr>
        <w:jc w:val="both"/>
      </w:pPr>
      <w:r w:rsidRPr="002A4988">
        <w:rPr>
          <w:b/>
          <w:u w:val="single"/>
        </w:rPr>
        <w:t>Proposal 3</w:t>
      </w:r>
      <w:r w:rsidRPr="002A4988">
        <w:rPr>
          <w:u w:val="single"/>
        </w:rPr>
        <w:t>:</w:t>
      </w:r>
      <w:r w:rsidRPr="002A4988">
        <w:t xml:space="preserve"> Unless RAN4 indicates otherwise, RAN1 assumes panel-specific Pcmax,b,f,c for multiple UE-panel transmission, which is defined separately for each UE transmitting panel based on Rel-15 specifications.</w:t>
      </w:r>
    </w:p>
    <w:p w14:paraId="64A9D0F4" w14:textId="2C52FED1" w:rsidR="004853EC" w:rsidRPr="002A4988" w:rsidRDefault="004853EC" w:rsidP="004853EC">
      <w:pPr>
        <w:jc w:val="both"/>
      </w:pPr>
      <w:r w:rsidRPr="002A4988">
        <w:rPr>
          <w:b/>
          <w:u w:val="single"/>
        </w:rPr>
        <w:lastRenderedPageBreak/>
        <w:t>Proposal 4</w:t>
      </w:r>
      <w:r w:rsidRPr="002A4988">
        <w:rPr>
          <w:u w:val="single"/>
        </w:rPr>
        <w:t>:</w:t>
      </w:r>
      <w:r w:rsidRPr="002A4988">
        <w:t xml:space="preserve"> For multiple UE-panel transmissions that overlap in time and are power-limited, power sharing mechanisms among UE panels need to be considered, whose baseline can be the priority rules for power scaling or dropping in CA power control as in Rel-15. </w:t>
      </w:r>
    </w:p>
    <w:p w14:paraId="5577B4E8" w14:textId="41CA1470" w:rsidR="00F20D81" w:rsidRPr="002A4988" w:rsidRDefault="00F20D81" w:rsidP="00F20D81">
      <w:pPr>
        <w:jc w:val="both"/>
      </w:pPr>
      <w:r w:rsidRPr="002A4988">
        <w:rPr>
          <w:b/>
          <w:u w:val="single"/>
        </w:rPr>
        <w:t>Proposal 5</w:t>
      </w:r>
      <w:r w:rsidRPr="002A4988">
        <w:rPr>
          <w:u w:val="single"/>
        </w:rPr>
        <w:t>:</w:t>
      </w:r>
      <w:r w:rsidRPr="002A4988">
        <w:t xml:space="preserve"> For multiple UE-panel transmission, PHR format including the number of PHRs per serving cell and definition of virtual PHR needs to be considered.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DDBCF9E" w14:textId="263498B7" w:rsidR="009E1925" w:rsidRDefault="009E1925" w:rsidP="00E32FA7">
      <w:pPr>
        <w:numPr>
          <w:ilvl w:val="0"/>
          <w:numId w:val="2"/>
        </w:numPr>
        <w:jc w:val="both"/>
        <w:rPr>
          <w:lang w:bidi="en-US"/>
        </w:rPr>
      </w:pPr>
      <w:r>
        <w:rPr>
          <w:lang w:bidi="en-US"/>
        </w:rPr>
        <w:t>“</w:t>
      </w:r>
      <w:r w:rsidRPr="003C7E08">
        <w:rPr>
          <w:lang w:bidi="en-US"/>
        </w:rPr>
        <w:t>RAN1 Chairman’s Notes</w:t>
      </w:r>
      <w:r>
        <w:rPr>
          <w:lang w:bidi="en-US"/>
        </w:rPr>
        <w:t xml:space="preserve">”, RAN1 #95, </w:t>
      </w:r>
      <w:r w:rsidR="00E32FA7">
        <w:rPr>
          <w:lang w:bidi="en-US"/>
        </w:rPr>
        <w:t>Spokane</w:t>
      </w:r>
      <w:r>
        <w:rPr>
          <w:lang w:bidi="en-US"/>
        </w:rPr>
        <w:t xml:space="preserve">, </w:t>
      </w:r>
      <w:r w:rsidR="00E32FA7">
        <w:rPr>
          <w:lang w:bidi="en-US"/>
        </w:rPr>
        <w:t>WA</w:t>
      </w:r>
      <w:r>
        <w:rPr>
          <w:lang w:bidi="en-US"/>
        </w:rPr>
        <w:t>, USA, November 2018.</w:t>
      </w:r>
    </w:p>
    <w:p w14:paraId="041A347D" w14:textId="5CC77B63" w:rsidR="00CC6DC2" w:rsidRDefault="00CC6DC2" w:rsidP="009E1925">
      <w:pPr>
        <w:numPr>
          <w:ilvl w:val="0"/>
          <w:numId w:val="2"/>
        </w:numPr>
        <w:jc w:val="both"/>
        <w:rPr>
          <w:lang w:bidi="en-US"/>
        </w:rPr>
      </w:pPr>
      <w:r>
        <w:rPr>
          <w:lang w:bidi="en-US"/>
        </w:rPr>
        <w:t>“</w:t>
      </w:r>
      <w:r w:rsidRPr="003C7E08">
        <w:rPr>
          <w:lang w:bidi="en-US"/>
        </w:rPr>
        <w:t>RAN1 Chairman’s Notes</w:t>
      </w:r>
      <w:r w:rsidR="009E1925">
        <w:rPr>
          <w:lang w:bidi="en-US"/>
        </w:rPr>
        <w:t>”, RAN1 #94-bis</w:t>
      </w:r>
      <w:r>
        <w:rPr>
          <w:lang w:bidi="en-US"/>
        </w:rPr>
        <w:t xml:space="preserve">, </w:t>
      </w:r>
      <w:r w:rsidR="009E1925">
        <w:rPr>
          <w:lang w:bidi="en-US"/>
        </w:rPr>
        <w:t>Chengdu</w:t>
      </w:r>
      <w:r>
        <w:rPr>
          <w:lang w:bidi="en-US"/>
        </w:rPr>
        <w:t xml:space="preserve">, </w:t>
      </w:r>
      <w:r w:rsidR="009E1925">
        <w:rPr>
          <w:lang w:bidi="en-US"/>
        </w:rPr>
        <w:t>China</w:t>
      </w:r>
      <w:r>
        <w:rPr>
          <w:lang w:bidi="en-US"/>
        </w:rPr>
        <w:t xml:space="preserve">, </w:t>
      </w:r>
      <w:r w:rsidR="009E1925">
        <w:rPr>
          <w:lang w:bidi="en-US"/>
        </w:rPr>
        <w:t>October</w:t>
      </w:r>
      <w:r>
        <w:rPr>
          <w:lang w:bidi="en-US"/>
        </w:rPr>
        <w:t xml:space="preserve"> 2018.</w:t>
      </w:r>
    </w:p>
    <w:p w14:paraId="346F2307" w14:textId="0A8131B0" w:rsidR="00AD1568" w:rsidRPr="00FB5ACA" w:rsidRDefault="00AD1568" w:rsidP="00AD1568">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v15.4.0, December 2018.</w:t>
      </w:r>
    </w:p>
    <w:p w14:paraId="436BA884" w14:textId="6C116006" w:rsidR="009E1925" w:rsidRDefault="009E1925" w:rsidP="009E1925">
      <w:pPr>
        <w:numPr>
          <w:ilvl w:val="0"/>
          <w:numId w:val="2"/>
        </w:numPr>
        <w:jc w:val="both"/>
        <w:rPr>
          <w:lang w:bidi="en-US"/>
        </w:rPr>
      </w:pPr>
      <w:r w:rsidRPr="009E1925">
        <w:rPr>
          <w:lang w:bidi="en-US"/>
        </w:rPr>
        <w:t>R1-1812262, “Discussion on UL power control for multi-panel operation,” ZTE, RAN1</w:t>
      </w:r>
      <w:r w:rsidR="00E32FA7">
        <w:rPr>
          <w:lang w:bidi="en-US"/>
        </w:rPr>
        <w:t xml:space="preserve"> </w:t>
      </w:r>
      <w:r w:rsidRPr="009E1925">
        <w:rPr>
          <w:lang w:bidi="en-US"/>
        </w:rPr>
        <w:t>#95, November 2018.</w:t>
      </w:r>
    </w:p>
    <w:p w14:paraId="719DBFB6" w14:textId="3C820EFC" w:rsidR="009903A9" w:rsidRDefault="009903A9" w:rsidP="00F84C2D">
      <w:pPr>
        <w:numPr>
          <w:ilvl w:val="0"/>
          <w:numId w:val="2"/>
        </w:numPr>
        <w:jc w:val="both"/>
        <w:rPr>
          <w:lang w:bidi="en-US"/>
        </w:rPr>
      </w:pPr>
      <w:r>
        <w:rPr>
          <w:lang w:bidi="en-US"/>
        </w:rPr>
        <w:t xml:space="preserve">TS 38.101-1,2,3, </w:t>
      </w:r>
      <w:r w:rsidRPr="009903A9">
        <w:rPr>
          <w:bCs/>
        </w:rPr>
        <w:t>“NR; User Equipment (UE) radio transmission and reception; Part</w:t>
      </w:r>
      <w:r>
        <w:rPr>
          <w:bCs/>
        </w:rPr>
        <w:t>s</w:t>
      </w:r>
      <w:r w:rsidRPr="009903A9">
        <w:rPr>
          <w:bCs/>
        </w:rPr>
        <w:t xml:space="preserve"> 1</w:t>
      </w:r>
      <w:r>
        <w:rPr>
          <w:bCs/>
        </w:rPr>
        <w:t>, 2, 3</w:t>
      </w:r>
      <w:r w:rsidRPr="009903A9">
        <w:rPr>
          <w:bCs/>
        </w:rPr>
        <w:t>”, Rel. 15, v15.4.0, December 2018.</w:t>
      </w:r>
    </w:p>
    <w:p w14:paraId="50C2F21F" w14:textId="77777777" w:rsidR="00EA2984" w:rsidRDefault="00EA2984" w:rsidP="00EA2984">
      <w:pPr>
        <w:jc w:val="both"/>
        <w:rPr>
          <w:lang w:bidi="en-US"/>
        </w:rPr>
      </w:pPr>
    </w:p>
    <w:sectPr w:rsidR="00EA298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8DF10" w14:textId="77777777" w:rsidR="003134AC" w:rsidRDefault="003134AC" w:rsidP="0050200A">
      <w:pPr>
        <w:spacing w:after="0"/>
      </w:pPr>
      <w:r>
        <w:separator/>
      </w:r>
    </w:p>
  </w:endnote>
  <w:endnote w:type="continuationSeparator" w:id="0">
    <w:p w14:paraId="156D36B4" w14:textId="77777777" w:rsidR="003134AC" w:rsidRDefault="003134AC"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B615" w14:textId="77777777" w:rsidR="00675F78" w:rsidRDefault="00675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00EA7" w14:textId="77777777" w:rsidR="00675F78" w:rsidRDefault="00675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0A4B" w14:textId="77777777" w:rsidR="00675F78" w:rsidRDefault="00675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20638" w14:textId="77777777" w:rsidR="003134AC" w:rsidRDefault="003134AC" w:rsidP="0050200A">
      <w:pPr>
        <w:spacing w:after="0"/>
      </w:pPr>
      <w:r>
        <w:separator/>
      </w:r>
    </w:p>
  </w:footnote>
  <w:footnote w:type="continuationSeparator" w:id="0">
    <w:p w14:paraId="7DA9818A" w14:textId="77777777" w:rsidR="003134AC" w:rsidRDefault="003134AC"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823" w14:textId="77777777" w:rsidR="00675F78" w:rsidRDefault="00675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F458" w14:textId="77777777" w:rsidR="00675F78" w:rsidRDefault="00675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B647" w14:textId="77777777" w:rsidR="00675F78" w:rsidRDefault="00675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5"/>
  </w:num>
  <w:num w:numId="3">
    <w:abstractNumId w:val="26"/>
  </w:num>
  <w:num w:numId="4">
    <w:abstractNumId w:val="19"/>
  </w:num>
  <w:num w:numId="5">
    <w:abstractNumId w:val="31"/>
  </w:num>
  <w:num w:numId="6">
    <w:abstractNumId w:val="20"/>
  </w:num>
  <w:num w:numId="7">
    <w:abstractNumId w:val="17"/>
  </w:num>
  <w:num w:numId="8">
    <w:abstractNumId w:val="2"/>
  </w:num>
  <w:num w:numId="9">
    <w:abstractNumId w:val="29"/>
  </w:num>
  <w:num w:numId="10">
    <w:abstractNumId w:val="15"/>
  </w:num>
  <w:num w:numId="11">
    <w:abstractNumId w:val="18"/>
  </w:num>
  <w:num w:numId="12">
    <w:abstractNumId w:val="10"/>
  </w:num>
  <w:num w:numId="13">
    <w:abstractNumId w:val="21"/>
  </w:num>
  <w:num w:numId="14">
    <w:abstractNumId w:val="5"/>
  </w:num>
  <w:num w:numId="15">
    <w:abstractNumId w:val="0"/>
  </w:num>
  <w:num w:numId="16">
    <w:abstractNumId w:val="16"/>
  </w:num>
  <w:num w:numId="17">
    <w:abstractNumId w:val="30"/>
  </w:num>
  <w:num w:numId="18">
    <w:abstractNumId w:val="28"/>
  </w:num>
  <w:num w:numId="19">
    <w:abstractNumId w:val="12"/>
  </w:num>
  <w:num w:numId="20">
    <w:abstractNumId w:val="1"/>
  </w:num>
  <w:num w:numId="21">
    <w:abstractNumId w:val="14"/>
  </w:num>
  <w:num w:numId="22">
    <w:abstractNumId w:val="2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6"/>
  </w:num>
  <w:num w:numId="26">
    <w:abstractNumId w:val="24"/>
  </w:num>
  <w:num w:numId="27">
    <w:abstractNumId w:val="22"/>
  </w:num>
  <w:num w:numId="28">
    <w:abstractNumId w:val="26"/>
  </w:num>
  <w:num w:numId="29">
    <w:abstractNumId w:val="9"/>
  </w:num>
  <w:num w:numId="30">
    <w:abstractNumId w:val="13"/>
  </w:num>
  <w:num w:numId="31">
    <w:abstractNumId w:val="11"/>
  </w:num>
  <w:num w:numId="32">
    <w:abstractNumId w:val="7"/>
  </w:num>
  <w:num w:numId="33">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6639"/>
    <w:rsid w:val="00076BB5"/>
    <w:rsid w:val="00080792"/>
    <w:rsid w:val="00082161"/>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241C"/>
    <w:rsid w:val="000E36A4"/>
    <w:rsid w:val="000E773D"/>
    <w:rsid w:val="000F0118"/>
    <w:rsid w:val="000F0BEE"/>
    <w:rsid w:val="000F0C1A"/>
    <w:rsid w:val="000F0DCA"/>
    <w:rsid w:val="000F126F"/>
    <w:rsid w:val="000F4A47"/>
    <w:rsid w:val="000F4A9D"/>
    <w:rsid w:val="000F6964"/>
    <w:rsid w:val="001000E0"/>
    <w:rsid w:val="0010047B"/>
    <w:rsid w:val="00102977"/>
    <w:rsid w:val="00102A09"/>
    <w:rsid w:val="00104AD1"/>
    <w:rsid w:val="00105D1A"/>
    <w:rsid w:val="00115DC0"/>
    <w:rsid w:val="001168EB"/>
    <w:rsid w:val="001249F8"/>
    <w:rsid w:val="0013160C"/>
    <w:rsid w:val="00135B4C"/>
    <w:rsid w:val="001400BC"/>
    <w:rsid w:val="00140689"/>
    <w:rsid w:val="00140C63"/>
    <w:rsid w:val="00146FB1"/>
    <w:rsid w:val="001479C4"/>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A6A"/>
    <w:rsid w:val="001D7C5F"/>
    <w:rsid w:val="001E0F87"/>
    <w:rsid w:val="001E30A2"/>
    <w:rsid w:val="001E5E01"/>
    <w:rsid w:val="001E64C6"/>
    <w:rsid w:val="001E76BA"/>
    <w:rsid w:val="001F2641"/>
    <w:rsid w:val="001F7A47"/>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55B51"/>
    <w:rsid w:val="00261235"/>
    <w:rsid w:val="00264649"/>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A4988"/>
    <w:rsid w:val="002B180A"/>
    <w:rsid w:val="002B22EB"/>
    <w:rsid w:val="002B242E"/>
    <w:rsid w:val="002B2C93"/>
    <w:rsid w:val="002B36AA"/>
    <w:rsid w:val="002B55E4"/>
    <w:rsid w:val="002B5C3D"/>
    <w:rsid w:val="002B6D44"/>
    <w:rsid w:val="002C2AE0"/>
    <w:rsid w:val="002C2C5B"/>
    <w:rsid w:val="002C7604"/>
    <w:rsid w:val="002D3B17"/>
    <w:rsid w:val="002D4067"/>
    <w:rsid w:val="002D44D8"/>
    <w:rsid w:val="002D47ED"/>
    <w:rsid w:val="002D59CD"/>
    <w:rsid w:val="002D6610"/>
    <w:rsid w:val="002D661B"/>
    <w:rsid w:val="002D7E4E"/>
    <w:rsid w:val="002E04EC"/>
    <w:rsid w:val="002E28EB"/>
    <w:rsid w:val="002E7049"/>
    <w:rsid w:val="002F34BC"/>
    <w:rsid w:val="00301296"/>
    <w:rsid w:val="0030758A"/>
    <w:rsid w:val="0031228F"/>
    <w:rsid w:val="00312BE3"/>
    <w:rsid w:val="003130AC"/>
    <w:rsid w:val="003134AC"/>
    <w:rsid w:val="00316D42"/>
    <w:rsid w:val="0032219F"/>
    <w:rsid w:val="0032234C"/>
    <w:rsid w:val="003265F9"/>
    <w:rsid w:val="00326A4A"/>
    <w:rsid w:val="0033255E"/>
    <w:rsid w:val="003404D1"/>
    <w:rsid w:val="003421FB"/>
    <w:rsid w:val="00342951"/>
    <w:rsid w:val="003448C3"/>
    <w:rsid w:val="00345359"/>
    <w:rsid w:val="0035267C"/>
    <w:rsid w:val="00352A17"/>
    <w:rsid w:val="00352B98"/>
    <w:rsid w:val="00352BB8"/>
    <w:rsid w:val="0035348B"/>
    <w:rsid w:val="003573AC"/>
    <w:rsid w:val="00361500"/>
    <w:rsid w:val="00370F46"/>
    <w:rsid w:val="003738BD"/>
    <w:rsid w:val="00373965"/>
    <w:rsid w:val="00374CAF"/>
    <w:rsid w:val="00376D4A"/>
    <w:rsid w:val="0038509B"/>
    <w:rsid w:val="00385D07"/>
    <w:rsid w:val="003862A0"/>
    <w:rsid w:val="00386B9E"/>
    <w:rsid w:val="00386CD4"/>
    <w:rsid w:val="00387834"/>
    <w:rsid w:val="00387B0E"/>
    <w:rsid w:val="0039045C"/>
    <w:rsid w:val="00391700"/>
    <w:rsid w:val="00393C73"/>
    <w:rsid w:val="0039428B"/>
    <w:rsid w:val="00395149"/>
    <w:rsid w:val="0039564A"/>
    <w:rsid w:val="00395954"/>
    <w:rsid w:val="00396752"/>
    <w:rsid w:val="0039791F"/>
    <w:rsid w:val="003A141A"/>
    <w:rsid w:val="003A1433"/>
    <w:rsid w:val="003A2E14"/>
    <w:rsid w:val="003A43FA"/>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2875"/>
    <w:rsid w:val="00443F0D"/>
    <w:rsid w:val="004536AD"/>
    <w:rsid w:val="00460FE1"/>
    <w:rsid w:val="00466170"/>
    <w:rsid w:val="00471619"/>
    <w:rsid w:val="00473CA0"/>
    <w:rsid w:val="0047406D"/>
    <w:rsid w:val="004740F9"/>
    <w:rsid w:val="00474F78"/>
    <w:rsid w:val="004853EC"/>
    <w:rsid w:val="004961E6"/>
    <w:rsid w:val="004964C2"/>
    <w:rsid w:val="00497B61"/>
    <w:rsid w:val="004A2ADB"/>
    <w:rsid w:val="004A3207"/>
    <w:rsid w:val="004A33BD"/>
    <w:rsid w:val="004A372D"/>
    <w:rsid w:val="004A593B"/>
    <w:rsid w:val="004B23BB"/>
    <w:rsid w:val="004B57D8"/>
    <w:rsid w:val="004B59A4"/>
    <w:rsid w:val="004B6D9D"/>
    <w:rsid w:val="004C04DD"/>
    <w:rsid w:val="004C7A6D"/>
    <w:rsid w:val="004D3EFF"/>
    <w:rsid w:val="004D64EE"/>
    <w:rsid w:val="004E3D8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A46"/>
    <w:rsid w:val="00533B6F"/>
    <w:rsid w:val="0053414D"/>
    <w:rsid w:val="00541F33"/>
    <w:rsid w:val="00543ED1"/>
    <w:rsid w:val="005443FC"/>
    <w:rsid w:val="00546D32"/>
    <w:rsid w:val="00552E9A"/>
    <w:rsid w:val="005535BC"/>
    <w:rsid w:val="005542E5"/>
    <w:rsid w:val="0055521A"/>
    <w:rsid w:val="00555B23"/>
    <w:rsid w:val="00556434"/>
    <w:rsid w:val="00560467"/>
    <w:rsid w:val="00561889"/>
    <w:rsid w:val="00563598"/>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5A20"/>
    <w:rsid w:val="005F7E68"/>
    <w:rsid w:val="0060227D"/>
    <w:rsid w:val="00602978"/>
    <w:rsid w:val="00606C0C"/>
    <w:rsid w:val="00613A4F"/>
    <w:rsid w:val="00616650"/>
    <w:rsid w:val="00620176"/>
    <w:rsid w:val="00626884"/>
    <w:rsid w:val="00627EA0"/>
    <w:rsid w:val="00631A2C"/>
    <w:rsid w:val="006372A0"/>
    <w:rsid w:val="00641373"/>
    <w:rsid w:val="006437B0"/>
    <w:rsid w:val="0064409B"/>
    <w:rsid w:val="006453DE"/>
    <w:rsid w:val="00646C47"/>
    <w:rsid w:val="00650BA3"/>
    <w:rsid w:val="0066013F"/>
    <w:rsid w:val="00660539"/>
    <w:rsid w:val="00665E65"/>
    <w:rsid w:val="0066600C"/>
    <w:rsid w:val="00670546"/>
    <w:rsid w:val="00670A88"/>
    <w:rsid w:val="00672992"/>
    <w:rsid w:val="00672FCB"/>
    <w:rsid w:val="0067533B"/>
    <w:rsid w:val="00675F78"/>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E64CA"/>
    <w:rsid w:val="006E6CD9"/>
    <w:rsid w:val="006F01C4"/>
    <w:rsid w:val="006F0331"/>
    <w:rsid w:val="006F67D5"/>
    <w:rsid w:val="006F6BC8"/>
    <w:rsid w:val="006F7B73"/>
    <w:rsid w:val="00704D1E"/>
    <w:rsid w:val="00707BD4"/>
    <w:rsid w:val="007113F1"/>
    <w:rsid w:val="00714EC7"/>
    <w:rsid w:val="00716147"/>
    <w:rsid w:val="00716400"/>
    <w:rsid w:val="00724624"/>
    <w:rsid w:val="0073101D"/>
    <w:rsid w:val="00731700"/>
    <w:rsid w:val="0074040A"/>
    <w:rsid w:val="0074420C"/>
    <w:rsid w:val="00744595"/>
    <w:rsid w:val="007453A2"/>
    <w:rsid w:val="00746743"/>
    <w:rsid w:val="00746B78"/>
    <w:rsid w:val="00747DF7"/>
    <w:rsid w:val="00757742"/>
    <w:rsid w:val="00757E77"/>
    <w:rsid w:val="00760BDD"/>
    <w:rsid w:val="00762170"/>
    <w:rsid w:val="00765237"/>
    <w:rsid w:val="00765491"/>
    <w:rsid w:val="007734FF"/>
    <w:rsid w:val="00775995"/>
    <w:rsid w:val="00775BCF"/>
    <w:rsid w:val="00787B60"/>
    <w:rsid w:val="00794D40"/>
    <w:rsid w:val="00797046"/>
    <w:rsid w:val="007A3F4D"/>
    <w:rsid w:val="007B0AE4"/>
    <w:rsid w:val="007B36D3"/>
    <w:rsid w:val="007B67D7"/>
    <w:rsid w:val="007B692C"/>
    <w:rsid w:val="007B78EA"/>
    <w:rsid w:val="007B7925"/>
    <w:rsid w:val="007B7962"/>
    <w:rsid w:val="007B7CB3"/>
    <w:rsid w:val="007C4024"/>
    <w:rsid w:val="007C4BAB"/>
    <w:rsid w:val="007C559F"/>
    <w:rsid w:val="007C699A"/>
    <w:rsid w:val="007D1626"/>
    <w:rsid w:val="007D2708"/>
    <w:rsid w:val="007D2777"/>
    <w:rsid w:val="007D3D27"/>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4DE4"/>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0B38"/>
    <w:rsid w:val="0091219A"/>
    <w:rsid w:val="00916062"/>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2386"/>
    <w:rsid w:val="00963A5F"/>
    <w:rsid w:val="00963DD5"/>
    <w:rsid w:val="00963FA3"/>
    <w:rsid w:val="00966210"/>
    <w:rsid w:val="009755E5"/>
    <w:rsid w:val="009773BF"/>
    <w:rsid w:val="009773D4"/>
    <w:rsid w:val="00984067"/>
    <w:rsid w:val="00984729"/>
    <w:rsid w:val="009903A9"/>
    <w:rsid w:val="00991CA9"/>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1925"/>
    <w:rsid w:val="009E285D"/>
    <w:rsid w:val="009E46B9"/>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2EDC"/>
    <w:rsid w:val="00A34A8B"/>
    <w:rsid w:val="00A34E5E"/>
    <w:rsid w:val="00A35AB0"/>
    <w:rsid w:val="00A418C4"/>
    <w:rsid w:val="00A60221"/>
    <w:rsid w:val="00A61C3C"/>
    <w:rsid w:val="00A62973"/>
    <w:rsid w:val="00A65E24"/>
    <w:rsid w:val="00A67DCC"/>
    <w:rsid w:val="00A7315B"/>
    <w:rsid w:val="00A73436"/>
    <w:rsid w:val="00A77CA0"/>
    <w:rsid w:val="00A845A3"/>
    <w:rsid w:val="00A85857"/>
    <w:rsid w:val="00A86D5E"/>
    <w:rsid w:val="00A8771E"/>
    <w:rsid w:val="00A91D10"/>
    <w:rsid w:val="00A93F0B"/>
    <w:rsid w:val="00AA70A2"/>
    <w:rsid w:val="00AA7D69"/>
    <w:rsid w:val="00AB12A9"/>
    <w:rsid w:val="00AB13AE"/>
    <w:rsid w:val="00AB1894"/>
    <w:rsid w:val="00AC013B"/>
    <w:rsid w:val="00AC2E8F"/>
    <w:rsid w:val="00AC35D0"/>
    <w:rsid w:val="00AC3BC9"/>
    <w:rsid w:val="00AC4572"/>
    <w:rsid w:val="00AC5EF7"/>
    <w:rsid w:val="00AD02E8"/>
    <w:rsid w:val="00AD1568"/>
    <w:rsid w:val="00AD234B"/>
    <w:rsid w:val="00AD327B"/>
    <w:rsid w:val="00AD564A"/>
    <w:rsid w:val="00AE6379"/>
    <w:rsid w:val="00AE656C"/>
    <w:rsid w:val="00AE680A"/>
    <w:rsid w:val="00AE68AE"/>
    <w:rsid w:val="00AF0077"/>
    <w:rsid w:val="00AF0B90"/>
    <w:rsid w:val="00AF16E4"/>
    <w:rsid w:val="00AF2641"/>
    <w:rsid w:val="00AF35A3"/>
    <w:rsid w:val="00AF3A9B"/>
    <w:rsid w:val="00AF7562"/>
    <w:rsid w:val="00AF77AA"/>
    <w:rsid w:val="00B04064"/>
    <w:rsid w:val="00B0771B"/>
    <w:rsid w:val="00B114BD"/>
    <w:rsid w:val="00B14167"/>
    <w:rsid w:val="00B1482A"/>
    <w:rsid w:val="00B2045E"/>
    <w:rsid w:val="00B20D55"/>
    <w:rsid w:val="00B26F19"/>
    <w:rsid w:val="00B30078"/>
    <w:rsid w:val="00B32EAD"/>
    <w:rsid w:val="00B347CC"/>
    <w:rsid w:val="00B4197C"/>
    <w:rsid w:val="00B43F5E"/>
    <w:rsid w:val="00B4431C"/>
    <w:rsid w:val="00B535AE"/>
    <w:rsid w:val="00B53850"/>
    <w:rsid w:val="00B53A82"/>
    <w:rsid w:val="00B61D3E"/>
    <w:rsid w:val="00B6371A"/>
    <w:rsid w:val="00B63FCA"/>
    <w:rsid w:val="00B67458"/>
    <w:rsid w:val="00B6762B"/>
    <w:rsid w:val="00B72BB2"/>
    <w:rsid w:val="00B75BEA"/>
    <w:rsid w:val="00B80008"/>
    <w:rsid w:val="00B81FCD"/>
    <w:rsid w:val="00B867E7"/>
    <w:rsid w:val="00B90BB1"/>
    <w:rsid w:val="00B92C05"/>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53CF"/>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3467B"/>
    <w:rsid w:val="00C3521F"/>
    <w:rsid w:val="00C3567D"/>
    <w:rsid w:val="00C356A8"/>
    <w:rsid w:val="00C35792"/>
    <w:rsid w:val="00C36E05"/>
    <w:rsid w:val="00C36EF6"/>
    <w:rsid w:val="00C371D8"/>
    <w:rsid w:val="00C377FC"/>
    <w:rsid w:val="00C40C21"/>
    <w:rsid w:val="00C435B2"/>
    <w:rsid w:val="00C45635"/>
    <w:rsid w:val="00C47D07"/>
    <w:rsid w:val="00C52A55"/>
    <w:rsid w:val="00C5643E"/>
    <w:rsid w:val="00C5690E"/>
    <w:rsid w:val="00C700E2"/>
    <w:rsid w:val="00C756AD"/>
    <w:rsid w:val="00C75D4F"/>
    <w:rsid w:val="00C768E2"/>
    <w:rsid w:val="00C76FCB"/>
    <w:rsid w:val="00C80771"/>
    <w:rsid w:val="00C80D0D"/>
    <w:rsid w:val="00C84DF6"/>
    <w:rsid w:val="00C86F0A"/>
    <w:rsid w:val="00C9012D"/>
    <w:rsid w:val="00C9085C"/>
    <w:rsid w:val="00C91B4A"/>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292D"/>
    <w:rsid w:val="00CC375F"/>
    <w:rsid w:val="00CC47B0"/>
    <w:rsid w:val="00CC6DC2"/>
    <w:rsid w:val="00CC713E"/>
    <w:rsid w:val="00CD121E"/>
    <w:rsid w:val="00CD216C"/>
    <w:rsid w:val="00CD439E"/>
    <w:rsid w:val="00CD6068"/>
    <w:rsid w:val="00CD6394"/>
    <w:rsid w:val="00CD7620"/>
    <w:rsid w:val="00CE1B47"/>
    <w:rsid w:val="00CE2548"/>
    <w:rsid w:val="00CE59CF"/>
    <w:rsid w:val="00CF2C30"/>
    <w:rsid w:val="00CF2EEA"/>
    <w:rsid w:val="00CF7ED8"/>
    <w:rsid w:val="00D0010A"/>
    <w:rsid w:val="00D020E2"/>
    <w:rsid w:val="00D10C11"/>
    <w:rsid w:val="00D11251"/>
    <w:rsid w:val="00D11500"/>
    <w:rsid w:val="00D11CAC"/>
    <w:rsid w:val="00D121B5"/>
    <w:rsid w:val="00D1421D"/>
    <w:rsid w:val="00D15958"/>
    <w:rsid w:val="00D1704B"/>
    <w:rsid w:val="00D210C1"/>
    <w:rsid w:val="00D25765"/>
    <w:rsid w:val="00D25F7D"/>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91C"/>
    <w:rsid w:val="00DB4AB4"/>
    <w:rsid w:val="00DB5679"/>
    <w:rsid w:val="00DD131E"/>
    <w:rsid w:val="00DE2767"/>
    <w:rsid w:val="00DE36BE"/>
    <w:rsid w:val="00DF2401"/>
    <w:rsid w:val="00DF68F4"/>
    <w:rsid w:val="00DF7B2A"/>
    <w:rsid w:val="00E0292B"/>
    <w:rsid w:val="00E0321B"/>
    <w:rsid w:val="00E03AE0"/>
    <w:rsid w:val="00E046A9"/>
    <w:rsid w:val="00E04F71"/>
    <w:rsid w:val="00E05BCF"/>
    <w:rsid w:val="00E10AA7"/>
    <w:rsid w:val="00E11E4E"/>
    <w:rsid w:val="00E1381F"/>
    <w:rsid w:val="00E141BA"/>
    <w:rsid w:val="00E1774C"/>
    <w:rsid w:val="00E20BE5"/>
    <w:rsid w:val="00E24D1B"/>
    <w:rsid w:val="00E32FA7"/>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0D81"/>
    <w:rsid w:val="00F2427A"/>
    <w:rsid w:val="00F25C1A"/>
    <w:rsid w:val="00F304DF"/>
    <w:rsid w:val="00F35722"/>
    <w:rsid w:val="00F36543"/>
    <w:rsid w:val="00F40D66"/>
    <w:rsid w:val="00F41497"/>
    <w:rsid w:val="00F42850"/>
    <w:rsid w:val="00F43572"/>
    <w:rsid w:val="00F45B54"/>
    <w:rsid w:val="00F50D32"/>
    <w:rsid w:val="00F54AF4"/>
    <w:rsid w:val="00F600B8"/>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0CE8"/>
    <w:rsid w:val="00FB5ACA"/>
    <w:rsid w:val="00FB641E"/>
    <w:rsid w:val="00FB6EEE"/>
    <w:rsid w:val="00FB7CF2"/>
    <w:rsid w:val="00FC0002"/>
    <w:rsid w:val="00FC0802"/>
    <w:rsid w:val="00FC0FAD"/>
    <w:rsid w:val="00FC2D34"/>
    <w:rsid w:val="00FC3E2D"/>
    <w:rsid w:val="00FD0C1F"/>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paragraph" w:customStyle="1" w:styleId="LGTdoc">
    <w:name w:val="LGTdoc_본문"/>
    <w:basedOn w:val="Normal"/>
    <w:link w:val="LGTdocChar"/>
    <w:rsid w:val="00FB0CE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FB0CE8"/>
    <w:rPr>
      <w:rFonts w:ascii="Times New Roman" w:eastAsia="Batang" w:hAnsi="Times New Roman" w:cs="Times New Roman"/>
      <w:kern w:val="2"/>
      <w:szCs w:val="24"/>
      <w:lang w:val="en-GB" w:eastAsia="ko-KR"/>
    </w:rPr>
  </w:style>
  <w:style w:type="paragraph" w:customStyle="1" w:styleId="3GPPHeader">
    <w:name w:val="3GPP_Header"/>
    <w:basedOn w:val="Normal"/>
    <w:qFormat/>
    <w:rsid w:val="009E1925"/>
    <w:pPr>
      <w:tabs>
        <w:tab w:val="left" w:pos="1800"/>
        <w:tab w:val="right" w:pos="9360"/>
      </w:tabs>
      <w:spacing w:after="0" w:line="276" w:lineRule="auto"/>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FB7C5-46B8-492A-B71C-80562CD0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1580</Words>
  <Characters>9007</Characters>
  <Application>Microsoft Office Word</Application>
  <DocSecurity>0</DocSecurity>
  <Lines>75</Lines>
  <Paragraphs>21</Paragraphs>
  <ScaleCrop>false</ScaleCrop>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2019-01-12T05:32:00Z</dcterms:created>
  <dcterms:modified xsi:type="dcterms:W3CDTF">2019-01-12T05:32:00Z</dcterms:modified>
</cp:coreProperties>
</file>