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21A08" w14:textId="217D0E46"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w:t>
      </w:r>
      <w:r w:rsidR="001400E2">
        <w:rPr>
          <w:rFonts w:cs="Arial"/>
          <w:bCs/>
          <w:sz w:val="20"/>
          <w:lang w:eastAsia="ja-JP"/>
        </w:rPr>
        <w:t xml:space="preserve"> </w:t>
      </w:r>
      <w:r w:rsidR="001400E2" w:rsidRPr="001400E2">
        <w:rPr>
          <w:rFonts w:cs="Arial"/>
          <w:bCs/>
          <w:sz w:val="20"/>
          <w:lang w:eastAsia="ja-JP"/>
        </w:rPr>
        <w:t>Ad-Hoc Meeting 1901</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144C75" w:rsidRPr="00144C75">
        <w:rPr>
          <w:rFonts w:cs="Arial"/>
          <w:bCs/>
          <w:sz w:val="20"/>
          <w:lang w:eastAsia="ja-JP"/>
        </w:rPr>
        <w:t xml:space="preserve">R1-1900699 </w:t>
      </w:r>
    </w:p>
    <w:p w14:paraId="1B7D766E" w14:textId="0A6A8C8D" w:rsidR="003B3942" w:rsidRPr="003B3942" w:rsidRDefault="001400E2" w:rsidP="003B3942">
      <w:pPr>
        <w:pStyle w:val="TdocHeader2"/>
        <w:jc w:val="left"/>
        <w:rPr>
          <w:rFonts w:eastAsia="SimSun"/>
          <w:lang w:val="en-US" w:eastAsia="zh-CN"/>
        </w:rPr>
      </w:pPr>
      <w:r w:rsidRPr="001400E2">
        <w:rPr>
          <w:rFonts w:eastAsia="ＭＳ 明朝" w:cs="Arial"/>
          <w:bCs/>
          <w:sz w:val="20"/>
          <w:lang w:val="en-US" w:eastAsia="ja-JP"/>
        </w:rPr>
        <w:t>Taipei, Taiwan, 21st – 25th January, 2019</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4C0D2582"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894CC0" w:rsidRPr="00894CC0">
        <w:rPr>
          <w:rFonts w:eastAsiaTheme="minorEastAsia"/>
          <w:b w:val="0"/>
          <w:sz w:val="20"/>
          <w:lang w:eastAsia="ja-JP"/>
        </w:rPr>
        <w:t>Uplink Power Control for Supporting NR-NR Dual-Connectivity</w:t>
      </w:r>
    </w:p>
    <w:p w14:paraId="4F6A3FAC" w14:textId="4F04D41B"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894CC0">
        <w:rPr>
          <w:rFonts w:ascii="Arial" w:eastAsia="SimSun" w:hAnsi="Arial"/>
          <w:lang w:eastAsia="zh-CN"/>
        </w:rPr>
        <w:t>2</w:t>
      </w:r>
      <w:r w:rsidR="00B5533A">
        <w:rPr>
          <w:rFonts w:ascii="Arial" w:eastAsia="SimSun" w:hAnsi="Arial"/>
          <w:lang w:eastAsia="zh-CN"/>
        </w:rPr>
        <w:t>.</w:t>
      </w:r>
      <w:r w:rsidR="00894CC0">
        <w:rPr>
          <w:rFonts w:ascii="Arial" w:eastAsia="SimSun" w:hAnsi="Arial"/>
          <w:lang w:eastAsia="zh-CN"/>
        </w:rPr>
        <w:t>13.1</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5070C122" w14:textId="370622D1" w:rsidR="00217380" w:rsidRDefault="00217380" w:rsidP="00F653F7">
      <w:pPr>
        <w:rPr>
          <w:rFonts w:eastAsiaTheme="minorEastAsia" w:cs="Arial"/>
          <w:lang w:eastAsia="ja-JP"/>
        </w:rPr>
      </w:pPr>
      <w:r>
        <w:rPr>
          <w:rFonts w:eastAsiaTheme="minorEastAsia" w:cs="Arial"/>
          <w:lang w:eastAsia="ja-JP"/>
        </w:rPr>
        <w:t xml:space="preserve">This document discusses </w:t>
      </w:r>
      <w:r w:rsidR="0033519C">
        <w:rPr>
          <w:rFonts w:eastAsiaTheme="minorEastAsia" w:cs="Arial"/>
          <w:lang w:eastAsia="ja-JP"/>
        </w:rPr>
        <w:t xml:space="preserve">the </w:t>
      </w:r>
      <w:r w:rsidR="007B0420">
        <w:rPr>
          <w:rFonts w:eastAsiaTheme="minorEastAsia" w:cs="Arial"/>
          <w:lang w:eastAsia="ja-JP"/>
        </w:rPr>
        <w:t>u</w:t>
      </w:r>
      <w:r w:rsidR="007B0420" w:rsidRPr="007B0420">
        <w:rPr>
          <w:rFonts w:eastAsiaTheme="minorEastAsia" w:cs="Arial"/>
          <w:lang w:eastAsia="ja-JP"/>
        </w:rPr>
        <w:t>plink Power Control for Supporting NR-NR Dual-Connectivity</w:t>
      </w:r>
      <w:r w:rsidR="00F97E5E">
        <w:rPr>
          <w:rFonts w:eastAsiaTheme="minorEastAsia" w:cs="Arial"/>
          <w:lang w:eastAsia="ja-JP"/>
        </w:rPr>
        <w:t xml:space="preserve"> </w:t>
      </w:r>
      <w:r w:rsidR="003A3F6B">
        <w:rPr>
          <w:rFonts w:eastAsiaTheme="minorEastAsia" w:cs="Arial"/>
          <w:lang w:eastAsia="ja-JP"/>
        </w:rPr>
        <w:t>(DC)</w:t>
      </w:r>
      <w:r w:rsidR="007B0420">
        <w:rPr>
          <w:rFonts w:eastAsiaTheme="minorEastAsia" w:cs="Arial"/>
          <w:lang w:eastAsia="ja-JP"/>
        </w:rPr>
        <w:t>.</w:t>
      </w:r>
    </w:p>
    <w:p w14:paraId="3809D7EC" w14:textId="77777777" w:rsidR="00217380" w:rsidRPr="009034C9" w:rsidRDefault="00217380" w:rsidP="00F653F7">
      <w:pPr>
        <w:rPr>
          <w:rFonts w:eastAsiaTheme="minorEastAsia" w:cs="Arial"/>
          <w:lang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765DD1B1" w14:textId="47585A42" w:rsidR="00881731" w:rsidRDefault="00881731" w:rsidP="00881731">
      <w:pPr>
        <w:rPr>
          <w:lang w:eastAsia="ja-JP"/>
        </w:rPr>
      </w:pPr>
      <w:r>
        <w:rPr>
          <w:lang w:eastAsia="ja-JP"/>
        </w:rPr>
        <w:t xml:space="preserve">As the way of the definition of Tx power is different between FR1 and FR2, we can categorize the </w:t>
      </w:r>
      <w:r w:rsidR="00144C75">
        <w:rPr>
          <w:lang w:eastAsia="ja-JP"/>
        </w:rPr>
        <w:t xml:space="preserve">NR-NR </w:t>
      </w:r>
      <w:r w:rsidR="00DD5A83">
        <w:rPr>
          <w:lang w:eastAsia="ja-JP"/>
        </w:rPr>
        <w:t>D</w:t>
      </w:r>
      <w:r>
        <w:rPr>
          <w:lang w:eastAsia="ja-JP"/>
        </w:rPr>
        <w:t xml:space="preserve">ual connectivity as following. </w:t>
      </w:r>
    </w:p>
    <w:p w14:paraId="0CD653BC" w14:textId="4A49D7F5" w:rsidR="00881731" w:rsidRDefault="00881731" w:rsidP="00032030">
      <w:pPr>
        <w:ind w:leftChars="200" w:left="400"/>
        <w:rPr>
          <w:lang w:eastAsia="ja-JP"/>
        </w:rPr>
      </w:pPr>
      <w:r>
        <w:rPr>
          <w:lang w:eastAsia="ja-JP"/>
        </w:rPr>
        <w:t>Case 1:</w:t>
      </w:r>
      <w:r>
        <w:rPr>
          <w:lang w:eastAsia="ja-JP"/>
        </w:rPr>
        <w:tab/>
        <w:t xml:space="preserve">PCG is located </w:t>
      </w:r>
      <w:r w:rsidR="003A0E7D">
        <w:rPr>
          <w:lang w:eastAsia="ja-JP"/>
        </w:rPr>
        <w:t xml:space="preserve">only </w:t>
      </w:r>
      <w:r>
        <w:rPr>
          <w:lang w:eastAsia="ja-JP"/>
        </w:rPr>
        <w:t xml:space="preserve">in FR 1. SCG is located </w:t>
      </w:r>
      <w:r w:rsidR="003A0E7D">
        <w:rPr>
          <w:lang w:eastAsia="ja-JP"/>
        </w:rPr>
        <w:t xml:space="preserve">only </w:t>
      </w:r>
      <w:r>
        <w:rPr>
          <w:lang w:eastAsia="ja-JP"/>
        </w:rPr>
        <w:t>in FR 2</w:t>
      </w:r>
      <w:r w:rsidR="00805DC4">
        <w:rPr>
          <w:lang w:eastAsia="ja-JP"/>
        </w:rPr>
        <w:t>.</w:t>
      </w:r>
    </w:p>
    <w:p w14:paraId="451C1D94" w14:textId="238B5EBC" w:rsidR="00881731" w:rsidRDefault="00881731" w:rsidP="00032030">
      <w:pPr>
        <w:ind w:leftChars="200" w:left="400"/>
        <w:rPr>
          <w:lang w:eastAsia="ja-JP"/>
        </w:rPr>
      </w:pPr>
      <w:r>
        <w:rPr>
          <w:lang w:eastAsia="ja-JP"/>
        </w:rPr>
        <w:t>Case 2:</w:t>
      </w:r>
      <w:r>
        <w:rPr>
          <w:lang w:eastAsia="ja-JP"/>
        </w:rPr>
        <w:tab/>
        <w:t xml:space="preserve">PCG is located </w:t>
      </w:r>
      <w:r w:rsidR="003A0E7D">
        <w:rPr>
          <w:lang w:eastAsia="ja-JP"/>
        </w:rPr>
        <w:t xml:space="preserve">only </w:t>
      </w:r>
      <w:r>
        <w:rPr>
          <w:lang w:eastAsia="ja-JP"/>
        </w:rPr>
        <w:t xml:space="preserve">in FR 2. SCG is located </w:t>
      </w:r>
      <w:r w:rsidR="003A0E7D">
        <w:rPr>
          <w:lang w:eastAsia="ja-JP"/>
        </w:rPr>
        <w:t xml:space="preserve">only </w:t>
      </w:r>
      <w:r>
        <w:rPr>
          <w:lang w:eastAsia="ja-JP"/>
        </w:rPr>
        <w:t xml:space="preserve">in FR </w:t>
      </w:r>
      <w:r w:rsidR="00B547FE">
        <w:rPr>
          <w:lang w:eastAsia="ja-JP"/>
        </w:rPr>
        <w:t>1</w:t>
      </w:r>
      <w:r w:rsidR="00805DC4">
        <w:rPr>
          <w:lang w:eastAsia="ja-JP"/>
        </w:rPr>
        <w:t>.</w:t>
      </w:r>
    </w:p>
    <w:p w14:paraId="62A78D88" w14:textId="236316D2" w:rsidR="00881731" w:rsidRDefault="00805DC4" w:rsidP="00032030">
      <w:pPr>
        <w:ind w:leftChars="200" w:left="400"/>
        <w:rPr>
          <w:lang w:eastAsia="ja-JP"/>
        </w:rPr>
      </w:pPr>
      <w:r>
        <w:rPr>
          <w:lang w:eastAsia="ja-JP"/>
        </w:rPr>
        <w:t>Case 3</w:t>
      </w:r>
      <w:r w:rsidR="00881731">
        <w:rPr>
          <w:lang w:eastAsia="ja-JP"/>
        </w:rPr>
        <w:t>:</w:t>
      </w:r>
      <w:r w:rsidR="00881731">
        <w:rPr>
          <w:lang w:eastAsia="ja-JP"/>
        </w:rPr>
        <w:tab/>
      </w:r>
      <w:r>
        <w:rPr>
          <w:lang w:eastAsia="ja-JP"/>
        </w:rPr>
        <w:t xml:space="preserve">FR1 contains PCG and SCG. </w:t>
      </w:r>
    </w:p>
    <w:p w14:paraId="0511CD09" w14:textId="18687AEE" w:rsidR="00805DC4" w:rsidRDefault="00805DC4" w:rsidP="00032030">
      <w:pPr>
        <w:ind w:leftChars="200" w:left="400"/>
        <w:rPr>
          <w:lang w:eastAsia="ja-JP"/>
        </w:rPr>
      </w:pPr>
      <w:r>
        <w:rPr>
          <w:lang w:eastAsia="ja-JP"/>
        </w:rPr>
        <w:t>Case 4:</w:t>
      </w:r>
      <w:r>
        <w:rPr>
          <w:lang w:eastAsia="ja-JP"/>
        </w:rPr>
        <w:tab/>
        <w:t xml:space="preserve">FR2 contains PCG and SCG. </w:t>
      </w:r>
    </w:p>
    <w:p w14:paraId="16F38825" w14:textId="7A4E9E3D" w:rsidR="00805DC4" w:rsidRDefault="00805DC4" w:rsidP="00032030">
      <w:pPr>
        <w:ind w:leftChars="200" w:left="400"/>
        <w:rPr>
          <w:lang w:eastAsia="ja-JP"/>
        </w:rPr>
      </w:pPr>
      <w:r>
        <w:rPr>
          <w:lang w:eastAsia="ja-JP"/>
        </w:rPr>
        <w:t>Case 5:</w:t>
      </w:r>
      <w:r>
        <w:rPr>
          <w:lang w:eastAsia="ja-JP"/>
        </w:rPr>
        <w:tab/>
        <w:t xml:space="preserve">FR 1 contains PCG and SCG. FR2 contains PCG and SCG. </w:t>
      </w:r>
    </w:p>
    <w:p w14:paraId="37E08846" w14:textId="613292E6" w:rsidR="00805DC4" w:rsidRDefault="00032030" w:rsidP="00881731">
      <w:pPr>
        <w:rPr>
          <w:lang w:eastAsia="ja-JP"/>
        </w:rPr>
      </w:pPr>
      <w:r>
        <w:rPr>
          <w:rFonts w:hint="eastAsia"/>
          <w:lang w:eastAsia="ja-JP"/>
        </w:rPr>
        <w:t>For case 1 and case 2, independent power control in FR1 and FR2 respectively are possible</w:t>
      </w:r>
      <w:r w:rsidR="00B348EF">
        <w:rPr>
          <w:lang w:eastAsia="ja-JP"/>
        </w:rPr>
        <w:t xml:space="preserve"> because the way of Tx power measurement itself is different</w:t>
      </w:r>
      <w:r>
        <w:rPr>
          <w:rFonts w:hint="eastAsia"/>
          <w:lang w:eastAsia="ja-JP"/>
        </w:rPr>
        <w:t xml:space="preserve">. </w:t>
      </w:r>
      <w:r w:rsidR="003A0E7D">
        <w:rPr>
          <w:lang w:eastAsia="ja-JP"/>
        </w:rPr>
        <w:t xml:space="preserve">This is regardless of synchronous or asynchronous. </w:t>
      </w:r>
      <w:r>
        <w:rPr>
          <w:rFonts w:hint="eastAsia"/>
          <w:lang w:eastAsia="ja-JP"/>
        </w:rPr>
        <w:t xml:space="preserve">Therefore, no specific agreement is required. </w:t>
      </w:r>
    </w:p>
    <w:p w14:paraId="069CBDED" w14:textId="285690B1" w:rsidR="00032030" w:rsidRDefault="00032030" w:rsidP="00881731">
      <w:pPr>
        <w:rPr>
          <w:lang w:eastAsia="ja-JP"/>
        </w:rPr>
      </w:pPr>
    </w:p>
    <w:p w14:paraId="4FABA304" w14:textId="55E5F199" w:rsidR="003A0E7D" w:rsidRDefault="003A0E7D" w:rsidP="003A0E7D">
      <w:pPr>
        <w:rPr>
          <w:b/>
          <w:lang w:eastAsia="ja-JP"/>
        </w:rPr>
      </w:pPr>
      <w:r>
        <w:rPr>
          <w:b/>
          <w:lang w:eastAsia="ja-JP"/>
        </w:rPr>
        <w:t xml:space="preserve">Proposal 1: In the case FR1 contains only PCG and FR2 contains only SCG and the case FR2 contains only PCG and FR1 contains only SCG, independent </w:t>
      </w:r>
      <w:r w:rsidR="00EB4A23">
        <w:rPr>
          <w:b/>
          <w:lang w:eastAsia="ja-JP"/>
        </w:rPr>
        <w:t>power control i</w:t>
      </w:r>
      <w:r w:rsidR="00205843">
        <w:rPr>
          <w:b/>
          <w:lang w:eastAsia="ja-JP"/>
        </w:rPr>
        <w:t>s applied for each FR1 and FR2.</w:t>
      </w:r>
      <w:r w:rsidR="005A5454">
        <w:rPr>
          <w:b/>
          <w:lang w:eastAsia="ja-JP"/>
        </w:rPr>
        <w:t xml:space="preserve"> </w:t>
      </w:r>
      <w:r w:rsidR="00EC1480" w:rsidRPr="00EC1480">
        <w:rPr>
          <w:b/>
          <w:lang w:eastAsia="ja-JP"/>
        </w:rPr>
        <w:t>This is applied regardless of synchronous or asynchronous DC.</w:t>
      </w:r>
    </w:p>
    <w:p w14:paraId="6E27FB30" w14:textId="0EDC5A33" w:rsidR="00205843" w:rsidRDefault="00205843" w:rsidP="003A0E7D">
      <w:pPr>
        <w:rPr>
          <w:b/>
          <w:lang w:eastAsia="ja-JP"/>
        </w:rPr>
      </w:pPr>
    </w:p>
    <w:p w14:paraId="58715613" w14:textId="34BE1416" w:rsidR="00102912" w:rsidRDefault="00102912" w:rsidP="00102912">
      <w:pPr>
        <w:rPr>
          <w:lang w:eastAsia="ja-JP"/>
        </w:rPr>
      </w:pPr>
      <w:r>
        <w:rPr>
          <w:rFonts w:hint="eastAsia"/>
          <w:lang w:eastAsia="ja-JP"/>
        </w:rPr>
        <w:t xml:space="preserve">For case 3, 4 and 5, how to manage power within FR1 or within FR2 respectively </w:t>
      </w:r>
      <w:r w:rsidR="00B348EF">
        <w:rPr>
          <w:lang w:eastAsia="ja-JP"/>
        </w:rPr>
        <w:t>is</w:t>
      </w:r>
      <w:r>
        <w:rPr>
          <w:rFonts w:hint="eastAsia"/>
          <w:lang w:eastAsia="ja-JP"/>
        </w:rPr>
        <w:t xml:space="preserve"> required. </w:t>
      </w:r>
      <w:r w:rsidRPr="00EC1480">
        <w:rPr>
          <w:lang w:eastAsia="ja-JP"/>
        </w:rPr>
        <w:t>This is applied regardless of synchronous or asynchronous DC.</w:t>
      </w:r>
    </w:p>
    <w:p w14:paraId="62E3CE61" w14:textId="77777777" w:rsidR="00102912" w:rsidRDefault="00102912" w:rsidP="0021734F">
      <w:pPr>
        <w:rPr>
          <w:lang w:eastAsia="ja-JP"/>
        </w:rPr>
      </w:pPr>
    </w:p>
    <w:p w14:paraId="099D07EE" w14:textId="6E0A807A" w:rsidR="0021734F" w:rsidRDefault="0021734F" w:rsidP="0021734F">
      <w:pPr>
        <w:rPr>
          <w:lang w:eastAsia="ja-JP"/>
        </w:rPr>
      </w:pPr>
      <w:r>
        <w:rPr>
          <w:lang w:eastAsia="ja-JP"/>
        </w:rPr>
        <w:t xml:space="preserve">When both PCG and SCG are within FR1 or FR2, how to share the power of PCG and SCG needs to be specified. In LTE-LTE DC case, </w:t>
      </w:r>
      <w:r w:rsidR="003A3F6B">
        <w:rPr>
          <w:lang w:eastAsia="ja-JP"/>
        </w:rPr>
        <w:t xml:space="preserve">UEs </w:t>
      </w:r>
      <w:r w:rsidR="005140E5">
        <w:rPr>
          <w:lang w:eastAsia="ja-JP"/>
        </w:rPr>
        <w:t xml:space="preserve">to support only </w:t>
      </w:r>
      <w:r>
        <w:rPr>
          <w:lang w:eastAsia="ja-JP"/>
        </w:rPr>
        <w:t>semi-static power sharing of PCG and SCG are shown the concern to have limitation of the coverage compared with non-DC operation. On the other hand, as LTE-NR DC (and NR-LTE DC) support</w:t>
      </w:r>
      <w:r w:rsidR="003A3F6B">
        <w:rPr>
          <w:lang w:eastAsia="ja-JP"/>
        </w:rPr>
        <w:t>s</w:t>
      </w:r>
      <w:r>
        <w:rPr>
          <w:lang w:eastAsia="ja-JP"/>
        </w:rPr>
        <w:t xml:space="preserve"> semi-static power sharing between PCG and SCG, the cell planning should take into account the situation of semi-static power sharing. Therefore, we think </w:t>
      </w:r>
      <w:r w:rsidR="005140E5">
        <w:rPr>
          <w:lang w:eastAsia="ja-JP"/>
        </w:rPr>
        <w:t xml:space="preserve">UE who support only </w:t>
      </w:r>
      <w:r>
        <w:rPr>
          <w:lang w:eastAsia="ja-JP"/>
        </w:rPr>
        <w:t xml:space="preserve">semi-static power sharing of PCG and SCG of NR-NR DC should be also possible with the deployment perspective and we propose </w:t>
      </w:r>
      <w:r w:rsidR="005140E5">
        <w:rPr>
          <w:lang w:eastAsia="ja-JP"/>
        </w:rPr>
        <w:t>to allow such UE</w:t>
      </w:r>
      <w:r>
        <w:rPr>
          <w:lang w:eastAsia="ja-JP"/>
        </w:rPr>
        <w:t xml:space="preserve">. This is applied regardless of synchronous or asynchronous DC. </w:t>
      </w:r>
    </w:p>
    <w:p w14:paraId="4F6E631C" w14:textId="6EAFDB65" w:rsidR="0021734F" w:rsidRDefault="0021734F" w:rsidP="0021734F">
      <w:pPr>
        <w:rPr>
          <w:lang w:eastAsia="ja-JP"/>
        </w:rPr>
      </w:pPr>
    </w:p>
    <w:p w14:paraId="3FF3D571" w14:textId="16B9B2E1" w:rsidR="0021734F" w:rsidRDefault="007232FF" w:rsidP="0021734F">
      <w:pPr>
        <w:rPr>
          <w:b/>
          <w:lang w:eastAsia="ja-JP"/>
        </w:rPr>
      </w:pPr>
      <w:r>
        <w:rPr>
          <w:b/>
          <w:lang w:eastAsia="ja-JP"/>
        </w:rPr>
        <w:t>Proposal 2</w:t>
      </w:r>
      <w:r w:rsidR="0021734F">
        <w:rPr>
          <w:b/>
          <w:lang w:eastAsia="ja-JP"/>
        </w:rPr>
        <w:t xml:space="preserve">: When both PCG and SCG are within FR1 or FR2, </w:t>
      </w:r>
      <w:r w:rsidR="005140E5">
        <w:rPr>
          <w:b/>
          <w:lang w:eastAsia="ja-JP"/>
        </w:rPr>
        <w:t xml:space="preserve">UE feature with </w:t>
      </w:r>
      <w:r w:rsidR="00AE7A88">
        <w:rPr>
          <w:b/>
          <w:lang w:eastAsia="ja-JP"/>
        </w:rPr>
        <w:t>semi-static power sharing be</w:t>
      </w:r>
      <w:r w:rsidR="00025278">
        <w:rPr>
          <w:b/>
          <w:lang w:eastAsia="ja-JP"/>
        </w:rPr>
        <w:t>tween PCG and SCG are supported</w:t>
      </w:r>
      <w:r>
        <w:rPr>
          <w:b/>
          <w:lang w:eastAsia="ja-JP"/>
        </w:rPr>
        <w:t xml:space="preserve"> </w:t>
      </w:r>
      <w:r w:rsidR="00025278" w:rsidRPr="00025278">
        <w:rPr>
          <w:b/>
          <w:lang w:eastAsia="ja-JP"/>
        </w:rPr>
        <w:t>regardless of synchronous or asynchronous DC</w:t>
      </w:r>
      <w:r>
        <w:rPr>
          <w:b/>
          <w:lang w:eastAsia="ja-JP"/>
        </w:rPr>
        <w:t>.</w:t>
      </w:r>
    </w:p>
    <w:p w14:paraId="656C8E5E" w14:textId="458A7C41" w:rsidR="007232FF" w:rsidRDefault="007232FF" w:rsidP="0021734F">
      <w:pPr>
        <w:rPr>
          <w:b/>
          <w:lang w:eastAsia="ja-JP"/>
        </w:rPr>
      </w:pPr>
    </w:p>
    <w:p w14:paraId="17D281A7" w14:textId="41B23FF9" w:rsidR="007232FF" w:rsidRDefault="007232FF" w:rsidP="0021734F">
      <w:pPr>
        <w:rPr>
          <w:lang w:eastAsia="ja-JP"/>
        </w:rPr>
      </w:pPr>
      <w:r>
        <w:rPr>
          <w:lang w:eastAsia="ja-JP"/>
        </w:rPr>
        <w:lastRenderedPageBreak/>
        <w:t xml:space="preserve">Although semi-static power sharing of DC should be supported, dynamic </w:t>
      </w:r>
      <w:r w:rsidR="003A3F6B">
        <w:rPr>
          <w:lang w:eastAsia="ja-JP"/>
        </w:rPr>
        <w:t xml:space="preserve">power </w:t>
      </w:r>
      <w:r>
        <w:rPr>
          <w:lang w:eastAsia="ja-JP"/>
        </w:rPr>
        <w:t xml:space="preserve">sharing between PCG and SCG is more </w:t>
      </w:r>
      <w:r w:rsidR="003A3F6B">
        <w:rPr>
          <w:lang w:eastAsia="ja-JP"/>
        </w:rPr>
        <w:t>attractive</w:t>
      </w:r>
      <w:r>
        <w:rPr>
          <w:lang w:eastAsia="ja-JP"/>
        </w:rPr>
        <w:t xml:space="preserve"> in throughput and coverage. Therefore, such feature should be also supported. In LTE, </w:t>
      </w:r>
      <w:r w:rsidR="003A3F6B">
        <w:rPr>
          <w:lang w:eastAsia="ja-JP"/>
        </w:rPr>
        <w:t xml:space="preserve">SCS is only </w:t>
      </w:r>
      <w:r>
        <w:rPr>
          <w:lang w:eastAsia="ja-JP"/>
        </w:rPr>
        <w:t xml:space="preserve">single 15 kHz. On the other hand, in NR, multiple SCS are supported. </w:t>
      </w:r>
      <w:r w:rsidR="003A3F6B">
        <w:rPr>
          <w:lang w:eastAsia="ja-JP"/>
        </w:rPr>
        <w:t>Non-slot scheduling (resource allocation type B) is also supported. Therefore, e</w:t>
      </w:r>
      <w:r>
        <w:rPr>
          <w:lang w:eastAsia="ja-JP"/>
        </w:rPr>
        <w:t>ven in synchronous DC between PCG and SCG, when SCS are different between PCG and SCG</w:t>
      </w:r>
      <w:r w:rsidR="003A3F6B">
        <w:rPr>
          <w:lang w:eastAsia="ja-JP"/>
        </w:rPr>
        <w:t xml:space="preserve"> or non-slot scheduling is used</w:t>
      </w:r>
      <w:r>
        <w:rPr>
          <w:lang w:eastAsia="ja-JP"/>
        </w:rPr>
        <w:t xml:space="preserve">, the behaviour is quite similar to asynchronous DC for the handling of the power control. Therefore, we propose not to have the optimization for dynamic power sharing of synchronous DC but single dynamic power sharing function is </w:t>
      </w:r>
      <w:r w:rsidR="003A3F6B">
        <w:rPr>
          <w:lang w:eastAsia="ja-JP"/>
        </w:rPr>
        <w:t>specified</w:t>
      </w:r>
      <w:r>
        <w:rPr>
          <w:lang w:eastAsia="ja-JP"/>
        </w:rPr>
        <w:t xml:space="preserve"> between PCG and SCG regardless of synchronous and asynchronous.</w:t>
      </w:r>
    </w:p>
    <w:p w14:paraId="5A484A89" w14:textId="0CA93D93" w:rsidR="007232FF" w:rsidRDefault="007232FF" w:rsidP="0021734F">
      <w:pPr>
        <w:rPr>
          <w:lang w:eastAsia="ja-JP"/>
        </w:rPr>
      </w:pPr>
    </w:p>
    <w:p w14:paraId="077F7BD1" w14:textId="6E4D153C" w:rsidR="007232FF" w:rsidRDefault="007232FF" w:rsidP="007232FF">
      <w:pPr>
        <w:rPr>
          <w:b/>
          <w:lang w:eastAsia="ja-JP"/>
        </w:rPr>
      </w:pPr>
      <w:r>
        <w:rPr>
          <w:b/>
          <w:lang w:eastAsia="ja-JP"/>
        </w:rPr>
        <w:t xml:space="preserve">Proposal 3: When both PCG and SCG are within FR1 or FR2, dynamic power sharing between PCG and SCG are supported. Not to have the optimization for </w:t>
      </w:r>
      <w:r w:rsidRPr="00025278">
        <w:rPr>
          <w:b/>
          <w:lang w:eastAsia="ja-JP"/>
        </w:rPr>
        <w:t xml:space="preserve">synchronous </w:t>
      </w:r>
      <w:r>
        <w:rPr>
          <w:b/>
          <w:lang w:eastAsia="ja-JP"/>
        </w:rPr>
        <w:t xml:space="preserve">DC but single behaviour applied to both synchronous and </w:t>
      </w:r>
      <w:r w:rsidRPr="00025278">
        <w:rPr>
          <w:b/>
          <w:lang w:eastAsia="ja-JP"/>
        </w:rPr>
        <w:t>asynchronous DC</w:t>
      </w:r>
      <w:r>
        <w:rPr>
          <w:b/>
          <w:lang w:eastAsia="ja-JP"/>
        </w:rPr>
        <w:t>.</w:t>
      </w:r>
    </w:p>
    <w:p w14:paraId="4D354A99" w14:textId="107BAFA5" w:rsidR="00C25BF7" w:rsidRDefault="00C25BF7" w:rsidP="007232FF">
      <w:pPr>
        <w:rPr>
          <w:b/>
          <w:lang w:eastAsia="ja-JP"/>
        </w:rPr>
      </w:pPr>
    </w:p>
    <w:p w14:paraId="2D13BA51" w14:textId="6400F1F4" w:rsidR="00856CF9" w:rsidRDefault="00856CF9" w:rsidP="00AC2FAE">
      <w:pPr>
        <w:rPr>
          <w:lang w:eastAsia="ja-JP"/>
        </w:rPr>
      </w:pPr>
      <w:r>
        <w:rPr>
          <w:lang w:eastAsia="ja-JP"/>
        </w:rPr>
        <w:t>PCG gNB does not know what is happing in SCG and SCG gNB does not know what is happing in PCG</w:t>
      </w:r>
      <w:r w:rsidR="003A3F6B">
        <w:rPr>
          <w:lang w:eastAsia="ja-JP"/>
        </w:rPr>
        <w:t xml:space="preserve"> in the real time because of the independent scheduler</w:t>
      </w:r>
      <w:r>
        <w:rPr>
          <w:lang w:eastAsia="ja-JP"/>
        </w:rPr>
        <w:t xml:space="preserve">. Even if dynamic power sharing is used between PCG and SCG, in order to </w:t>
      </w:r>
      <w:r w:rsidR="0073047E">
        <w:rPr>
          <w:lang w:eastAsia="ja-JP"/>
        </w:rPr>
        <w:t xml:space="preserve">allow </w:t>
      </w:r>
      <w:r>
        <w:rPr>
          <w:lang w:eastAsia="ja-JP"/>
        </w:rPr>
        <w:t xml:space="preserve">independent operation of PCG and SCG respectively, certain power should be reserved respectively for each PCG and SCG. Certain amount of the power is semi-statically configured by RRC. </w:t>
      </w:r>
      <w:r w:rsidR="004F0D15">
        <w:rPr>
          <w:lang w:eastAsia="ja-JP"/>
        </w:rPr>
        <w:t>These behaviours</w:t>
      </w:r>
      <w:r w:rsidR="004029B7">
        <w:rPr>
          <w:lang w:eastAsia="ja-JP"/>
        </w:rPr>
        <w:t xml:space="preserve"> </w:t>
      </w:r>
      <w:r w:rsidR="004F0D15">
        <w:rPr>
          <w:lang w:eastAsia="ja-JP"/>
        </w:rPr>
        <w:t>ensure</w:t>
      </w:r>
      <w:r w:rsidR="004029B7">
        <w:rPr>
          <w:lang w:eastAsia="ja-JP"/>
        </w:rPr>
        <w:t xml:space="preserve"> the power for PUCCH, RRC message and</w:t>
      </w:r>
      <w:r w:rsidR="00F005B2">
        <w:rPr>
          <w:lang w:eastAsia="ja-JP"/>
        </w:rPr>
        <w:t>/or</w:t>
      </w:r>
      <w:r w:rsidR="004029B7">
        <w:rPr>
          <w:lang w:eastAsia="ja-JP"/>
        </w:rPr>
        <w:t xml:space="preserve"> URLLC for respective PCG or SCG. </w:t>
      </w:r>
      <w:r>
        <w:rPr>
          <w:lang w:eastAsia="ja-JP"/>
        </w:rPr>
        <w:t>PCG power allocation is always available and prioritized within PCG's reserved power. SCG power allocation is always available and prioritized within SCG's reserved power.</w:t>
      </w:r>
      <w:r w:rsidR="002E7D89">
        <w:rPr>
          <w:lang w:eastAsia="ja-JP"/>
        </w:rPr>
        <w:t xml:space="preserve"> If the transmission power of PCG is less than reserved power, SCG can use the power reserved for PCG. The same is applied for the transmission power of SCG and reserved power for PCG.</w:t>
      </w:r>
      <w:r w:rsidR="004029B7">
        <w:rPr>
          <w:lang w:eastAsia="ja-JP"/>
        </w:rPr>
        <w:t xml:space="preserve"> </w:t>
      </w:r>
    </w:p>
    <w:p w14:paraId="2C5427E8" w14:textId="3E44CC51" w:rsidR="00AC2FAE" w:rsidRDefault="00AC2FAE" w:rsidP="00AC2FAE">
      <w:pPr>
        <w:rPr>
          <w:lang w:eastAsia="ja-JP"/>
        </w:rPr>
      </w:pPr>
    </w:p>
    <w:p w14:paraId="338BADEC" w14:textId="134F1395" w:rsidR="00AC2FAE" w:rsidRDefault="002E7D89" w:rsidP="00AC2FAE">
      <w:pPr>
        <w:rPr>
          <w:b/>
          <w:lang w:eastAsia="ja-JP"/>
        </w:rPr>
      </w:pPr>
      <w:r>
        <w:rPr>
          <w:b/>
          <w:lang w:eastAsia="ja-JP"/>
        </w:rPr>
        <w:t>Proposal 4</w:t>
      </w:r>
      <w:r w:rsidR="00AC2FAE">
        <w:rPr>
          <w:b/>
          <w:lang w:eastAsia="ja-JP"/>
        </w:rPr>
        <w:t xml:space="preserve">: When </w:t>
      </w:r>
      <w:r>
        <w:rPr>
          <w:b/>
          <w:lang w:eastAsia="ja-JP"/>
        </w:rPr>
        <w:t>dynamic power sharing of DC is applied, semi-static configuration</w:t>
      </w:r>
      <w:r w:rsidR="00F005B2">
        <w:rPr>
          <w:b/>
          <w:lang w:eastAsia="ja-JP"/>
        </w:rPr>
        <w:t>s</w:t>
      </w:r>
      <w:r>
        <w:rPr>
          <w:b/>
          <w:lang w:eastAsia="ja-JP"/>
        </w:rPr>
        <w:t xml:space="preserve"> of reserved power should be applied respectively for PCG and SCG. </w:t>
      </w:r>
      <w:r w:rsidRPr="002E7D89">
        <w:rPr>
          <w:b/>
          <w:lang w:eastAsia="ja-JP"/>
        </w:rPr>
        <w:t>PCG power allocation is always available and prioritized within PCG's reserved power.</w:t>
      </w:r>
      <w:r>
        <w:rPr>
          <w:b/>
          <w:lang w:eastAsia="ja-JP"/>
        </w:rPr>
        <w:t xml:space="preserve"> </w:t>
      </w:r>
      <w:r w:rsidRPr="002E7D89">
        <w:rPr>
          <w:b/>
          <w:lang w:eastAsia="ja-JP"/>
        </w:rPr>
        <w:t>If the transmission power of PCG is less than reserved power, SCG can use the power reserved for PCG.</w:t>
      </w:r>
      <w:r>
        <w:rPr>
          <w:b/>
          <w:lang w:eastAsia="ja-JP"/>
        </w:rPr>
        <w:t xml:space="preserve"> The same is applied for the transmission power of SCG and reserved power for PCG.</w:t>
      </w:r>
    </w:p>
    <w:p w14:paraId="740DFB2B" w14:textId="7DA4D808" w:rsidR="00C25BF7" w:rsidRDefault="00C25BF7" w:rsidP="007232FF">
      <w:pPr>
        <w:rPr>
          <w:b/>
          <w:lang w:eastAsia="ja-JP"/>
        </w:rPr>
      </w:pPr>
    </w:p>
    <w:p w14:paraId="0969C8AF" w14:textId="22A4E1CF" w:rsidR="00B76498" w:rsidRDefault="00B76498" w:rsidP="00B76498">
      <w:pPr>
        <w:rPr>
          <w:lang w:eastAsia="ja-JP"/>
        </w:rPr>
      </w:pPr>
      <w:r>
        <w:rPr>
          <w:lang w:eastAsia="ja-JP"/>
        </w:rPr>
        <w:t xml:space="preserve">Within the reserved power, </w:t>
      </w:r>
      <w:r w:rsidR="004E3301">
        <w:rPr>
          <w:lang w:eastAsia="ja-JP"/>
        </w:rPr>
        <w:t xml:space="preserve">there is </w:t>
      </w:r>
      <w:r>
        <w:rPr>
          <w:lang w:eastAsia="ja-JP"/>
        </w:rPr>
        <w:t>no need to distingui</w:t>
      </w:r>
      <w:r w:rsidR="00FB2855">
        <w:rPr>
          <w:lang w:eastAsia="ja-JP"/>
        </w:rPr>
        <w:t xml:space="preserve">sh the physical channel type as reserved power can be used </w:t>
      </w:r>
      <w:r w:rsidR="00680A08">
        <w:rPr>
          <w:lang w:eastAsia="ja-JP"/>
        </w:rPr>
        <w:t>not only PUCCH but also PUSCH co</w:t>
      </w:r>
      <w:r w:rsidR="00C76061">
        <w:rPr>
          <w:lang w:eastAsia="ja-JP"/>
        </w:rPr>
        <w:t>ntaining RRC message and</w:t>
      </w:r>
      <w:r w:rsidR="00F005B2">
        <w:rPr>
          <w:lang w:eastAsia="ja-JP"/>
        </w:rPr>
        <w:t>/or</w:t>
      </w:r>
      <w:r w:rsidR="00C76061">
        <w:rPr>
          <w:lang w:eastAsia="ja-JP"/>
        </w:rPr>
        <w:t xml:space="preserve"> URLLC.</w:t>
      </w:r>
      <w:r w:rsidR="004E3301">
        <w:rPr>
          <w:lang w:eastAsia="ja-JP"/>
        </w:rPr>
        <w:t xml:space="preserve"> All these channels are important channels to keep the respective link</w:t>
      </w:r>
      <w:r w:rsidR="00F005B2">
        <w:rPr>
          <w:lang w:eastAsia="ja-JP"/>
        </w:rPr>
        <w:t xml:space="preserve"> or higher reliability</w:t>
      </w:r>
      <w:r w:rsidR="004E3301">
        <w:rPr>
          <w:lang w:eastAsia="ja-JP"/>
        </w:rPr>
        <w:t xml:space="preserve">. SRS can be debated no need of the </w:t>
      </w:r>
      <w:r w:rsidR="004F0D15">
        <w:rPr>
          <w:lang w:eastAsia="ja-JP"/>
        </w:rPr>
        <w:t>reservation,</w:t>
      </w:r>
      <w:r w:rsidR="004E3301">
        <w:rPr>
          <w:lang w:eastAsia="ja-JP"/>
        </w:rPr>
        <w:t xml:space="preserve"> but SRS is sent relatively infrequent, we don't see the need of the optimization for SRS.</w:t>
      </w:r>
    </w:p>
    <w:p w14:paraId="3889A39E" w14:textId="5F38872B" w:rsidR="00C76061" w:rsidRDefault="00C76061" w:rsidP="00C76061">
      <w:pPr>
        <w:rPr>
          <w:b/>
          <w:lang w:eastAsia="ja-JP"/>
        </w:rPr>
      </w:pPr>
      <w:r>
        <w:rPr>
          <w:b/>
          <w:lang w:eastAsia="ja-JP"/>
        </w:rPr>
        <w:t xml:space="preserve">Proposal 5: </w:t>
      </w:r>
      <w:r w:rsidR="004E3301">
        <w:rPr>
          <w:b/>
          <w:lang w:eastAsia="ja-JP"/>
        </w:rPr>
        <w:t>Reserved power is applied regardless of the channel i.e. all uplink channel of respective PCG and SCG.</w:t>
      </w:r>
    </w:p>
    <w:p w14:paraId="16A65EDB" w14:textId="0791B00F" w:rsidR="004E3301" w:rsidRDefault="004E3301" w:rsidP="00C76061">
      <w:pPr>
        <w:rPr>
          <w:b/>
          <w:lang w:eastAsia="ja-JP"/>
        </w:rPr>
      </w:pPr>
    </w:p>
    <w:p w14:paraId="3ED92E6F" w14:textId="0909CCA4" w:rsidR="00CB63EF" w:rsidRDefault="00CB63EF" w:rsidP="00CB63EF">
      <w:pPr>
        <w:rPr>
          <w:lang w:eastAsia="ja-JP"/>
        </w:rPr>
      </w:pPr>
      <w:r>
        <w:rPr>
          <w:lang w:eastAsia="ja-JP"/>
        </w:rPr>
        <w:t xml:space="preserve">Although usual case can be sufficient within the reserved power, URLLC traffic can be large transmission power with sporadic transmission. Therefore, when PCG has URLLC traffic, not to reserve the power in SCG. When SCG has URLLC traffic, not to reserve the power for PCG should </w:t>
      </w:r>
      <w:r w:rsidR="00F005B2">
        <w:rPr>
          <w:lang w:eastAsia="ja-JP"/>
        </w:rPr>
        <w:t xml:space="preserve">be </w:t>
      </w:r>
      <w:r>
        <w:rPr>
          <w:lang w:eastAsia="ja-JP"/>
        </w:rPr>
        <w:t>consider</w:t>
      </w:r>
      <w:r w:rsidR="00F005B2">
        <w:rPr>
          <w:lang w:eastAsia="ja-JP"/>
        </w:rPr>
        <w:t>ed as exception</w:t>
      </w:r>
      <w:r>
        <w:rPr>
          <w:lang w:eastAsia="ja-JP"/>
        </w:rPr>
        <w:t>.</w:t>
      </w:r>
    </w:p>
    <w:p w14:paraId="54BE7BF9" w14:textId="6DF0C273" w:rsidR="00395E2D" w:rsidRDefault="00187560" w:rsidP="00CB63EF">
      <w:pPr>
        <w:rPr>
          <w:b/>
          <w:lang w:eastAsia="ja-JP"/>
        </w:rPr>
      </w:pPr>
      <w:r>
        <w:rPr>
          <w:b/>
          <w:lang w:eastAsia="ja-JP"/>
        </w:rPr>
        <w:t>Proposal 6</w:t>
      </w:r>
      <w:r w:rsidR="00CB63EF">
        <w:rPr>
          <w:b/>
          <w:lang w:eastAsia="ja-JP"/>
        </w:rPr>
        <w:t xml:space="preserve">: </w:t>
      </w:r>
      <w:r w:rsidR="00395E2D">
        <w:rPr>
          <w:b/>
          <w:lang w:eastAsia="ja-JP"/>
        </w:rPr>
        <w:t>To consider not to reserve the power o</w:t>
      </w:r>
      <w:r>
        <w:rPr>
          <w:b/>
          <w:lang w:eastAsia="ja-JP"/>
        </w:rPr>
        <w:t>f SCG when PCG has URLLC</w:t>
      </w:r>
      <w:r w:rsidR="00395E2D">
        <w:rPr>
          <w:b/>
          <w:lang w:eastAsia="ja-JP"/>
        </w:rPr>
        <w:t>. The same is applied for the power o</w:t>
      </w:r>
      <w:r>
        <w:rPr>
          <w:b/>
          <w:lang w:eastAsia="ja-JP"/>
        </w:rPr>
        <w:t>f PCG when SCG has URLLC</w:t>
      </w:r>
      <w:r w:rsidR="00395E2D">
        <w:rPr>
          <w:b/>
          <w:lang w:eastAsia="ja-JP"/>
        </w:rPr>
        <w:t>.</w:t>
      </w:r>
    </w:p>
    <w:p w14:paraId="2DEBF49E" w14:textId="3927E433" w:rsidR="007B0242" w:rsidRDefault="007B0242" w:rsidP="007D541D">
      <w:pPr>
        <w:rPr>
          <w:b/>
          <w:lang w:eastAsia="ja-JP"/>
        </w:rPr>
      </w:pPr>
    </w:p>
    <w:p w14:paraId="61E6B1B8" w14:textId="518AB35E" w:rsidR="004317F1" w:rsidRDefault="004317F1" w:rsidP="004317F1">
      <w:pPr>
        <w:rPr>
          <w:lang w:eastAsia="ja-JP"/>
        </w:rPr>
      </w:pPr>
      <w:r>
        <w:rPr>
          <w:lang w:eastAsia="ja-JP"/>
        </w:rPr>
        <w:t xml:space="preserve">When </w:t>
      </w:r>
      <w:r w:rsidR="00F005B2">
        <w:rPr>
          <w:lang w:eastAsia="ja-JP"/>
        </w:rPr>
        <w:t xml:space="preserve">UE Tx </w:t>
      </w:r>
      <w:r>
        <w:rPr>
          <w:lang w:eastAsia="ja-JP"/>
        </w:rPr>
        <w:t xml:space="preserve">power is </w:t>
      </w:r>
      <w:r w:rsidR="00F005B2">
        <w:rPr>
          <w:lang w:eastAsia="ja-JP"/>
        </w:rPr>
        <w:t xml:space="preserve">the </w:t>
      </w:r>
      <w:r>
        <w:rPr>
          <w:lang w:eastAsia="ja-JP"/>
        </w:rPr>
        <w:t xml:space="preserve">shortage, certain channel needs to be dropped. Instead of channel based dropping, following order should be used. </w:t>
      </w:r>
    </w:p>
    <w:p w14:paraId="470D9E38" w14:textId="559D0FC0" w:rsidR="004317F1" w:rsidRDefault="004317F1" w:rsidP="004317F1">
      <w:pPr>
        <w:ind w:leftChars="200" w:left="400"/>
        <w:rPr>
          <w:lang w:eastAsia="ja-JP"/>
        </w:rPr>
      </w:pPr>
      <w:r>
        <w:rPr>
          <w:lang w:eastAsia="ja-JP"/>
        </w:rPr>
        <w:t>URLLC UL-SCH &gt; HARQ-ACK/NACK &gt; eMBB UL-SCH &gt; CSI</w:t>
      </w:r>
    </w:p>
    <w:p w14:paraId="6A3CD8ED" w14:textId="3FD88F80" w:rsidR="004317F1" w:rsidRDefault="004317F1" w:rsidP="004317F1">
      <w:pPr>
        <w:rPr>
          <w:b/>
          <w:lang w:eastAsia="ja-JP"/>
        </w:rPr>
      </w:pPr>
      <w:r>
        <w:rPr>
          <w:b/>
          <w:lang w:eastAsia="ja-JP"/>
        </w:rPr>
        <w:t xml:space="preserve">Proposal 7: Prioritization of dropping is based on </w:t>
      </w:r>
      <w:r w:rsidRPr="004317F1">
        <w:rPr>
          <w:b/>
          <w:lang w:eastAsia="ja-JP"/>
        </w:rPr>
        <w:t>URLLC UL-SCH &gt; HARQ-ACK/NACK &gt; eMBB UL-SCH &gt; CSI</w:t>
      </w:r>
      <w:r>
        <w:rPr>
          <w:b/>
          <w:lang w:eastAsia="ja-JP"/>
        </w:rPr>
        <w:t>.</w:t>
      </w:r>
    </w:p>
    <w:p w14:paraId="4A6A54D7" w14:textId="6C458D8D" w:rsidR="004317F1" w:rsidRDefault="004317F1" w:rsidP="007D541D">
      <w:pPr>
        <w:rPr>
          <w:b/>
          <w:lang w:eastAsia="ja-JP"/>
        </w:rPr>
      </w:pPr>
    </w:p>
    <w:p w14:paraId="43544512" w14:textId="77777777" w:rsidR="004317F1" w:rsidRPr="00FA19B3" w:rsidRDefault="004317F1" w:rsidP="007D541D">
      <w:pPr>
        <w:rPr>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3FE4B50B" w14:textId="355DBF9C" w:rsidR="0033519C" w:rsidRDefault="0033519C" w:rsidP="00F01F94">
      <w:pPr>
        <w:rPr>
          <w:rFonts w:eastAsia="SimSun" w:cs="Arial"/>
          <w:lang w:eastAsia="zh-CN"/>
        </w:rPr>
      </w:pPr>
      <w:r>
        <w:rPr>
          <w:rFonts w:eastAsia="SimSun" w:cs="Arial"/>
          <w:lang w:eastAsia="zh-CN"/>
        </w:rPr>
        <w:t xml:space="preserve">We discussed </w:t>
      </w:r>
      <w:r w:rsidR="00453DB6" w:rsidRPr="00453DB6">
        <w:rPr>
          <w:rFonts w:eastAsia="SimSun" w:cs="Arial"/>
          <w:lang w:eastAsia="zh-CN"/>
        </w:rPr>
        <w:t>the uplink Power Control for Supporting NR-NR Dual-Connectivity.</w:t>
      </w:r>
      <w:r w:rsidRPr="0033519C">
        <w:rPr>
          <w:rFonts w:eastAsia="SimSun" w:cs="Arial"/>
          <w:lang w:eastAsia="zh-CN"/>
        </w:rPr>
        <w:t xml:space="preserve"> </w:t>
      </w:r>
      <w:r w:rsidR="00822DB3">
        <w:rPr>
          <w:rFonts w:eastAsia="SimSun" w:cs="Arial"/>
          <w:lang w:eastAsia="zh-CN"/>
        </w:rPr>
        <w:t>We propose following.</w:t>
      </w:r>
    </w:p>
    <w:p w14:paraId="688C8ADA" w14:textId="77777777" w:rsidR="00822DB3" w:rsidRDefault="00822DB3" w:rsidP="00822DB3">
      <w:pPr>
        <w:rPr>
          <w:b/>
          <w:lang w:eastAsia="ja-JP"/>
        </w:rPr>
      </w:pPr>
      <w:r>
        <w:rPr>
          <w:b/>
          <w:lang w:eastAsia="ja-JP"/>
        </w:rPr>
        <w:t xml:space="preserve">Proposal 1: In the case FR1 contains only PCG and FR2 contains only SCG and the case FR2 contains only PCG and FR1 contains only SCG, independent power control is applied for each FR1 and FR2. </w:t>
      </w:r>
      <w:r w:rsidRPr="00EC1480">
        <w:rPr>
          <w:b/>
          <w:lang w:eastAsia="ja-JP"/>
        </w:rPr>
        <w:t>This is applied regardless of synchronous or asynchronous DC.</w:t>
      </w:r>
    </w:p>
    <w:p w14:paraId="0DC5F0F5" w14:textId="77777777" w:rsidR="00822DB3" w:rsidRDefault="00822DB3" w:rsidP="00822DB3">
      <w:pPr>
        <w:rPr>
          <w:b/>
          <w:lang w:eastAsia="ja-JP"/>
        </w:rPr>
      </w:pPr>
      <w:r>
        <w:rPr>
          <w:b/>
          <w:lang w:eastAsia="ja-JP"/>
        </w:rPr>
        <w:t xml:space="preserve">Proposal 2: When both PCG and SCG are within FR1 or FR2, semi-static power sharing between PCG and SCG are supported as UE feature </w:t>
      </w:r>
      <w:r w:rsidRPr="00025278">
        <w:rPr>
          <w:b/>
          <w:lang w:eastAsia="ja-JP"/>
        </w:rPr>
        <w:t>regardless of synchronous or asynchronous DC</w:t>
      </w:r>
      <w:r>
        <w:rPr>
          <w:b/>
          <w:lang w:eastAsia="ja-JP"/>
        </w:rPr>
        <w:t>.</w:t>
      </w:r>
    </w:p>
    <w:p w14:paraId="55EF20C4" w14:textId="6074C872" w:rsidR="00822DB3" w:rsidRDefault="00822DB3" w:rsidP="00822DB3">
      <w:pPr>
        <w:rPr>
          <w:b/>
          <w:lang w:eastAsia="ja-JP"/>
        </w:rPr>
      </w:pPr>
      <w:r>
        <w:rPr>
          <w:b/>
          <w:lang w:eastAsia="ja-JP"/>
        </w:rPr>
        <w:t xml:space="preserve">Proposal 3: When both PCG and SCG are within FR1 or FR2, dynamic power sharing between PCG and SCG are supported. Not to have the optimization for </w:t>
      </w:r>
      <w:r w:rsidRPr="00025278">
        <w:rPr>
          <w:b/>
          <w:lang w:eastAsia="ja-JP"/>
        </w:rPr>
        <w:t xml:space="preserve">synchronous </w:t>
      </w:r>
      <w:r>
        <w:rPr>
          <w:b/>
          <w:lang w:eastAsia="ja-JP"/>
        </w:rPr>
        <w:t xml:space="preserve">DC but single behaviour applied to both synchronous and </w:t>
      </w:r>
      <w:r w:rsidRPr="00025278">
        <w:rPr>
          <w:b/>
          <w:lang w:eastAsia="ja-JP"/>
        </w:rPr>
        <w:t>asynchronous DC</w:t>
      </w:r>
      <w:r>
        <w:rPr>
          <w:b/>
          <w:lang w:eastAsia="ja-JP"/>
        </w:rPr>
        <w:t>.</w:t>
      </w:r>
    </w:p>
    <w:p w14:paraId="236EB352" w14:textId="7B3AA509" w:rsidR="00822DB3" w:rsidRDefault="00822DB3" w:rsidP="00822DB3">
      <w:pPr>
        <w:rPr>
          <w:b/>
          <w:lang w:eastAsia="ja-JP"/>
        </w:rPr>
      </w:pPr>
      <w:r>
        <w:rPr>
          <w:b/>
          <w:lang w:eastAsia="ja-JP"/>
        </w:rPr>
        <w:t>Proposal 4: When dynamic power sharing of DC is applied, semi-static configuration</w:t>
      </w:r>
      <w:r w:rsidR="00340E5A">
        <w:rPr>
          <w:b/>
          <w:lang w:eastAsia="ja-JP"/>
        </w:rPr>
        <w:t>s</w:t>
      </w:r>
      <w:r>
        <w:rPr>
          <w:b/>
          <w:lang w:eastAsia="ja-JP"/>
        </w:rPr>
        <w:t xml:space="preserve"> of reserved power should be applied respectively for PCG and SCG. </w:t>
      </w:r>
      <w:r w:rsidRPr="002E7D89">
        <w:rPr>
          <w:b/>
          <w:lang w:eastAsia="ja-JP"/>
        </w:rPr>
        <w:t xml:space="preserve">PCG </w:t>
      </w:r>
      <w:bookmarkStart w:id="0" w:name="_GoBack"/>
      <w:bookmarkEnd w:id="0"/>
      <w:r w:rsidRPr="002E7D89">
        <w:rPr>
          <w:b/>
          <w:lang w:eastAsia="ja-JP"/>
        </w:rPr>
        <w:t>power allocation is always available and prioritized within PCG's reserved power.</w:t>
      </w:r>
      <w:r>
        <w:rPr>
          <w:b/>
          <w:lang w:eastAsia="ja-JP"/>
        </w:rPr>
        <w:t xml:space="preserve"> </w:t>
      </w:r>
      <w:r w:rsidRPr="002E7D89">
        <w:rPr>
          <w:b/>
          <w:lang w:eastAsia="ja-JP"/>
        </w:rPr>
        <w:t>If the transmission power of PCG is less than reserved power, SCG can use the power reserved for PCG.</w:t>
      </w:r>
      <w:r>
        <w:rPr>
          <w:b/>
          <w:lang w:eastAsia="ja-JP"/>
        </w:rPr>
        <w:t xml:space="preserve"> The same is applied for the transmission power of SCG and reserved power for PCG.</w:t>
      </w:r>
    </w:p>
    <w:p w14:paraId="4728788F" w14:textId="77777777" w:rsidR="00822DB3" w:rsidRDefault="00822DB3" w:rsidP="00822DB3">
      <w:pPr>
        <w:rPr>
          <w:b/>
          <w:lang w:eastAsia="ja-JP"/>
        </w:rPr>
      </w:pPr>
      <w:r>
        <w:rPr>
          <w:b/>
          <w:lang w:eastAsia="ja-JP"/>
        </w:rPr>
        <w:t>Proposal 5: Reserved power is applied regardless of the channel i.e. all uplink channel of respective PCG and SCG.</w:t>
      </w:r>
    </w:p>
    <w:p w14:paraId="527631DA" w14:textId="77777777" w:rsidR="00822DB3" w:rsidRDefault="00822DB3" w:rsidP="00822DB3">
      <w:pPr>
        <w:rPr>
          <w:b/>
          <w:lang w:eastAsia="ja-JP"/>
        </w:rPr>
      </w:pPr>
      <w:r>
        <w:rPr>
          <w:b/>
          <w:lang w:eastAsia="ja-JP"/>
        </w:rPr>
        <w:t>Proposal 6: To consider not to reserve the power of SCG when PCG has URLLC. The same is applied for the power of PCG when SCG has URLLC.</w:t>
      </w:r>
    </w:p>
    <w:p w14:paraId="4AEA84FA" w14:textId="77777777" w:rsidR="00822DB3" w:rsidRDefault="00822DB3" w:rsidP="00822DB3">
      <w:pPr>
        <w:rPr>
          <w:b/>
          <w:lang w:eastAsia="ja-JP"/>
        </w:rPr>
      </w:pPr>
      <w:r>
        <w:rPr>
          <w:b/>
          <w:lang w:eastAsia="ja-JP"/>
        </w:rPr>
        <w:t xml:space="preserve">Proposal 7: Prioritization of dropping is based on </w:t>
      </w:r>
      <w:r w:rsidRPr="004317F1">
        <w:rPr>
          <w:b/>
          <w:lang w:eastAsia="ja-JP"/>
        </w:rPr>
        <w:t>URLLC UL-SCH &gt; HARQ-ACK/NACK &gt; eMBB UL-SCH &gt; CSI</w:t>
      </w:r>
      <w:r>
        <w:rPr>
          <w:b/>
          <w:lang w:eastAsia="ja-JP"/>
        </w:rPr>
        <w:t>.</w:t>
      </w:r>
    </w:p>
    <w:p w14:paraId="691B52C8" w14:textId="2D3E209B" w:rsidR="000D2A48" w:rsidRPr="00593AB3" w:rsidRDefault="000D2A48" w:rsidP="00D273A5">
      <w:pPr>
        <w:rPr>
          <w:lang w:eastAsia="ja-JP"/>
        </w:rPr>
      </w:pPr>
    </w:p>
    <w:sectPr w:rsidR="000D2A48" w:rsidRPr="00593AB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33067" w14:textId="77777777" w:rsidR="00F33460" w:rsidRDefault="00F33460">
      <w:r>
        <w:separator/>
      </w:r>
    </w:p>
  </w:endnote>
  <w:endnote w:type="continuationSeparator" w:id="0">
    <w:p w14:paraId="0DBBD1E5" w14:textId="77777777" w:rsidR="00F33460" w:rsidRDefault="00F33460">
      <w:r>
        <w:continuationSeparator/>
      </w:r>
    </w:p>
  </w:endnote>
  <w:endnote w:type="continuationNotice" w:id="1">
    <w:p w14:paraId="59B8FAB6" w14:textId="77777777" w:rsidR="00F33460" w:rsidRDefault="00F33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C7468" w14:textId="77777777" w:rsidR="00F33460" w:rsidRDefault="00F33460">
      <w:r>
        <w:separator/>
      </w:r>
    </w:p>
  </w:footnote>
  <w:footnote w:type="continuationSeparator" w:id="0">
    <w:p w14:paraId="692E18BC" w14:textId="77777777" w:rsidR="00F33460" w:rsidRDefault="00F33460">
      <w:r>
        <w:continuationSeparator/>
      </w:r>
    </w:p>
  </w:footnote>
  <w:footnote w:type="continuationNotice" w:id="1">
    <w:p w14:paraId="16E27E14" w14:textId="77777777" w:rsidR="00F33460" w:rsidRDefault="00F334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6"/>
  </w:num>
  <w:num w:numId="4">
    <w:abstractNumId w:val="24"/>
  </w:num>
  <w:num w:numId="5">
    <w:abstractNumId w:val="18"/>
  </w:num>
  <w:num w:numId="6">
    <w:abstractNumId w:val="19"/>
  </w:num>
  <w:num w:numId="7">
    <w:abstractNumId w:val="17"/>
  </w:num>
  <w:num w:numId="8">
    <w:abstractNumId w:val="27"/>
  </w:num>
  <w:num w:numId="9">
    <w:abstractNumId w:val="23"/>
  </w:num>
  <w:num w:numId="10">
    <w:abstractNumId w:val="10"/>
  </w:num>
  <w:num w:numId="11">
    <w:abstractNumId w:val="15"/>
  </w:num>
  <w:num w:numId="12">
    <w:abstractNumId w:val="5"/>
  </w:num>
  <w:num w:numId="13">
    <w:abstractNumId w:val="7"/>
  </w:num>
  <w:num w:numId="14">
    <w:abstractNumId w:val="8"/>
  </w:num>
  <w:num w:numId="15">
    <w:abstractNumId w:val="11"/>
  </w:num>
  <w:num w:numId="16">
    <w:abstractNumId w:val="14"/>
  </w:num>
  <w:num w:numId="17">
    <w:abstractNumId w:val="2"/>
  </w:num>
  <w:num w:numId="18">
    <w:abstractNumId w:val="6"/>
  </w:num>
  <w:num w:numId="19">
    <w:abstractNumId w:val="2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3"/>
  </w:num>
  <w:num w:numId="22">
    <w:abstractNumId w:val="1"/>
  </w:num>
  <w:num w:numId="23">
    <w:abstractNumId w:val="9"/>
  </w:num>
  <w:num w:numId="24">
    <w:abstractNumId w:val="13"/>
  </w:num>
  <w:num w:numId="25">
    <w:abstractNumId w:val="25"/>
  </w:num>
  <w:num w:numId="26">
    <w:abstractNumId w:val="12"/>
  </w:num>
  <w:num w:numId="27">
    <w:abstractNumId w:val="4"/>
  </w:num>
  <w:num w:numId="28">
    <w:abstractNumId w:val="20"/>
  </w:num>
  <w:num w:numId="29">
    <w:abstractNumId w:val="3"/>
  </w:num>
  <w:num w:numId="30">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30"/>
    <w:rsid w:val="0000079B"/>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43E"/>
    <w:rsid w:val="00022AE1"/>
    <w:rsid w:val="000230F1"/>
    <w:rsid w:val="000233D5"/>
    <w:rsid w:val="0002364D"/>
    <w:rsid w:val="00023AE3"/>
    <w:rsid w:val="00023CCE"/>
    <w:rsid w:val="00024144"/>
    <w:rsid w:val="00024F2A"/>
    <w:rsid w:val="00025278"/>
    <w:rsid w:val="00025853"/>
    <w:rsid w:val="00026415"/>
    <w:rsid w:val="000266ED"/>
    <w:rsid w:val="00026811"/>
    <w:rsid w:val="00026B2D"/>
    <w:rsid w:val="0002759D"/>
    <w:rsid w:val="0003061E"/>
    <w:rsid w:val="000308A1"/>
    <w:rsid w:val="000310E6"/>
    <w:rsid w:val="00031400"/>
    <w:rsid w:val="00031668"/>
    <w:rsid w:val="00031E0C"/>
    <w:rsid w:val="00031F78"/>
    <w:rsid w:val="00032030"/>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194"/>
    <w:rsid w:val="00040D18"/>
    <w:rsid w:val="0004128F"/>
    <w:rsid w:val="00041836"/>
    <w:rsid w:val="00041AD9"/>
    <w:rsid w:val="00041B69"/>
    <w:rsid w:val="00041E8D"/>
    <w:rsid w:val="0004269B"/>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8AD"/>
    <w:rsid w:val="00053C42"/>
    <w:rsid w:val="000540D4"/>
    <w:rsid w:val="0005467C"/>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A8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15C"/>
    <w:rsid w:val="000739F6"/>
    <w:rsid w:val="00074024"/>
    <w:rsid w:val="00075BB7"/>
    <w:rsid w:val="0007690F"/>
    <w:rsid w:val="00077F75"/>
    <w:rsid w:val="000803A0"/>
    <w:rsid w:val="0008051A"/>
    <w:rsid w:val="00080BF7"/>
    <w:rsid w:val="00081405"/>
    <w:rsid w:val="00083B28"/>
    <w:rsid w:val="00083C62"/>
    <w:rsid w:val="00084EF4"/>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2D1"/>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08D"/>
    <w:rsid w:val="000D65DC"/>
    <w:rsid w:val="000D6E27"/>
    <w:rsid w:val="000D79F0"/>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912"/>
    <w:rsid w:val="00102B08"/>
    <w:rsid w:val="00102CEA"/>
    <w:rsid w:val="00102D91"/>
    <w:rsid w:val="00102F4C"/>
    <w:rsid w:val="00103043"/>
    <w:rsid w:val="0010353A"/>
    <w:rsid w:val="00103674"/>
    <w:rsid w:val="00103B2C"/>
    <w:rsid w:val="00103BED"/>
    <w:rsid w:val="0010421D"/>
    <w:rsid w:val="0010554C"/>
    <w:rsid w:val="0010580E"/>
    <w:rsid w:val="00105D3C"/>
    <w:rsid w:val="00106527"/>
    <w:rsid w:val="00106F60"/>
    <w:rsid w:val="00107088"/>
    <w:rsid w:val="00107D5D"/>
    <w:rsid w:val="00107F2F"/>
    <w:rsid w:val="0011037F"/>
    <w:rsid w:val="00110451"/>
    <w:rsid w:val="00110753"/>
    <w:rsid w:val="00110D5F"/>
    <w:rsid w:val="00111ECE"/>
    <w:rsid w:val="00112442"/>
    <w:rsid w:val="00113D82"/>
    <w:rsid w:val="00113FC0"/>
    <w:rsid w:val="001149BA"/>
    <w:rsid w:val="00114B5E"/>
    <w:rsid w:val="00114E80"/>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498F"/>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BE9"/>
    <w:rsid w:val="00133CDF"/>
    <w:rsid w:val="001342AE"/>
    <w:rsid w:val="001348F9"/>
    <w:rsid w:val="00134BD7"/>
    <w:rsid w:val="00135362"/>
    <w:rsid w:val="00135BC5"/>
    <w:rsid w:val="00135BF0"/>
    <w:rsid w:val="00135BF6"/>
    <w:rsid w:val="00135EBE"/>
    <w:rsid w:val="00135F9A"/>
    <w:rsid w:val="00136301"/>
    <w:rsid w:val="00137388"/>
    <w:rsid w:val="00137984"/>
    <w:rsid w:val="001400E2"/>
    <w:rsid w:val="00140912"/>
    <w:rsid w:val="00140C2F"/>
    <w:rsid w:val="00140FDA"/>
    <w:rsid w:val="00142434"/>
    <w:rsid w:val="00142E77"/>
    <w:rsid w:val="00142F9A"/>
    <w:rsid w:val="00143766"/>
    <w:rsid w:val="0014407F"/>
    <w:rsid w:val="0014494A"/>
    <w:rsid w:val="00144C75"/>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2F58"/>
    <w:rsid w:val="00153372"/>
    <w:rsid w:val="001535EC"/>
    <w:rsid w:val="00153D5F"/>
    <w:rsid w:val="0015416B"/>
    <w:rsid w:val="00154768"/>
    <w:rsid w:val="001549B2"/>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3A5"/>
    <w:rsid w:val="00174789"/>
    <w:rsid w:val="00174B3C"/>
    <w:rsid w:val="00174C0B"/>
    <w:rsid w:val="0017525D"/>
    <w:rsid w:val="00175881"/>
    <w:rsid w:val="0017645C"/>
    <w:rsid w:val="00176909"/>
    <w:rsid w:val="00176C74"/>
    <w:rsid w:val="0017708B"/>
    <w:rsid w:val="00177951"/>
    <w:rsid w:val="0017796A"/>
    <w:rsid w:val="00177D5C"/>
    <w:rsid w:val="00177E50"/>
    <w:rsid w:val="00177F56"/>
    <w:rsid w:val="00180010"/>
    <w:rsid w:val="00180053"/>
    <w:rsid w:val="0018034C"/>
    <w:rsid w:val="00181E2B"/>
    <w:rsid w:val="001822B3"/>
    <w:rsid w:val="0018256D"/>
    <w:rsid w:val="0018259F"/>
    <w:rsid w:val="001827CC"/>
    <w:rsid w:val="00182A0D"/>
    <w:rsid w:val="00182E76"/>
    <w:rsid w:val="00182F10"/>
    <w:rsid w:val="00183562"/>
    <w:rsid w:val="00184315"/>
    <w:rsid w:val="00184741"/>
    <w:rsid w:val="00184C86"/>
    <w:rsid w:val="00184CFE"/>
    <w:rsid w:val="00185353"/>
    <w:rsid w:val="00185557"/>
    <w:rsid w:val="0018574D"/>
    <w:rsid w:val="00185992"/>
    <w:rsid w:val="00186179"/>
    <w:rsid w:val="001863D2"/>
    <w:rsid w:val="001863E3"/>
    <w:rsid w:val="001866E9"/>
    <w:rsid w:val="00187151"/>
    <w:rsid w:val="00187560"/>
    <w:rsid w:val="00187695"/>
    <w:rsid w:val="00190C74"/>
    <w:rsid w:val="00191268"/>
    <w:rsid w:val="00191B7E"/>
    <w:rsid w:val="00191C14"/>
    <w:rsid w:val="001926EC"/>
    <w:rsid w:val="00193AA8"/>
    <w:rsid w:val="00194014"/>
    <w:rsid w:val="00195181"/>
    <w:rsid w:val="00195842"/>
    <w:rsid w:val="00195B78"/>
    <w:rsid w:val="00195CDD"/>
    <w:rsid w:val="0019753D"/>
    <w:rsid w:val="0019773E"/>
    <w:rsid w:val="00197E18"/>
    <w:rsid w:val="001A0C7D"/>
    <w:rsid w:val="001A1165"/>
    <w:rsid w:val="001A1581"/>
    <w:rsid w:val="001A1DDE"/>
    <w:rsid w:val="001A21CC"/>
    <w:rsid w:val="001A2232"/>
    <w:rsid w:val="001A23B0"/>
    <w:rsid w:val="001A26B8"/>
    <w:rsid w:val="001A27EC"/>
    <w:rsid w:val="001A2F5A"/>
    <w:rsid w:val="001A3319"/>
    <w:rsid w:val="001A386B"/>
    <w:rsid w:val="001A409F"/>
    <w:rsid w:val="001A4477"/>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D33"/>
    <w:rsid w:val="001B3F34"/>
    <w:rsid w:val="001B4180"/>
    <w:rsid w:val="001B43B1"/>
    <w:rsid w:val="001B4583"/>
    <w:rsid w:val="001B48B1"/>
    <w:rsid w:val="001B4C69"/>
    <w:rsid w:val="001B4F38"/>
    <w:rsid w:val="001B4F90"/>
    <w:rsid w:val="001B4FDE"/>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C6C9C"/>
    <w:rsid w:val="001D03A0"/>
    <w:rsid w:val="001D0C92"/>
    <w:rsid w:val="001D0EC7"/>
    <w:rsid w:val="001D0F86"/>
    <w:rsid w:val="001D1CBC"/>
    <w:rsid w:val="001D1FE4"/>
    <w:rsid w:val="001D2E8A"/>
    <w:rsid w:val="001D2F73"/>
    <w:rsid w:val="001D324D"/>
    <w:rsid w:val="001D3366"/>
    <w:rsid w:val="001D3D83"/>
    <w:rsid w:val="001D3E8C"/>
    <w:rsid w:val="001D4229"/>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7B9"/>
    <w:rsid w:val="001E0B3C"/>
    <w:rsid w:val="001E0C3D"/>
    <w:rsid w:val="001E1114"/>
    <w:rsid w:val="001E13E5"/>
    <w:rsid w:val="001E1684"/>
    <w:rsid w:val="001E1CF2"/>
    <w:rsid w:val="001E2469"/>
    <w:rsid w:val="001E307E"/>
    <w:rsid w:val="001E328E"/>
    <w:rsid w:val="001E3678"/>
    <w:rsid w:val="001E3AF6"/>
    <w:rsid w:val="001E4498"/>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2F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402"/>
    <w:rsid w:val="002046E4"/>
    <w:rsid w:val="00204B32"/>
    <w:rsid w:val="00204B54"/>
    <w:rsid w:val="00205843"/>
    <w:rsid w:val="002067F3"/>
    <w:rsid w:val="0020685A"/>
    <w:rsid w:val="00206919"/>
    <w:rsid w:val="00206948"/>
    <w:rsid w:val="00206AB0"/>
    <w:rsid w:val="00206AEB"/>
    <w:rsid w:val="00206B58"/>
    <w:rsid w:val="0020727C"/>
    <w:rsid w:val="00207B8F"/>
    <w:rsid w:val="00207C92"/>
    <w:rsid w:val="00207F36"/>
    <w:rsid w:val="00210E5F"/>
    <w:rsid w:val="00210FF7"/>
    <w:rsid w:val="00212D25"/>
    <w:rsid w:val="00213655"/>
    <w:rsid w:val="00213CA5"/>
    <w:rsid w:val="002146DA"/>
    <w:rsid w:val="00214A85"/>
    <w:rsid w:val="00214EAF"/>
    <w:rsid w:val="00215A3B"/>
    <w:rsid w:val="002160D0"/>
    <w:rsid w:val="00216CE3"/>
    <w:rsid w:val="00216FE8"/>
    <w:rsid w:val="00217133"/>
    <w:rsid w:val="0021734F"/>
    <w:rsid w:val="00217380"/>
    <w:rsid w:val="0021799B"/>
    <w:rsid w:val="00217B48"/>
    <w:rsid w:val="00217D60"/>
    <w:rsid w:val="002200AE"/>
    <w:rsid w:val="0022014A"/>
    <w:rsid w:val="00221270"/>
    <w:rsid w:val="002215AA"/>
    <w:rsid w:val="00221B5F"/>
    <w:rsid w:val="00221CE3"/>
    <w:rsid w:val="00222369"/>
    <w:rsid w:val="00222445"/>
    <w:rsid w:val="002226F9"/>
    <w:rsid w:val="00222DE4"/>
    <w:rsid w:val="00223CB7"/>
    <w:rsid w:val="002252B4"/>
    <w:rsid w:val="00225847"/>
    <w:rsid w:val="00225D3E"/>
    <w:rsid w:val="0022667B"/>
    <w:rsid w:val="00226787"/>
    <w:rsid w:val="00226D0C"/>
    <w:rsid w:val="00227035"/>
    <w:rsid w:val="00230070"/>
    <w:rsid w:val="0023094B"/>
    <w:rsid w:val="00230F0D"/>
    <w:rsid w:val="00231AF0"/>
    <w:rsid w:val="00233541"/>
    <w:rsid w:val="00233F0C"/>
    <w:rsid w:val="00234680"/>
    <w:rsid w:val="00234923"/>
    <w:rsid w:val="00234A34"/>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54B"/>
    <w:rsid w:val="00241E1F"/>
    <w:rsid w:val="00242940"/>
    <w:rsid w:val="002436DF"/>
    <w:rsid w:val="00243AD9"/>
    <w:rsid w:val="00245839"/>
    <w:rsid w:val="00245E25"/>
    <w:rsid w:val="00245F97"/>
    <w:rsid w:val="002462CF"/>
    <w:rsid w:val="00246464"/>
    <w:rsid w:val="00246958"/>
    <w:rsid w:val="00246AA4"/>
    <w:rsid w:val="0024783E"/>
    <w:rsid w:val="0024790A"/>
    <w:rsid w:val="00247B93"/>
    <w:rsid w:val="00247C3A"/>
    <w:rsid w:val="00251467"/>
    <w:rsid w:val="002515B9"/>
    <w:rsid w:val="002519E5"/>
    <w:rsid w:val="00251A8E"/>
    <w:rsid w:val="00251B56"/>
    <w:rsid w:val="00252069"/>
    <w:rsid w:val="0025258A"/>
    <w:rsid w:val="00252C20"/>
    <w:rsid w:val="00253199"/>
    <w:rsid w:val="002534B1"/>
    <w:rsid w:val="002536ED"/>
    <w:rsid w:val="00253B10"/>
    <w:rsid w:val="002540DF"/>
    <w:rsid w:val="002541CB"/>
    <w:rsid w:val="00254F65"/>
    <w:rsid w:val="00255082"/>
    <w:rsid w:val="0025517A"/>
    <w:rsid w:val="00255346"/>
    <w:rsid w:val="002553FE"/>
    <w:rsid w:val="002557BC"/>
    <w:rsid w:val="002559D0"/>
    <w:rsid w:val="00255F10"/>
    <w:rsid w:val="0025623D"/>
    <w:rsid w:val="00257920"/>
    <w:rsid w:val="002579BD"/>
    <w:rsid w:val="00257F3A"/>
    <w:rsid w:val="00260961"/>
    <w:rsid w:val="00260AC9"/>
    <w:rsid w:val="00260B3D"/>
    <w:rsid w:val="00261439"/>
    <w:rsid w:val="00261A2A"/>
    <w:rsid w:val="002621F4"/>
    <w:rsid w:val="00262240"/>
    <w:rsid w:val="002625BC"/>
    <w:rsid w:val="00262A5F"/>
    <w:rsid w:val="0026331A"/>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298"/>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07E"/>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BCD"/>
    <w:rsid w:val="00295C19"/>
    <w:rsid w:val="00296092"/>
    <w:rsid w:val="002966C4"/>
    <w:rsid w:val="002966C5"/>
    <w:rsid w:val="00296A1E"/>
    <w:rsid w:val="00296C18"/>
    <w:rsid w:val="0029702F"/>
    <w:rsid w:val="00297281"/>
    <w:rsid w:val="00297680"/>
    <w:rsid w:val="0029795E"/>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A41"/>
    <w:rsid w:val="002B5D46"/>
    <w:rsid w:val="002B5E92"/>
    <w:rsid w:val="002B5F5B"/>
    <w:rsid w:val="002B5FC1"/>
    <w:rsid w:val="002B65B1"/>
    <w:rsid w:val="002B65BF"/>
    <w:rsid w:val="002B68E2"/>
    <w:rsid w:val="002B6EE6"/>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971"/>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8C6"/>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6C8"/>
    <w:rsid w:val="002E68ED"/>
    <w:rsid w:val="002E79F5"/>
    <w:rsid w:val="002E7D89"/>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2F783A"/>
    <w:rsid w:val="003001F4"/>
    <w:rsid w:val="003003B0"/>
    <w:rsid w:val="003004B5"/>
    <w:rsid w:val="00300729"/>
    <w:rsid w:val="0030093F"/>
    <w:rsid w:val="003009BB"/>
    <w:rsid w:val="00301BCA"/>
    <w:rsid w:val="00301CC9"/>
    <w:rsid w:val="00302A40"/>
    <w:rsid w:val="00302B51"/>
    <w:rsid w:val="00303142"/>
    <w:rsid w:val="003031EC"/>
    <w:rsid w:val="00303A58"/>
    <w:rsid w:val="00303CCD"/>
    <w:rsid w:val="003045FC"/>
    <w:rsid w:val="003046F4"/>
    <w:rsid w:val="00304C1C"/>
    <w:rsid w:val="00304E10"/>
    <w:rsid w:val="0030520F"/>
    <w:rsid w:val="0030530B"/>
    <w:rsid w:val="0030540E"/>
    <w:rsid w:val="0030583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1FD5"/>
    <w:rsid w:val="00322FE7"/>
    <w:rsid w:val="00323028"/>
    <w:rsid w:val="00323048"/>
    <w:rsid w:val="00323396"/>
    <w:rsid w:val="00323A17"/>
    <w:rsid w:val="00323C80"/>
    <w:rsid w:val="0032413E"/>
    <w:rsid w:val="00324D71"/>
    <w:rsid w:val="003254D9"/>
    <w:rsid w:val="00325773"/>
    <w:rsid w:val="00325C5E"/>
    <w:rsid w:val="003265CB"/>
    <w:rsid w:val="00326862"/>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17E"/>
    <w:rsid w:val="0033328D"/>
    <w:rsid w:val="00333510"/>
    <w:rsid w:val="0033519C"/>
    <w:rsid w:val="003351C5"/>
    <w:rsid w:val="00335411"/>
    <w:rsid w:val="003355AE"/>
    <w:rsid w:val="003360CF"/>
    <w:rsid w:val="00336266"/>
    <w:rsid w:val="003362C0"/>
    <w:rsid w:val="00336B9A"/>
    <w:rsid w:val="00336C59"/>
    <w:rsid w:val="00340428"/>
    <w:rsid w:val="003406E0"/>
    <w:rsid w:val="00340728"/>
    <w:rsid w:val="00340E5A"/>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9B5"/>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E2D"/>
    <w:rsid w:val="00396027"/>
    <w:rsid w:val="003968BD"/>
    <w:rsid w:val="00397242"/>
    <w:rsid w:val="00397844"/>
    <w:rsid w:val="003979FE"/>
    <w:rsid w:val="00397C38"/>
    <w:rsid w:val="00397DE5"/>
    <w:rsid w:val="003A043F"/>
    <w:rsid w:val="003A0A79"/>
    <w:rsid w:val="003A0E7D"/>
    <w:rsid w:val="003A1523"/>
    <w:rsid w:val="003A257F"/>
    <w:rsid w:val="003A2A79"/>
    <w:rsid w:val="003A2ECC"/>
    <w:rsid w:val="003A3034"/>
    <w:rsid w:val="003A382D"/>
    <w:rsid w:val="003A3F6B"/>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58BD"/>
    <w:rsid w:val="003C676E"/>
    <w:rsid w:val="003C68F4"/>
    <w:rsid w:val="003C752A"/>
    <w:rsid w:val="003D09A3"/>
    <w:rsid w:val="003D0D85"/>
    <w:rsid w:val="003D1842"/>
    <w:rsid w:val="003D197B"/>
    <w:rsid w:val="003D25CF"/>
    <w:rsid w:val="003D3302"/>
    <w:rsid w:val="003D3A66"/>
    <w:rsid w:val="003D3F70"/>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5B7"/>
    <w:rsid w:val="003E7840"/>
    <w:rsid w:val="003E7B17"/>
    <w:rsid w:val="003F01E1"/>
    <w:rsid w:val="003F03A4"/>
    <w:rsid w:val="003F11ED"/>
    <w:rsid w:val="003F1C39"/>
    <w:rsid w:val="003F1C5C"/>
    <w:rsid w:val="003F23C5"/>
    <w:rsid w:val="003F272F"/>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D17"/>
    <w:rsid w:val="00401E01"/>
    <w:rsid w:val="004029B7"/>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0AA"/>
    <w:rsid w:val="004213EB"/>
    <w:rsid w:val="00421D44"/>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7F1"/>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1E5E"/>
    <w:rsid w:val="004429BF"/>
    <w:rsid w:val="00442BFF"/>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98"/>
    <w:rsid w:val="00452DFC"/>
    <w:rsid w:val="00453048"/>
    <w:rsid w:val="00453487"/>
    <w:rsid w:val="0045355C"/>
    <w:rsid w:val="0045387B"/>
    <w:rsid w:val="0045394B"/>
    <w:rsid w:val="00453DB6"/>
    <w:rsid w:val="00453E7E"/>
    <w:rsid w:val="00454111"/>
    <w:rsid w:val="0045583C"/>
    <w:rsid w:val="004558BC"/>
    <w:rsid w:val="004559D3"/>
    <w:rsid w:val="00455AFD"/>
    <w:rsid w:val="00456630"/>
    <w:rsid w:val="00456653"/>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3F64"/>
    <w:rsid w:val="004640AF"/>
    <w:rsid w:val="004646A0"/>
    <w:rsid w:val="00464B50"/>
    <w:rsid w:val="004654A3"/>
    <w:rsid w:val="00465AE8"/>
    <w:rsid w:val="00465C03"/>
    <w:rsid w:val="0046604F"/>
    <w:rsid w:val="004664DB"/>
    <w:rsid w:val="00466A81"/>
    <w:rsid w:val="00466BA1"/>
    <w:rsid w:val="00467CA4"/>
    <w:rsid w:val="004708FE"/>
    <w:rsid w:val="00470B6E"/>
    <w:rsid w:val="00470BFF"/>
    <w:rsid w:val="00471926"/>
    <w:rsid w:val="00471CC5"/>
    <w:rsid w:val="0047412A"/>
    <w:rsid w:val="00474496"/>
    <w:rsid w:val="004746EB"/>
    <w:rsid w:val="004751BE"/>
    <w:rsid w:val="004755DD"/>
    <w:rsid w:val="0047561D"/>
    <w:rsid w:val="004768D1"/>
    <w:rsid w:val="0047719C"/>
    <w:rsid w:val="004771A6"/>
    <w:rsid w:val="004773B4"/>
    <w:rsid w:val="00480888"/>
    <w:rsid w:val="0048098F"/>
    <w:rsid w:val="004809EC"/>
    <w:rsid w:val="00480CB7"/>
    <w:rsid w:val="0048150E"/>
    <w:rsid w:val="00481980"/>
    <w:rsid w:val="00481BAE"/>
    <w:rsid w:val="004827F1"/>
    <w:rsid w:val="00482967"/>
    <w:rsid w:val="0048299E"/>
    <w:rsid w:val="00482F87"/>
    <w:rsid w:val="004833F8"/>
    <w:rsid w:val="00483CBA"/>
    <w:rsid w:val="00483F2C"/>
    <w:rsid w:val="00483FCE"/>
    <w:rsid w:val="00483FE1"/>
    <w:rsid w:val="004842E1"/>
    <w:rsid w:val="004846F9"/>
    <w:rsid w:val="00484A69"/>
    <w:rsid w:val="00484D5B"/>
    <w:rsid w:val="00484E57"/>
    <w:rsid w:val="00484ED4"/>
    <w:rsid w:val="00484FB2"/>
    <w:rsid w:val="004850B7"/>
    <w:rsid w:val="004856A5"/>
    <w:rsid w:val="00485CDE"/>
    <w:rsid w:val="004862CD"/>
    <w:rsid w:val="00486A50"/>
    <w:rsid w:val="00486B52"/>
    <w:rsid w:val="00486E13"/>
    <w:rsid w:val="00486E6A"/>
    <w:rsid w:val="00490537"/>
    <w:rsid w:val="004908B6"/>
    <w:rsid w:val="0049183B"/>
    <w:rsid w:val="00491C0C"/>
    <w:rsid w:val="00491F76"/>
    <w:rsid w:val="00492071"/>
    <w:rsid w:val="0049256A"/>
    <w:rsid w:val="00492595"/>
    <w:rsid w:val="00492AF0"/>
    <w:rsid w:val="00492B79"/>
    <w:rsid w:val="00492C30"/>
    <w:rsid w:val="00493151"/>
    <w:rsid w:val="004932F4"/>
    <w:rsid w:val="00493991"/>
    <w:rsid w:val="004943E8"/>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97EFA"/>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C7DE3"/>
    <w:rsid w:val="004D041B"/>
    <w:rsid w:val="004D0459"/>
    <w:rsid w:val="004D08BA"/>
    <w:rsid w:val="004D099D"/>
    <w:rsid w:val="004D14BC"/>
    <w:rsid w:val="004D2467"/>
    <w:rsid w:val="004D28B5"/>
    <w:rsid w:val="004D2E19"/>
    <w:rsid w:val="004D3B5D"/>
    <w:rsid w:val="004D3CEE"/>
    <w:rsid w:val="004D430E"/>
    <w:rsid w:val="004D44AC"/>
    <w:rsid w:val="004D49DE"/>
    <w:rsid w:val="004D5105"/>
    <w:rsid w:val="004D5C9A"/>
    <w:rsid w:val="004D6178"/>
    <w:rsid w:val="004D6562"/>
    <w:rsid w:val="004D71A7"/>
    <w:rsid w:val="004D7619"/>
    <w:rsid w:val="004D794F"/>
    <w:rsid w:val="004D7951"/>
    <w:rsid w:val="004D7CFD"/>
    <w:rsid w:val="004E006C"/>
    <w:rsid w:val="004E032D"/>
    <w:rsid w:val="004E06B4"/>
    <w:rsid w:val="004E07C4"/>
    <w:rsid w:val="004E0B4E"/>
    <w:rsid w:val="004E0B6B"/>
    <w:rsid w:val="004E0D52"/>
    <w:rsid w:val="004E1C12"/>
    <w:rsid w:val="004E223B"/>
    <w:rsid w:val="004E3301"/>
    <w:rsid w:val="004E3934"/>
    <w:rsid w:val="004E3FEF"/>
    <w:rsid w:val="004E5042"/>
    <w:rsid w:val="004E51A5"/>
    <w:rsid w:val="004E5466"/>
    <w:rsid w:val="004E65B4"/>
    <w:rsid w:val="004E7427"/>
    <w:rsid w:val="004E7F59"/>
    <w:rsid w:val="004F0749"/>
    <w:rsid w:val="004F0D15"/>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6D50"/>
    <w:rsid w:val="004F7704"/>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0E5"/>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5339"/>
    <w:rsid w:val="0052688D"/>
    <w:rsid w:val="005269E0"/>
    <w:rsid w:val="00526BC2"/>
    <w:rsid w:val="00526D40"/>
    <w:rsid w:val="005279CA"/>
    <w:rsid w:val="00527E16"/>
    <w:rsid w:val="00527E6D"/>
    <w:rsid w:val="0053045D"/>
    <w:rsid w:val="00530620"/>
    <w:rsid w:val="00530E37"/>
    <w:rsid w:val="00531370"/>
    <w:rsid w:val="00531CDF"/>
    <w:rsid w:val="00532063"/>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1EA0"/>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31A"/>
    <w:rsid w:val="00557750"/>
    <w:rsid w:val="005605DB"/>
    <w:rsid w:val="0056094F"/>
    <w:rsid w:val="00561704"/>
    <w:rsid w:val="00561EA0"/>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1BA"/>
    <w:rsid w:val="0058730F"/>
    <w:rsid w:val="00587511"/>
    <w:rsid w:val="00587CED"/>
    <w:rsid w:val="00590185"/>
    <w:rsid w:val="00591F01"/>
    <w:rsid w:val="0059241B"/>
    <w:rsid w:val="0059248B"/>
    <w:rsid w:val="00592C6F"/>
    <w:rsid w:val="00593189"/>
    <w:rsid w:val="005932E3"/>
    <w:rsid w:val="00593A48"/>
    <w:rsid w:val="00593AB3"/>
    <w:rsid w:val="00593BCA"/>
    <w:rsid w:val="00593FD9"/>
    <w:rsid w:val="00594AF4"/>
    <w:rsid w:val="0059550E"/>
    <w:rsid w:val="0059575E"/>
    <w:rsid w:val="00595846"/>
    <w:rsid w:val="00595C58"/>
    <w:rsid w:val="00596108"/>
    <w:rsid w:val="00596126"/>
    <w:rsid w:val="005961E2"/>
    <w:rsid w:val="0059629C"/>
    <w:rsid w:val="00596481"/>
    <w:rsid w:val="005965FB"/>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454"/>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BF8"/>
    <w:rsid w:val="005B6FF8"/>
    <w:rsid w:val="005B7553"/>
    <w:rsid w:val="005C0202"/>
    <w:rsid w:val="005C0624"/>
    <w:rsid w:val="005C0E13"/>
    <w:rsid w:val="005C12F9"/>
    <w:rsid w:val="005C1729"/>
    <w:rsid w:val="005C1F7B"/>
    <w:rsid w:val="005C23EF"/>
    <w:rsid w:val="005C2665"/>
    <w:rsid w:val="005C2D1B"/>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6CEC"/>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3EEB"/>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1295"/>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5D64"/>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D72"/>
    <w:rsid w:val="00632F59"/>
    <w:rsid w:val="00633113"/>
    <w:rsid w:val="0063393B"/>
    <w:rsid w:val="00633BC0"/>
    <w:rsid w:val="006348C9"/>
    <w:rsid w:val="00635C58"/>
    <w:rsid w:val="006366BA"/>
    <w:rsid w:val="00636FD4"/>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756"/>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4BCC"/>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08"/>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6DD3"/>
    <w:rsid w:val="0069734E"/>
    <w:rsid w:val="006976AD"/>
    <w:rsid w:val="006978C0"/>
    <w:rsid w:val="006979C6"/>
    <w:rsid w:val="00697EA8"/>
    <w:rsid w:val="006A06DF"/>
    <w:rsid w:val="006A08E6"/>
    <w:rsid w:val="006A0B90"/>
    <w:rsid w:val="006A28CF"/>
    <w:rsid w:val="006A2D4C"/>
    <w:rsid w:val="006A2E9B"/>
    <w:rsid w:val="006A3717"/>
    <w:rsid w:val="006A3BE4"/>
    <w:rsid w:val="006A4B1D"/>
    <w:rsid w:val="006A4C23"/>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190"/>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49D3"/>
    <w:rsid w:val="006D6369"/>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2E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65D"/>
    <w:rsid w:val="00710958"/>
    <w:rsid w:val="00710B5D"/>
    <w:rsid w:val="00710DF7"/>
    <w:rsid w:val="007117DD"/>
    <w:rsid w:val="007117F4"/>
    <w:rsid w:val="00711CD3"/>
    <w:rsid w:val="0071213A"/>
    <w:rsid w:val="0071221F"/>
    <w:rsid w:val="0071246C"/>
    <w:rsid w:val="007130F8"/>
    <w:rsid w:val="00713844"/>
    <w:rsid w:val="00713D13"/>
    <w:rsid w:val="007144E3"/>
    <w:rsid w:val="007147FE"/>
    <w:rsid w:val="00714FAC"/>
    <w:rsid w:val="00715200"/>
    <w:rsid w:val="00715431"/>
    <w:rsid w:val="00715D4D"/>
    <w:rsid w:val="00716692"/>
    <w:rsid w:val="00717659"/>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2FF"/>
    <w:rsid w:val="00723A0F"/>
    <w:rsid w:val="00724EAE"/>
    <w:rsid w:val="00725234"/>
    <w:rsid w:val="007255A8"/>
    <w:rsid w:val="00725731"/>
    <w:rsid w:val="00725F29"/>
    <w:rsid w:val="007261AC"/>
    <w:rsid w:val="007267CE"/>
    <w:rsid w:val="00727E4C"/>
    <w:rsid w:val="00727EBC"/>
    <w:rsid w:val="007300D9"/>
    <w:rsid w:val="0073016F"/>
    <w:rsid w:val="0073047E"/>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2C24"/>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160"/>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DC4"/>
    <w:rsid w:val="007A2EE3"/>
    <w:rsid w:val="007A36B7"/>
    <w:rsid w:val="007A38AF"/>
    <w:rsid w:val="007A3A2C"/>
    <w:rsid w:val="007A3F36"/>
    <w:rsid w:val="007A4605"/>
    <w:rsid w:val="007A515F"/>
    <w:rsid w:val="007A5625"/>
    <w:rsid w:val="007A57C4"/>
    <w:rsid w:val="007A5893"/>
    <w:rsid w:val="007A5BBC"/>
    <w:rsid w:val="007A6230"/>
    <w:rsid w:val="007A7806"/>
    <w:rsid w:val="007B0242"/>
    <w:rsid w:val="007B0420"/>
    <w:rsid w:val="007B064F"/>
    <w:rsid w:val="007B090A"/>
    <w:rsid w:val="007B0E32"/>
    <w:rsid w:val="007B1757"/>
    <w:rsid w:val="007B2D9D"/>
    <w:rsid w:val="007B3AED"/>
    <w:rsid w:val="007B3D6C"/>
    <w:rsid w:val="007B4066"/>
    <w:rsid w:val="007B5280"/>
    <w:rsid w:val="007B5828"/>
    <w:rsid w:val="007B5AAE"/>
    <w:rsid w:val="007B6595"/>
    <w:rsid w:val="007B70A0"/>
    <w:rsid w:val="007B73B7"/>
    <w:rsid w:val="007B74D9"/>
    <w:rsid w:val="007B7723"/>
    <w:rsid w:val="007C02F4"/>
    <w:rsid w:val="007C042E"/>
    <w:rsid w:val="007C0ADC"/>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8A2"/>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265"/>
    <w:rsid w:val="007F45BF"/>
    <w:rsid w:val="007F495A"/>
    <w:rsid w:val="007F53AC"/>
    <w:rsid w:val="007F5C52"/>
    <w:rsid w:val="007F65F4"/>
    <w:rsid w:val="007F6A09"/>
    <w:rsid w:val="007F72A2"/>
    <w:rsid w:val="007F75D1"/>
    <w:rsid w:val="007F7B35"/>
    <w:rsid w:val="008003FB"/>
    <w:rsid w:val="00800B54"/>
    <w:rsid w:val="00801411"/>
    <w:rsid w:val="008018BD"/>
    <w:rsid w:val="0080211F"/>
    <w:rsid w:val="008021DD"/>
    <w:rsid w:val="0080301C"/>
    <w:rsid w:val="00803320"/>
    <w:rsid w:val="00803337"/>
    <w:rsid w:val="00803BED"/>
    <w:rsid w:val="00803E80"/>
    <w:rsid w:val="008044A1"/>
    <w:rsid w:val="00805037"/>
    <w:rsid w:val="0080535C"/>
    <w:rsid w:val="00805DC4"/>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0"/>
    <w:rsid w:val="0081489D"/>
    <w:rsid w:val="00814C8F"/>
    <w:rsid w:val="00814D5B"/>
    <w:rsid w:val="00815067"/>
    <w:rsid w:val="008150E9"/>
    <w:rsid w:val="008155F3"/>
    <w:rsid w:val="008157A4"/>
    <w:rsid w:val="00815DE1"/>
    <w:rsid w:val="00816174"/>
    <w:rsid w:val="00816300"/>
    <w:rsid w:val="0081664B"/>
    <w:rsid w:val="008166DF"/>
    <w:rsid w:val="0081697E"/>
    <w:rsid w:val="00817248"/>
    <w:rsid w:val="00817631"/>
    <w:rsid w:val="0081794C"/>
    <w:rsid w:val="00817953"/>
    <w:rsid w:val="00820966"/>
    <w:rsid w:val="00820B86"/>
    <w:rsid w:val="00820CD9"/>
    <w:rsid w:val="00820F43"/>
    <w:rsid w:val="0082121C"/>
    <w:rsid w:val="00821977"/>
    <w:rsid w:val="0082228A"/>
    <w:rsid w:val="0082243B"/>
    <w:rsid w:val="00822AB9"/>
    <w:rsid w:val="00822B7B"/>
    <w:rsid w:val="00822C35"/>
    <w:rsid w:val="00822DB3"/>
    <w:rsid w:val="0082376A"/>
    <w:rsid w:val="00824922"/>
    <w:rsid w:val="00824BC3"/>
    <w:rsid w:val="00824D83"/>
    <w:rsid w:val="00825265"/>
    <w:rsid w:val="00826C1D"/>
    <w:rsid w:val="00827093"/>
    <w:rsid w:val="00830118"/>
    <w:rsid w:val="008303E6"/>
    <w:rsid w:val="008308AE"/>
    <w:rsid w:val="00831704"/>
    <w:rsid w:val="00831BCC"/>
    <w:rsid w:val="00831F0D"/>
    <w:rsid w:val="008322F7"/>
    <w:rsid w:val="008328B8"/>
    <w:rsid w:val="00832B13"/>
    <w:rsid w:val="00832CC0"/>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127"/>
    <w:rsid w:val="008427C8"/>
    <w:rsid w:val="00842EF7"/>
    <w:rsid w:val="008430BD"/>
    <w:rsid w:val="008432ED"/>
    <w:rsid w:val="0084379B"/>
    <w:rsid w:val="00843E45"/>
    <w:rsid w:val="00844092"/>
    <w:rsid w:val="00844C65"/>
    <w:rsid w:val="008460B0"/>
    <w:rsid w:val="0084656B"/>
    <w:rsid w:val="008466B3"/>
    <w:rsid w:val="0084682B"/>
    <w:rsid w:val="00847225"/>
    <w:rsid w:val="0084762B"/>
    <w:rsid w:val="0085014F"/>
    <w:rsid w:val="00851083"/>
    <w:rsid w:val="008525FE"/>
    <w:rsid w:val="008526D1"/>
    <w:rsid w:val="008535A3"/>
    <w:rsid w:val="00853E06"/>
    <w:rsid w:val="00854910"/>
    <w:rsid w:val="00854A31"/>
    <w:rsid w:val="00854CA6"/>
    <w:rsid w:val="0085515D"/>
    <w:rsid w:val="00855196"/>
    <w:rsid w:val="00855A58"/>
    <w:rsid w:val="00855E88"/>
    <w:rsid w:val="008567BC"/>
    <w:rsid w:val="00856CF9"/>
    <w:rsid w:val="0085701E"/>
    <w:rsid w:val="008579AC"/>
    <w:rsid w:val="00861C02"/>
    <w:rsid w:val="00861D65"/>
    <w:rsid w:val="0086227A"/>
    <w:rsid w:val="00862F08"/>
    <w:rsid w:val="008632E4"/>
    <w:rsid w:val="008633E2"/>
    <w:rsid w:val="00863B7A"/>
    <w:rsid w:val="00863EA9"/>
    <w:rsid w:val="008648AC"/>
    <w:rsid w:val="00864D62"/>
    <w:rsid w:val="00865421"/>
    <w:rsid w:val="008654A5"/>
    <w:rsid w:val="0086589B"/>
    <w:rsid w:val="00865B62"/>
    <w:rsid w:val="00865D23"/>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731"/>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ACE"/>
    <w:rsid w:val="00887C04"/>
    <w:rsid w:val="00891785"/>
    <w:rsid w:val="0089212F"/>
    <w:rsid w:val="00892F00"/>
    <w:rsid w:val="00892F4B"/>
    <w:rsid w:val="00894CC0"/>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20F"/>
    <w:rsid w:val="008A5DCE"/>
    <w:rsid w:val="008A5DFD"/>
    <w:rsid w:val="008A61C4"/>
    <w:rsid w:val="008A64A7"/>
    <w:rsid w:val="008A66B6"/>
    <w:rsid w:val="008A6F49"/>
    <w:rsid w:val="008A771F"/>
    <w:rsid w:val="008A7735"/>
    <w:rsid w:val="008A7D18"/>
    <w:rsid w:val="008A7F03"/>
    <w:rsid w:val="008B009A"/>
    <w:rsid w:val="008B0201"/>
    <w:rsid w:val="008B0B54"/>
    <w:rsid w:val="008B0D92"/>
    <w:rsid w:val="008B1241"/>
    <w:rsid w:val="008B1E65"/>
    <w:rsid w:val="008B2001"/>
    <w:rsid w:val="008B224C"/>
    <w:rsid w:val="008B24A1"/>
    <w:rsid w:val="008B24FC"/>
    <w:rsid w:val="008B2633"/>
    <w:rsid w:val="008B2CC5"/>
    <w:rsid w:val="008B2EEC"/>
    <w:rsid w:val="008B33F4"/>
    <w:rsid w:val="008B3901"/>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5DC5"/>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107"/>
    <w:rsid w:val="008E42C7"/>
    <w:rsid w:val="008E42E4"/>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9A8"/>
    <w:rsid w:val="00905D64"/>
    <w:rsid w:val="009061A5"/>
    <w:rsid w:val="0090623F"/>
    <w:rsid w:val="009062AF"/>
    <w:rsid w:val="0090737E"/>
    <w:rsid w:val="00910A04"/>
    <w:rsid w:val="00910AB7"/>
    <w:rsid w:val="00910EBE"/>
    <w:rsid w:val="009128B1"/>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1526"/>
    <w:rsid w:val="0092245B"/>
    <w:rsid w:val="00922498"/>
    <w:rsid w:val="00922502"/>
    <w:rsid w:val="009225F6"/>
    <w:rsid w:val="00923121"/>
    <w:rsid w:val="00923855"/>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911"/>
    <w:rsid w:val="0094659C"/>
    <w:rsid w:val="00946F41"/>
    <w:rsid w:val="00947564"/>
    <w:rsid w:val="00947B90"/>
    <w:rsid w:val="009501BE"/>
    <w:rsid w:val="00950AB0"/>
    <w:rsid w:val="00950AB7"/>
    <w:rsid w:val="00951194"/>
    <w:rsid w:val="009517D0"/>
    <w:rsid w:val="009517FE"/>
    <w:rsid w:val="00952253"/>
    <w:rsid w:val="009529CD"/>
    <w:rsid w:val="00953BB7"/>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4D09"/>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0A7"/>
    <w:rsid w:val="00975B28"/>
    <w:rsid w:val="00975D8B"/>
    <w:rsid w:val="009761D8"/>
    <w:rsid w:val="00976533"/>
    <w:rsid w:val="00976613"/>
    <w:rsid w:val="00976842"/>
    <w:rsid w:val="00976AC1"/>
    <w:rsid w:val="00976F61"/>
    <w:rsid w:val="00977523"/>
    <w:rsid w:val="0097775D"/>
    <w:rsid w:val="009805F4"/>
    <w:rsid w:val="0098121A"/>
    <w:rsid w:val="00981415"/>
    <w:rsid w:val="0098320B"/>
    <w:rsid w:val="009833BF"/>
    <w:rsid w:val="0098349B"/>
    <w:rsid w:val="00983509"/>
    <w:rsid w:val="00983634"/>
    <w:rsid w:val="00984275"/>
    <w:rsid w:val="00984A43"/>
    <w:rsid w:val="00985437"/>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36F"/>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C18"/>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BDD"/>
    <w:rsid w:val="009C7C42"/>
    <w:rsid w:val="009C7D94"/>
    <w:rsid w:val="009D0794"/>
    <w:rsid w:val="009D173D"/>
    <w:rsid w:val="009D2843"/>
    <w:rsid w:val="009D3407"/>
    <w:rsid w:val="009D3719"/>
    <w:rsid w:val="009D3F2C"/>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871"/>
    <w:rsid w:val="009E2A77"/>
    <w:rsid w:val="009E2AEE"/>
    <w:rsid w:val="009E35FF"/>
    <w:rsid w:val="009E3ED0"/>
    <w:rsid w:val="009E428D"/>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7F4"/>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A1E"/>
    <w:rsid w:val="00A10D84"/>
    <w:rsid w:val="00A115BD"/>
    <w:rsid w:val="00A11FB6"/>
    <w:rsid w:val="00A120D0"/>
    <w:rsid w:val="00A1241B"/>
    <w:rsid w:val="00A12D4A"/>
    <w:rsid w:val="00A13190"/>
    <w:rsid w:val="00A139B6"/>
    <w:rsid w:val="00A13DAA"/>
    <w:rsid w:val="00A14719"/>
    <w:rsid w:val="00A14AC8"/>
    <w:rsid w:val="00A15DE0"/>
    <w:rsid w:val="00A15EE0"/>
    <w:rsid w:val="00A16061"/>
    <w:rsid w:val="00A165FE"/>
    <w:rsid w:val="00A16D74"/>
    <w:rsid w:val="00A1733B"/>
    <w:rsid w:val="00A209F2"/>
    <w:rsid w:val="00A20BBF"/>
    <w:rsid w:val="00A21212"/>
    <w:rsid w:val="00A21404"/>
    <w:rsid w:val="00A21AD4"/>
    <w:rsid w:val="00A22C84"/>
    <w:rsid w:val="00A2375D"/>
    <w:rsid w:val="00A237EB"/>
    <w:rsid w:val="00A237F3"/>
    <w:rsid w:val="00A239D1"/>
    <w:rsid w:val="00A2523C"/>
    <w:rsid w:val="00A25653"/>
    <w:rsid w:val="00A25981"/>
    <w:rsid w:val="00A26FB8"/>
    <w:rsid w:val="00A27DE7"/>
    <w:rsid w:val="00A302DC"/>
    <w:rsid w:val="00A3032D"/>
    <w:rsid w:val="00A31D7C"/>
    <w:rsid w:val="00A31E58"/>
    <w:rsid w:val="00A32316"/>
    <w:rsid w:val="00A323DC"/>
    <w:rsid w:val="00A32E20"/>
    <w:rsid w:val="00A333EF"/>
    <w:rsid w:val="00A33C1C"/>
    <w:rsid w:val="00A3401C"/>
    <w:rsid w:val="00A341AF"/>
    <w:rsid w:val="00A34230"/>
    <w:rsid w:val="00A347F9"/>
    <w:rsid w:val="00A34FDD"/>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784"/>
    <w:rsid w:val="00A45A63"/>
    <w:rsid w:val="00A46497"/>
    <w:rsid w:val="00A4660B"/>
    <w:rsid w:val="00A470AA"/>
    <w:rsid w:val="00A47595"/>
    <w:rsid w:val="00A47DE0"/>
    <w:rsid w:val="00A47E0C"/>
    <w:rsid w:val="00A501DE"/>
    <w:rsid w:val="00A50350"/>
    <w:rsid w:val="00A505BF"/>
    <w:rsid w:val="00A505DD"/>
    <w:rsid w:val="00A50BE0"/>
    <w:rsid w:val="00A51F19"/>
    <w:rsid w:val="00A5218D"/>
    <w:rsid w:val="00A529C2"/>
    <w:rsid w:val="00A52F0B"/>
    <w:rsid w:val="00A531F2"/>
    <w:rsid w:val="00A53256"/>
    <w:rsid w:val="00A5339E"/>
    <w:rsid w:val="00A53D3C"/>
    <w:rsid w:val="00A53E7F"/>
    <w:rsid w:val="00A54222"/>
    <w:rsid w:val="00A5451F"/>
    <w:rsid w:val="00A5462B"/>
    <w:rsid w:val="00A55121"/>
    <w:rsid w:val="00A559A0"/>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67B66"/>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0F48"/>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37"/>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2FAE"/>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DC9"/>
    <w:rsid w:val="00AD7F3E"/>
    <w:rsid w:val="00AE03AD"/>
    <w:rsid w:val="00AE1009"/>
    <w:rsid w:val="00AE1010"/>
    <w:rsid w:val="00AE14F5"/>
    <w:rsid w:val="00AE1696"/>
    <w:rsid w:val="00AE1BA6"/>
    <w:rsid w:val="00AE1EDC"/>
    <w:rsid w:val="00AE1F79"/>
    <w:rsid w:val="00AE202F"/>
    <w:rsid w:val="00AE2702"/>
    <w:rsid w:val="00AE2D6C"/>
    <w:rsid w:val="00AE30C7"/>
    <w:rsid w:val="00AE3425"/>
    <w:rsid w:val="00AE38E5"/>
    <w:rsid w:val="00AE394C"/>
    <w:rsid w:val="00AE39A0"/>
    <w:rsid w:val="00AE40E0"/>
    <w:rsid w:val="00AE4505"/>
    <w:rsid w:val="00AE4A33"/>
    <w:rsid w:val="00AE6D63"/>
    <w:rsid w:val="00AE75B5"/>
    <w:rsid w:val="00AE7A88"/>
    <w:rsid w:val="00AF0202"/>
    <w:rsid w:val="00AF06E0"/>
    <w:rsid w:val="00AF13AA"/>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1B58"/>
    <w:rsid w:val="00B02772"/>
    <w:rsid w:val="00B02F57"/>
    <w:rsid w:val="00B03112"/>
    <w:rsid w:val="00B0328C"/>
    <w:rsid w:val="00B03424"/>
    <w:rsid w:val="00B036F7"/>
    <w:rsid w:val="00B043A3"/>
    <w:rsid w:val="00B049DD"/>
    <w:rsid w:val="00B04C1C"/>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CDA"/>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38A"/>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48EF"/>
    <w:rsid w:val="00B3545D"/>
    <w:rsid w:val="00B358B0"/>
    <w:rsid w:val="00B36242"/>
    <w:rsid w:val="00B36272"/>
    <w:rsid w:val="00B36677"/>
    <w:rsid w:val="00B370ED"/>
    <w:rsid w:val="00B37669"/>
    <w:rsid w:val="00B376C0"/>
    <w:rsid w:val="00B377C7"/>
    <w:rsid w:val="00B4097E"/>
    <w:rsid w:val="00B40A6C"/>
    <w:rsid w:val="00B40D91"/>
    <w:rsid w:val="00B41379"/>
    <w:rsid w:val="00B4164D"/>
    <w:rsid w:val="00B41CED"/>
    <w:rsid w:val="00B41FF5"/>
    <w:rsid w:val="00B4228F"/>
    <w:rsid w:val="00B4318D"/>
    <w:rsid w:val="00B43266"/>
    <w:rsid w:val="00B436F2"/>
    <w:rsid w:val="00B439D4"/>
    <w:rsid w:val="00B4589A"/>
    <w:rsid w:val="00B460A7"/>
    <w:rsid w:val="00B462B3"/>
    <w:rsid w:val="00B4671A"/>
    <w:rsid w:val="00B47369"/>
    <w:rsid w:val="00B474A0"/>
    <w:rsid w:val="00B47B30"/>
    <w:rsid w:val="00B47D4A"/>
    <w:rsid w:val="00B47FF3"/>
    <w:rsid w:val="00B50311"/>
    <w:rsid w:val="00B504D5"/>
    <w:rsid w:val="00B53011"/>
    <w:rsid w:val="00B53215"/>
    <w:rsid w:val="00B54305"/>
    <w:rsid w:val="00B54622"/>
    <w:rsid w:val="00B547FE"/>
    <w:rsid w:val="00B54834"/>
    <w:rsid w:val="00B54849"/>
    <w:rsid w:val="00B551E7"/>
    <w:rsid w:val="00B552E4"/>
    <w:rsid w:val="00B5533A"/>
    <w:rsid w:val="00B556BF"/>
    <w:rsid w:val="00B55D21"/>
    <w:rsid w:val="00B56803"/>
    <w:rsid w:val="00B5693D"/>
    <w:rsid w:val="00B56DC8"/>
    <w:rsid w:val="00B56E23"/>
    <w:rsid w:val="00B57321"/>
    <w:rsid w:val="00B574E0"/>
    <w:rsid w:val="00B57505"/>
    <w:rsid w:val="00B57997"/>
    <w:rsid w:val="00B60A01"/>
    <w:rsid w:val="00B61812"/>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49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4E42"/>
    <w:rsid w:val="00B95112"/>
    <w:rsid w:val="00B95E30"/>
    <w:rsid w:val="00B95EC7"/>
    <w:rsid w:val="00B96099"/>
    <w:rsid w:val="00B97EE3"/>
    <w:rsid w:val="00B97F4E"/>
    <w:rsid w:val="00BA091C"/>
    <w:rsid w:val="00BA0EF1"/>
    <w:rsid w:val="00BA1020"/>
    <w:rsid w:val="00BA1C22"/>
    <w:rsid w:val="00BA1D5A"/>
    <w:rsid w:val="00BA22D6"/>
    <w:rsid w:val="00BA261A"/>
    <w:rsid w:val="00BA26B9"/>
    <w:rsid w:val="00BA2877"/>
    <w:rsid w:val="00BA2F5C"/>
    <w:rsid w:val="00BA3769"/>
    <w:rsid w:val="00BA3CD6"/>
    <w:rsid w:val="00BA3DD4"/>
    <w:rsid w:val="00BA3E6D"/>
    <w:rsid w:val="00BA4C5D"/>
    <w:rsid w:val="00BA4E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1C26"/>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14"/>
    <w:rsid w:val="00BC4D32"/>
    <w:rsid w:val="00BC4E49"/>
    <w:rsid w:val="00BC53F4"/>
    <w:rsid w:val="00BC5799"/>
    <w:rsid w:val="00BC580B"/>
    <w:rsid w:val="00BC5BD4"/>
    <w:rsid w:val="00BC6038"/>
    <w:rsid w:val="00BC63AB"/>
    <w:rsid w:val="00BC6671"/>
    <w:rsid w:val="00BC6956"/>
    <w:rsid w:val="00BC6DA0"/>
    <w:rsid w:val="00BC7136"/>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D05"/>
    <w:rsid w:val="00BD7E45"/>
    <w:rsid w:val="00BE0239"/>
    <w:rsid w:val="00BE0595"/>
    <w:rsid w:val="00BE12C1"/>
    <w:rsid w:val="00BE2B0C"/>
    <w:rsid w:val="00BE30AC"/>
    <w:rsid w:val="00BE3255"/>
    <w:rsid w:val="00BE379F"/>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2D0"/>
    <w:rsid w:val="00C0636D"/>
    <w:rsid w:val="00C06617"/>
    <w:rsid w:val="00C078C8"/>
    <w:rsid w:val="00C07E93"/>
    <w:rsid w:val="00C07E9E"/>
    <w:rsid w:val="00C1087F"/>
    <w:rsid w:val="00C1093A"/>
    <w:rsid w:val="00C1139F"/>
    <w:rsid w:val="00C11713"/>
    <w:rsid w:val="00C1293B"/>
    <w:rsid w:val="00C13F0A"/>
    <w:rsid w:val="00C14704"/>
    <w:rsid w:val="00C15705"/>
    <w:rsid w:val="00C15E1A"/>
    <w:rsid w:val="00C15EDB"/>
    <w:rsid w:val="00C16682"/>
    <w:rsid w:val="00C16A31"/>
    <w:rsid w:val="00C16C5C"/>
    <w:rsid w:val="00C16CC6"/>
    <w:rsid w:val="00C16F49"/>
    <w:rsid w:val="00C17345"/>
    <w:rsid w:val="00C17826"/>
    <w:rsid w:val="00C17EF8"/>
    <w:rsid w:val="00C20614"/>
    <w:rsid w:val="00C20741"/>
    <w:rsid w:val="00C20965"/>
    <w:rsid w:val="00C21125"/>
    <w:rsid w:val="00C2144E"/>
    <w:rsid w:val="00C215C8"/>
    <w:rsid w:val="00C218AD"/>
    <w:rsid w:val="00C22E73"/>
    <w:rsid w:val="00C22F4B"/>
    <w:rsid w:val="00C22F76"/>
    <w:rsid w:val="00C23587"/>
    <w:rsid w:val="00C23789"/>
    <w:rsid w:val="00C23922"/>
    <w:rsid w:val="00C240AF"/>
    <w:rsid w:val="00C240F7"/>
    <w:rsid w:val="00C2462D"/>
    <w:rsid w:val="00C24E27"/>
    <w:rsid w:val="00C25BF7"/>
    <w:rsid w:val="00C26E15"/>
    <w:rsid w:val="00C2716F"/>
    <w:rsid w:val="00C27D82"/>
    <w:rsid w:val="00C27FF9"/>
    <w:rsid w:val="00C30C08"/>
    <w:rsid w:val="00C314AC"/>
    <w:rsid w:val="00C31688"/>
    <w:rsid w:val="00C31F3E"/>
    <w:rsid w:val="00C3247C"/>
    <w:rsid w:val="00C328AA"/>
    <w:rsid w:val="00C329F3"/>
    <w:rsid w:val="00C32B89"/>
    <w:rsid w:val="00C32E4B"/>
    <w:rsid w:val="00C333CE"/>
    <w:rsid w:val="00C3363F"/>
    <w:rsid w:val="00C33A96"/>
    <w:rsid w:val="00C33D32"/>
    <w:rsid w:val="00C35A08"/>
    <w:rsid w:val="00C35E01"/>
    <w:rsid w:val="00C3624E"/>
    <w:rsid w:val="00C36423"/>
    <w:rsid w:val="00C3692F"/>
    <w:rsid w:val="00C371E0"/>
    <w:rsid w:val="00C372EC"/>
    <w:rsid w:val="00C372FA"/>
    <w:rsid w:val="00C37417"/>
    <w:rsid w:val="00C375F2"/>
    <w:rsid w:val="00C37925"/>
    <w:rsid w:val="00C37BD6"/>
    <w:rsid w:val="00C40A4E"/>
    <w:rsid w:val="00C40DC6"/>
    <w:rsid w:val="00C41072"/>
    <w:rsid w:val="00C41BD3"/>
    <w:rsid w:val="00C4204A"/>
    <w:rsid w:val="00C4267C"/>
    <w:rsid w:val="00C429BD"/>
    <w:rsid w:val="00C42B56"/>
    <w:rsid w:val="00C42F66"/>
    <w:rsid w:val="00C43982"/>
    <w:rsid w:val="00C4416F"/>
    <w:rsid w:val="00C46E37"/>
    <w:rsid w:val="00C474DE"/>
    <w:rsid w:val="00C477BC"/>
    <w:rsid w:val="00C47DAE"/>
    <w:rsid w:val="00C503C8"/>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5FF8"/>
    <w:rsid w:val="00C56275"/>
    <w:rsid w:val="00C5699C"/>
    <w:rsid w:val="00C56A8C"/>
    <w:rsid w:val="00C5702F"/>
    <w:rsid w:val="00C57492"/>
    <w:rsid w:val="00C57939"/>
    <w:rsid w:val="00C57D30"/>
    <w:rsid w:val="00C6067F"/>
    <w:rsid w:val="00C606C4"/>
    <w:rsid w:val="00C61087"/>
    <w:rsid w:val="00C61094"/>
    <w:rsid w:val="00C62346"/>
    <w:rsid w:val="00C632DB"/>
    <w:rsid w:val="00C6340C"/>
    <w:rsid w:val="00C63496"/>
    <w:rsid w:val="00C63952"/>
    <w:rsid w:val="00C6409C"/>
    <w:rsid w:val="00C64224"/>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7"/>
    <w:rsid w:val="00C714D9"/>
    <w:rsid w:val="00C7223E"/>
    <w:rsid w:val="00C728F4"/>
    <w:rsid w:val="00C72968"/>
    <w:rsid w:val="00C72C9B"/>
    <w:rsid w:val="00C730AF"/>
    <w:rsid w:val="00C73C40"/>
    <w:rsid w:val="00C73FC5"/>
    <w:rsid w:val="00C74734"/>
    <w:rsid w:val="00C74873"/>
    <w:rsid w:val="00C74B26"/>
    <w:rsid w:val="00C76061"/>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0A6"/>
    <w:rsid w:val="00CA1D3C"/>
    <w:rsid w:val="00CA22BF"/>
    <w:rsid w:val="00CA2648"/>
    <w:rsid w:val="00CA3105"/>
    <w:rsid w:val="00CA32F2"/>
    <w:rsid w:val="00CA3809"/>
    <w:rsid w:val="00CA3B17"/>
    <w:rsid w:val="00CA3EA2"/>
    <w:rsid w:val="00CA3EB2"/>
    <w:rsid w:val="00CA47E7"/>
    <w:rsid w:val="00CA4910"/>
    <w:rsid w:val="00CA549E"/>
    <w:rsid w:val="00CA55F4"/>
    <w:rsid w:val="00CA562E"/>
    <w:rsid w:val="00CA574B"/>
    <w:rsid w:val="00CA5D41"/>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3EF"/>
    <w:rsid w:val="00CB66AE"/>
    <w:rsid w:val="00CB6895"/>
    <w:rsid w:val="00CB724D"/>
    <w:rsid w:val="00CB7263"/>
    <w:rsid w:val="00CB7309"/>
    <w:rsid w:val="00CC0369"/>
    <w:rsid w:val="00CC07EF"/>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1CC"/>
    <w:rsid w:val="00CD0924"/>
    <w:rsid w:val="00CD0973"/>
    <w:rsid w:val="00CD0B9F"/>
    <w:rsid w:val="00CD1087"/>
    <w:rsid w:val="00CD141D"/>
    <w:rsid w:val="00CD1771"/>
    <w:rsid w:val="00CD19E5"/>
    <w:rsid w:val="00CD2476"/>
    <w:rsid w:val="00CD29EB"/>
    <w:rsid w:val="00CD2E0E"/>
    <w:rsid w:val="00CD366C"/>
    <w:rsid w:val="00CD36C5"/>
    <w:rsid w:val="00CD44DF"/>
    <w:rsid w:val="00CD4F79"/>
    <w:rsid w:val="00CD535C"/>
    <w:rsid w:val="00CD5C6C"/>
    <w:rsid w:val="00CD5EDC"/>
    <w:rsid w:val="00CD6191"/>
    <w:rsid w:val="00CD7FFC"/>
    <w:rsid w:val="00CE00C9"/>
    <w:rsid w:val="00CE08D4"/>
    <w:rsid w:val="00CE0DB7"/>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3E9"/>
    <w:rsid w:val="00CE5A0D"/>
    <w:rsid w:val="00CE5A2F"/>
    <w:rsid w:val="00CE608E"/>
    <w:rsid w:val="00CE6EAD"/>
    <w:rsid w:val="00CE734F"/>
    <w:rsid w:val="00CE7778"/>
    <w:rsid w:val="00CE7BDC"/>
    <w:rsid w:val="00CE7F3D"/>
    <w:rsid w:val="00CF0266"/>
    <w:rsid w:val="00CF1C82"/>
    <w:rsid w:val="00CF2D93"/>
    <w:rsid w:val="00CF33D8"/>
    <w:rsid w:val="00CF3A17"/>
    <w:rsid w:val="00CF40DF"/>
    <w:rsid w:val="00CF4706"/>
    <w:rsid w:val="00CF4EF7"/>
    <w:rsid w:val="00CF5536"/>
    <w:rsid w:val="00CF56E5"/>
    <w:rsid w:val="00CF59EF"/>
    <w:rsid w:val="00CF6647"/>
    <w:rsid w:val="00CF66EC"/>
    <w:rsid w:val="00CF6834"/>
    <w:rsid w:val="00CF6DF8"/>
    <w:rsid w:val="00CF6ED5"/>
    <w:rsid w:val="00CF6FD1"/>
    <w:rsid w:val="00CF7117"/>
    <w:rsid w:val="00D01488"/>
    <w:rsid w:val="00D01E06"/>
    <w:rsid w:val="00D01EE5"/>
    <w:rsid w:val="00D02669"/>
    <w:rsid w:val="00D027AE"/>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8EE"/>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6389"/>
    <w:rsid w:val="00D267FD"/>
    <w:rsid w:val="00D27138"/>
    <w:rsid w:val="00D271BF"/>
    <w:rsid w:val="00D273A5"/>
    <w:rsid w:val="00D273D2"/>
    <w:rsid w:val="00D276A2"/>
    <w:rsid w:val="00D276AC"/>
    <w:rsid w:val="00D27B0A"/>
    <w:rsid w:val="00D27E59"/>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6F45"/>
    <w:rsid w:val="00D67274"/>
    <w:rsid w:val="00D673C2"/>
    <w:rsid w:val="00D6773A"/>
    <w:rsid w:val="00D67E1F"/>
    <w:rsid w:val="00D70797"/>
    <w:rsid w:val="00D70A7D"/>
    <w:rsid w:val="00D70D88"/>
    <w:rsid w:val="00D70DC9"/>
    <w:rsid w:val="00D711A7"/>
    <w:rsid w:val="00D71464"/>
    <w:rsid w:val="00D714CA"/>
    <w:rsid w:val="00D71733"/>
    <w:rsid w:val="00D71D87"/>
    <w:rsid w:val="00D72A83"/>
    <w:rsid w:val="00D72C82"/>
    <w:rsid w:val="00D7300D"/>
    <w:rsid w:val="00D73F82"/>
    <w:rsid w:val="00D75C5E"/>
    <w:rsid w:val="00D760A3"/>
    <w:rsid w:val="00D767AD"/>
    <w:rsid w:val="00D76C13"/>
    <w:rsid w:val="00D771D3"/>
    <w:rsid w:val="00D77315"/>
    <w:rsid w:val="00D7783D"/>
    <w:rsid w:val="00D779D0"/>
    <w:rsid w:val="00D77F58"/>
    <w:rsid w:val="00D8017E"/>
    <w:rsid w:val="00D803DF"/>
    <w:rsid w:val="00D809F3"/>
    <w:rsid w:val="00D80A8D"/>
    <w:rsid w:val="00D80D98"/>
    <w:rsid w:val="00D80DEB"/>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B64"/>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A75C9"/>
    <w:rsid w:val="00DA7DC6"/>
    <w:rsid w:val="00DB02BA"/>
    <w:rsid w:val="00DB1C8E"/>
    <w:rsid w:val="00DB20DB"/>
    <w:rsid w:val="00DB233C"/>
    <w:rsid w:val="00DB2AD0"/>
    <w:rsid w:val="00DB2B47"/>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453"/>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5A83"/>
    <w:rsid w:val="00DD6CFA"/>
    <w:rsid w:val="00DD701C"/>
    <w:rsid w:val="00DD74A3"/>
    <w:rsid w:val="00DD7D8B"/>
    <w:rsid w:val="00DE0833"/>
    <w:rsid w:val="00DE1289"/>
    <w:rsid w:val="00DE145B"/>
    <w:rsid w:val="00DE178B"/>
    <w:rsid w:val="00DE2753"/>
    <w:rsid w:val="00DE2CF7"/>
    <w:rsid w:val="00DE35C1"/>
    <w:rsid w:val="00DE3A56"/>
    <w:rsid w:val="00DE3B5C"/>
    <w:rsid w:val="00DE4008"/>
    <w:rsid w:val="00DE4942"/>
    <w:rsid w:val="00DE4F6A"/>
    <w:rsid w:val="00DE51E4"/>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F3E"/>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60"/>
    <w:rsid w:val="00E1367C"/>
    <w:rsid w:val="00E13989"/>
    <w:rsid w:val="00E13B8B"/>
    <w:rsid w:val="00E13FAD"/>
    <w:rsid w:val="00E149EC"/>
    <w:rsid w:val="00E14E82"/>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3EE"/>
    <w:rsid w:val="00E2579A"/>
    <w:rsid w:val="00E25DF0"/>
    <w:rsid w:val="00E2647D"/>
    <w:rsid w:val="00E26C37"/>
    <w:rsid w:val="00E275C5"/>
    <w:rsid w:val="00E3001D"/>
    <w:rsid w:val="00E3002C"/>
    <w:rsid w:val="00E3033C"/>
    <w:rsid w:val="00E31003"/>
    <w:rsid w:val="00E312C2"/>
    <w:rsid w:val="00E324A8"/>
    <w:rsid w:val="00E32650"/>
    <w:rsid w:val="00E332A9"/>
    <w:rsid w:val="00E33AA3"/>
    <w:rsid w:val="00E33B12"/>
    <w:rsid w:val="00E34624"/>
    <w:rsid w:val="00E3475E"/>
    <w:rsid w:val="00E34AD5"/>
    <w:rsid w:val="00E36085"/>
    <w:rsid w:val="00E36561"/>
    <w:rsid w:val="00E36703"/>
    <w:rsid w:val="00E36995"/>
    <w:rsid w:val="00E36F9E"/>
    <w:rsid w:val="00E3756A"/>
    <w:rsid w:val="00E37A74"/>
    <w:rsid w:val="00E409FD"/>
    <w:rsid w:val="00E41D04"/>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AC2"/>
    <w:rsid w:val="00E53E69"/>
    <w:rsid w:val="00E54229"/>
    <w:rsid w:val="00E543A7"/>
    <w:rsid w:val="00E543C1"/>
    <w:rsid w:val="00E54A64"/>
    <w:rsid w:val="00E54FBA"/>
    <w:rsid w:val="00E5521E"/>
    <w:rsid w:val="00E56CAC"/>
    <w:rsid w:val="00E56EE5"/>
    <w:rsid w:val="00E5765C"/>
    <w:rsid w:val="00E605CC"/>
    <w:rsid w:val="00E60CB4"/>
    <w:rsid w:val="00E60D66"/>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2C3"/>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0A1"/>
    <w:rsid w:val="00E86DD2"/>
    <w:rsid w:val="00E8703B"/>
    <w:rsid w:val="00E87352"/>
    <w:rsid w:val="00E87850"/>
    <w:rsid w:val="00E8799F"/>
    <w:rsid w:val="00E90B36"/>
    <w:rsid w:val="00E910F1"/>
    <w:rsid w:val="00E91573"/>
    <w:rsid w:val="00E91620"/>
    <w:rsid w:val="00E91B2D"/>
    <w:rsid w:val="00E9229C"/>
    <w:rsid w:val="00E92489"/>
    <w:rsid w:val="00E929E2"/>
    <w:rsid w:val="00E92A93"/>
    <w:rsid w:val="00E92C7B"/>
    <w:rsid w:val="00E92EA2"/>
    <w:rsid w:val="00E92F78"/>
    <w:rsid w:val="00E93A0C"/>
    <w:rsid w:val="00E93E61"/>
    <w:rsid w:val="00E9448E"/>
    <w:rsid w:val="00E951B9"/>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0C"/>
    <w:rsid w:val="00EB1B19"/>
    <w:rsid w:val="00EB1CB1"/>
    <w:rsid w:val="00EB20A2"/>
    <w:rsid w:val="00EB269A"/>
    <w:rsid w:val="00EB28EC"/>
    <w:rsid w:val="00EB3364"/>
    <w:rsid w:val="00EB3442"/>
    <w:rsid w:val="00EB3F2A"/>
    <w:rsid w:val="00EB43A0"/>
    <w:rsid w:val="00EB4505"/>
    <w:rsid w:val="00EB468C"/>
    <w:rsid w:val="00EB4A23"/>
    <w:rsid w:val="00EB5145"/>
    <w:rsid w:val="00EB5475"/>
    <w:rsid w:val="00EB5FEB"/>
    <w:rsid w:val="00EB6058"/>
    <w:rsid w:val="00EB6A4B"/>
    <w:rsid w:val="00EB6EFB"/>
    <w:rsid w:val="00EB72D8"/>
    <w:rsid w:val="00EB734D"/>
    <w:rsid w:val="00EB7791"/>
    <w:rsid w:val="00EB780D"/>
    <w:rsid w:val="00EB7E6A"/>
    <w:rsid w:val="00EC029B"/>
    <w:rsid w:val="00EC089D"/>
    <w:rsid w:val="00EC0D21"/>
    <w:rsid w:val="00EC0F33"/>
    <w:rsid w:val="00EC1480"/>
    <w:rsid w:val="00EC1A23"/>
    <w:rsid w:val="00EC1A42"/>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5DD"/>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2B80"/>
    <w:rsid w:val="00EF354D"/>
    <w:rsid w:val="00EF4076"/>
    <w:rsid w:val="00EF4664"/>
    <w:rsid w:val="00EF47E9"/>
    <w:rsid w:val="00EF4DD0"/>
    <w:rsid w:val="00EF5D8E"/>
    <w:rsid w:val="00EF5F2B"/>
    <w:rsid w:val="00EF6A8F"/>
    <w:rsid w:val="00EF6D8B"/>
    <w:rsid w:val="00EF7852"/>
    <w:rsid w:val="00EF7B67"/>
    <w:rsid w:val="00EF7DF7"/>
    <w:rsid w:val="00F0032F"/>
    <w:rsid w:val="00F00493"/>
    <w:rsid w:val="00F005B2"/>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AD2"/>
    <w:rsid w:val="00F05100"/>
    <w:rsid w:val="00F0511B"/>
    <w:rsid w:val="00F05667"/>
    <w:rsid w:val="00F05690"/>
    <w:rsid w:val="00F0590D"/>
    <w:rsid w:val="00F060DC"/>
    <w:rsid w:val="00F06429"/>
    <w:rsid w:val="00F06B2D"/>
    <w:rsid w:val="00F07353"/>
    <w:rsid w:val="00F07420"/>
    <w:rsid w:val="00F07645"/>
    <w:rsid w:val="00F079C3"/>
    <w:rsid w:val="00F10AE7"/>
    <w:rsid w:val="00F10BC9"/>
    <w:rsid w:val="00F10CC9"/>
    <w:rsid w:val="00F10DDF"/>
    <w:rsid w:val="00F10F69"/>
    <w:rsid w:val="00F110EB"/>
    <w:rsid w:val="00F11324"/>
    <w:rsid w:val="00F11C8F"/>
    <w:rsid w:val="00F121F6"/>
    <w:rsid w:val="00F124C1"/>
    <w:rsid w:val="00F12A02"/>
    <w:rsid w:val="00F13A3F"/>
    <w:rsid w:val="00F14C76"/>
    <w:rsid w:val="00F1539E"/>
    <w:rsid w:val="00F1567D"/>
    <w:rsid w:val="00F15792"/>
    <w:rsid w:val="00F158AF"/>
    <w:rsid w:val="00F15A1B"/>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27F3F"/>
    <w:rsid w:val="00F30105"/>
    <w:rsid w:val="00F3019E"/>
    <w:rsid w:val="00F30209"/>
    <w:rsid w:val="00F305AB"/>
    <w:rsid w:val="00F316B6"/>
    <w:rsid w:val="00F31CA4"/>
    <w:rsid w:val="00F326D7"/>
    <w:rsid w:val="00F3287B"/>
    <w:rsid w:val="00F3331B"/>
    <w:rsid w:val="00F33460"/>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378"/>
    <w:rsid w:val="00F4142D"/>
    <w:rsid w:val="00F417F5"/>
    <w:rsid w:val="00F418BA"/>
    <w:rsid w:val="00F41EA6"/>
    <w:rsid w:val="00F427A4"/>
    <w:rsid w:val="00F42AA6"/>
    <w:rsid w:val="00F42BB1"/>
    <w:rsid w:val="00F432A4"/>
    <w:rsid w:val="00F4388C"/>
    <w:rsid w:val="00F44265"/>
    <w:rsid w:val="00F44EFB"/>
    <w:rsid w:val="00F450AC"/>
    <w:rsid w:val="00F457FD"/>
    <w:rsid w:val="00F45EE0"/>
    <w:rsid w:val="00F46151"/>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4F8"/>
    <w:rsid w:val="00F73533"/>
    <w:rsid w:val="00F73AF4"/>
    <w:rsid w:val="00F748CE"/>
    <w:rsid w:val="00F74C1E"/>
    <w:rsid w:val="00F75C00"/>
    <w:rsid w:val="00F75FA1"/>
    <w:rsid w:val="00F77073"/>
    <w:rsid w:val="00F7740A"/>
    <w:rsid w:val="00F7767B"/>
    <w:rsid w:val="00F7791F"/>
    <w:rsid w:val="00F807A8"/>
    <w:rsid w:val="00F80EF6"/>
    <w:rsid w:val="00F81916"/>
    <w:rsid w:val="00F82144"/>
    <w:rsid w:val="00F8251D"/>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6E1E"/>
    <w:rsid w:val="00F97137"/>
    <w:rsid w:val="00F97530"/>
    <w:rsid w:val="00F97D83"/>
    <w:rsid w:val="00F97E5E"/>
    <w:rsid w:val="00FA1251"/>
    <w:rsid w:val="00FA1539"/>
    <w:rsid w:val="00FA19B3"/>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284D"/>
    <w:rsid w:val="00FB2855"/>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5F5"/>
    <w:rsid w:val="00FC2627"/>
    <w:rsid w:val="00FC29CF"/>
    <w:rsid w:val="00FC2F14"/>
    <w:rsid w:val="00FC3BD6"/>
    <w:rsid w:val="00FC407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2C4"/>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9B0"/>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Lista1,?? ??,?????,????"/>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列出段落 (文字),Lista1 (文字),?? ?? (文字),????? (文字),???? (文字)"/>
    <w:link w:val="aff3"/>
    <w:uiPriority w:val="34"/>
    <w:qFormat/>
    <w:rsid w:val="005A55B0"/>
    <w:rPr>
      <w:lang w:val="en-GB" w:eastAsia="en-US"/>
    </w:rPr>
  </w:style>
  <w:style w:type="character" w:customStyle="1" w:styleId="B2Char">
    <w:name w:val="B2 Char"/>
    <w:link w:val="B2"/>
    <w:rsid w:val="00BB011C"/>
    <w:rPr>
      <w:lang w:val="en-GB" w:eastAsia="en-US"/>
    </w:rPr>
  </w:style>
  <w:style w:type="numbering" w:customStyle="1" w:styleId="StyleBulletedSymbolsymbolLeft025Hanging0252">
    <w:name w:val="Style Bulleted Symbol (symbol) Left:  0.25&quot; Hanging:  0.25&quot;2"/>
    <w:basedOn w:val="a2"/>
    <w:rsid w:val="00F27F3F"/>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9380113">
      <w:bodyDiv w:val="1"/>
      <w:marLeft w:val="0"/>
      <w:marRight w:val="0"/>
      <w:marTop w:val="0"/>
      <w:marBottom w:val="0"/>
      <w:divBdr>
        <w:top w:val="none" w:sz="0" w:space="0" w:color="auto"/>
        <w:left w:val="none" w:sz="0" w:space="0" w:color="auto"/>
        <w:bottom w:val="none" w:sz="0" w:space="0" w:color="auto"/>
        <w:right w:val="none" w:sz="0" w:space="0" w:color="auto"/>
      </w:divBdr>
    </w:div>
    <w:div w:id="100271390">
      <w:bodyDiv w:val="1"/>
      <w:marLeft w:val="0"/>
      <w:marRight w:val="0"/>
      <w:marTop w:val="0"/>
      <w:marBottom w:val="0"/>
      <w:divBdr>
        <w:top w:val="none" w:sz="0" w:space="0" w:color="auto"/>
        <w:left w:val="none" w:sz="0" w:space="0" w:color="auto"/>
        <w:bottom w:val="none" w:sz="0" w:space="0" w:color="auto"/>
        <w:right w:val="none" w:sz="0" w:space="0" w:color="auto"/>
      </w:divBdr>
      <w:divsChild>
        <w:div w:id="208223303">
          <w:marLeft w:val="1800"/>
          <w:marRight w:val="0"/>
          <w:marTop w:val="96"/>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215097">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7916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3421943">
      <w:bodyDiv w:val="1"/>
      <w:marLeft w:val="0"/>
      <w:marRight w:val="0"/>
      <w:marTop w:val="0"/>
      <w:marBottom w:val="0"/>
      <w:divBdr>
        <w:top w:val="none" w:sz="0" w:space="0" w:color="auto"/>
        <w:left w:val="none" w:sz="0" w:space="0" w:color="auto"/>
        <w:bottom w:val="none" w:sz="0" w:space="0" w:color="auto"/>
        <w:right w:val="none" w:sz="0" w:space="0" w:color="auto"/>
      </w:divBdr>
      <w:divsChild>
        <w:div w:id="631056006">
          <w:marLeft w:val="1800"/>
          <w:marRight w:val="0"/>
          <w:marTop w:val="86"/>
          <w:marBottom w:val="0"/>
          <w:divBdr>
            <w:top w:val="none" w:sz="0" w:space="0" w:color="auto"/>
            <w:left w:val="none" w:sz="0" w:space="0" w:color="auto"/>
            <w:bottom w:val="none" w:sz="0" w:space="0" w:color="auto"/>
            <w:right w:val="none" w:sz="0" w:space="0" w:color="auto"/>
          </w:divBdr>
        </w:div>
        <w:div w:id="653484087">
          <w:marLeft w:val="2520"/>
          <w:marRight w:val="0"/>
          <w:marTop w:val="77"/>
          <w:marBottom w:val="0"/>
          <w:divBdr>
            <w:top w:val="none" w:sz="0" w:space="0" w:color="auto"/>
            <w:left w:val="none" w:sz="0" w:space="0" w:color="auto"/>
            <w:bottom w:val="none" w:sz="0" w:space="0" w:color="auto"/>
            <w:right w:val="none" w:sz="0" w:space="0" w:color="auto"/>
          </w:divBdr>
        </w:div>
        <w:div w:id="660305422">
          <w:marLeft w:val="2520"/>
          <w:marRight w:val="0"/>
          <w:marTop w:val="77"/>
          <w:marBottom w:val="0"/>
          <w:divBdr>
            <w:top w:val="none" w:sz="0" w:space="0" w:color="auto"/>
            <w:left w:val="none" w:sz="0" w:space="0" w:color="auto"/>
            <w:bottom w:val="none" w:sz="0" w:space="0" w:color="auto"/>
            <w:right w:val="none" w:sz="0" w:space="0" w:color="auto"/>
          </w:divBdr>
        </w:div>
        <w:div w:id="478887988">
          <w:marLeft w:val="2520"/>
          <w:marRight w:val="0"/>
          <w:marTop w:val="77"/>
          <w:marBottom w:val="0"/>
          <w:divBdr>
            <w:top w:val="none" w:sz="0" w:space="0" w:color="auto"/>
            <w:left w:val="none" w:sz="0" w:space="0" w:color="auto"/>
            <w:bottom w:val="none" w:sz="0" w:space="0" w:color="auto"/>
            <w:right w:val="none" w:sz="0" w:space="0" w:color="auto"/>
          </w:divBdr>
        </w:div>
        <w:div w:id="114446789">
          <w:marLeft w:val="1800"/>
          <w:marRight w:val="0"/>
          <w:marTop w:val="86"/>
          <w:marBottom w:val="0"/>
          <w:divBdr>
            <w:top w:val="none" w:sz="0" w:space="0" w:color="auto"/>
            <w:left w:val="none" w:sz="0" w:space="0" w:color="auto"/>
            <w:bottom w:val="none" w:sz="0" w:space="0" w:color="auto"/>
            <w:right w:val="none" w:sz="0" w:space="0" w:color="auto"/>
          </w:divBdr>
        </w:div>
        <w:div w:id="948200697">
          <w:marLeft w:val="2520"/>
          <w:marRight w:val="0"/>
          <w:marTop w:val="77"/>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8297327">
      <w:bodyDiv w:val="1"/>
      <w:marLeft w:val="0"/>
      <w:marRight w:val="0"/>
      <w:marTop w:val="0"/>
      <w:marBottom w:val="0"/>
      <w:divBdr>
        <w:top w:val="none" w:sz="0" w:space="0" w:color="auto"/>
        <w:left w:val="none" w:sz="0" w:space="0" w:color="auto"/>
        <w:bottom w:val="none" w:sz="0" w:space="0" w:color="auto"/>
        <w:right w:val="none" w:sz="0" w:space="0" w:color="auto"/>
      </w:divBdr>
      <w:divsChild>
        <w:div w:id="205831776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494309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581787">
      <w:bodyDiv w:val="1"/>
      <w:marLeft w:val="0"/>
      <w:marRight w:val="0"/>
      <w:marTop w:val="0"/>
      <w:marBottom w:val="0"/>
      <w:divBdr>
        <w:top w:val="none" w:sz="0" w:space="0" w:color="auto"/>
        <w:left w:val="none" w:sz="0" w:space="0" w:color="auto"/>
        <w:bottom w:val="none" w:sz="0" w:space="0" w:color="auto"/>
        <w:right w:val="none" w:sz="0" w:space="0" w:color="auto"/>
      </w:divBdr>
      <w:divsChild>
        <w:div w:id="1714572313">
          <w:marLeft w:val="1800"/>
          <w:marRight w:val="0"/>
          <w:marTop w:val="77"/>
          <w:marBottom w:val="0"/>
          <w:divBdr>
            <w:top w:val="none" w:sz="0" w:space="0" w:color="auto"/>
            <w:left w:val="none" w:sz="0" w:space="0" w:color="auto"/>
            <w:bottom w:val="none" w:sz="0" w:space="0" w:color="auto"/>
            <w:right w:val="none" w:sz="0" w:space="0" w:color="auto"/>
          </w:divBdr>
        </w:div>
      </w:divsChild>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1132</Words>
  <Characters>6455</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24</cp:lastModifiedBy>
  <cp:revision>19</cp:revision>
  <cp:lastPrinted>2010-04-02T09:58:00Z</cp:lastPrinted>
  <dcterms:created xsi:type="dcterms:W3CDTF">2019-01-11T01:41:00Z</dcterms:created>
  <dcterms:modified xsi:type="dcterms:W3CDTF">2019-01-11T08:21:00Z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