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w:t>
      </w:r>
      <w:r w:rsidR="0072216E">
        <w:rPr>
          <w:noProof w:val="0"/>
          <w:sz w:val="24"/>
          <w:lang w:val="en-GB"/>
        </w:rPr>
        <w:t xml:space="preserve">Ad-Hoc </w:t>
      </w:r>
      <w:r w:rsidR="006A72C8">
        <w:rPr>
          <w:noProof w:val="0"/>
          <w:sz w:val="24"/>
          <w:lang w:val="en-GB"/>
        </w:rPr>
        <w:t xml:space="preserve">Meeting </w:t>
      </w:r>
      <w:r w:rsidR="001A20CF">
        <w:rPr>
          <w:noProof w:val="0"/>
          <w:sz w:val="24"/>
          <w:lang w:val="en-GB"/>
        </w:rPr>
        <w:t>#</w:t>
      </w:r>
      <w:r w:rsidR="0072216E">
        <w:rPr>
          <w:noProof w:val="0"/>
          <w:sz w:val="24"/>
          <w:lang w:val="en-GB"/>
        </w:rPr>
        <w:t>1</w:t>
      </w:r>
      <w:r w:rsidR="001A20CF">
        <w:rPr>
          <w:noProof w:val="0"/>
          <w:sz w:val="24"/>
          <w:lang w:val="en-GB"/>
        </w:rPr>
        <w:t>9</w:t>
      </w:r>
      <w:r w:rsidR="0072216E">
        <w:rPr>
          <w:noProof w:val="0"/>
          <w:sz w:val="24"/>
          <w:lang w:val="en-GB"/>
        </w:rPr>
        <w:t>01</w:t>
      </w:r>
      <w:r w:rsidRPr="0002651C">
        <w:rPr>
          <w:bCs/>
          <w:noProof w:val="0"/>
          <w:sz w:val="24"/>
          <w:lang w:val="en-GB" w:eastAsia="ja-JP"/>
        </w:rPr>
        <w:tab/>
      </w:r>
      <w:r w:rsidR="004039DB" w:rsidRPr="004039DB">
        <w:rPr>
          <w:bCs/>
          <w:noProof w:val="0"/>
          <w:sz w:val="24"/>
          <w:lang w:val="en-GB" w:eastAsia="ja-JP"/>
        </w:rPr>
        <w:t>R1-1</w:t>
      </w:r>
      <w:r w:rsidR="0072216E">
        <w:rPr>
          <w:bCs/>
          <w:noProof w:val="0"/>
          <w:sz w:val="24"/>
          <w:lang w:val="en-GB" w:eastAsia="ja-JP"/>
        </w:rPr>
        <w:t>90</w:t>
      </w:r>
      <w:r w:rsidR="004D18A0">
        <w:rPr>
          <w:bCs/>
          <w:noProof w:val="0"/>
          <w:sz w:val="24"/>
          <w:lang w:val="en-GB" w:eastAsia="ja-JP"/>
        </w:rPr>
        <w:t>0693</w:t>
      </w:r>
      <w:bookmarkStart w:id="3" w:name="_GoBack"/>
      <w:bookmarkEnd w:id="3"/>
    </w:p>
    <w:bookmarkEnd w:id="0"/>
    <w:bookmarkEnd w:id="1"/>
    <w:p w:rsidR="001A20CF" w:rsidRPr="00EA017E" w:rsidRDefault="0072216E" w:rsidP="00B12B1E">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lang w:eastAsia="ja-JP"/>
        </w:rPr>
        <w:t>Taipei, Taiwan</w:t>
      </w:r>
      <w:r w:rsidRPr="00405CC7">
        <w:rPr>
          <w:rFonts w:ascii="Arial" w:eastAsia="MS Mincho" w:hAnsi="Arial" w:cs="Arial"/>
          <w:b/>
          <w:bCs/>
          <w:sz w:val="24"/>
          <w:lang w:eastAsia="ja-JP"/>
        </w:rPr>
        <w:t>,</w:t>
      </w:r>
      <w:r>
        <w:rPr>
          <w:rFonts w:ascii="Arial" w:eastAsia="MS Mincho" w:hAnsi="Arial" w:cs="Arial"/>
          <w:b/>
          <w:bCs/>
          <w:sz w:val="24"/>
          <w:lang w:eastAsia="ja-JP"/>
        </w:rPr>
        <w:t xml:space="preserve"> January</w:t>
      </w:r>
      <w:r w:rsidRPr="00405CC7">
        <w:rPr>
          <w:rFonts w:ascii="Arial" w:eastAsia="MS Mincho" w:hAnsi="Arial" w:cs="Arial"/>
          <w:b/>
          <w:bCs/>
          <w:sz w:val="24"/>
          <w:lang w:eastAsia="ja-JP"/>
        </w:rPr>
        <w:t xml:space="preserve"> </w:t>
      </w:r>
      <w:r>
        <w:rPr>
          <w:rFonts w:ascii="Arial" w:eastAsia="MS Mincho" w:hAnsi="Arial" w:cs="Arial"/>
          <w:b/>
          <w:bCs/>
          <w:sz w:val="24"/>
          <w:lang w:eastAsia="ja-JP"/>
        </w:rPr>
        <w:t>21st</w:t>
      </w:r>
      <w:r w:rsidRPr="00405CC7">
        <w:rPr>
          <w:rFonts w:ascii="Arial" w:eastAsia="MS Mincho" w:hAnsi="Arial" w:cs="Arial"/>
          <w:b/>
          <w:bCs/>
          <w:sz w:val="24"/>
          <w:lang w:eastAsia="ja-JP"/>
        </w:rPr>
        <w:t xml:space="preserve"> – </w:t>
      </w:r>
      <w:r>
        <w:rPr>
          <w:rFonts w:ascii="Arial" w:eastAsia="MS Mincho" w:hAnsi="Arial" w:cs="Arial"/>
          <w:b/>
          <w:bCs/>
          <w:sz w:val="24"/>
          <w:lang w:eastAsia="ja-JP"/>
        </w:rPr>
        <w:t>25th</w:t>
      </w:r>
      <w:r w:rsidRPr="00405CC7">
        <w:rPr>
          <w:rFonts w:ascii="Arial" w:eastAsia="MS Mincho" w:hAnsi="Arial" w:cs="Arial"/>
          <w:b/>
          <w:bCs/>
          <w:sz w:val="24"/>
          <w:lang w:eastAsia="ja-JP"/>
        </w:rPr>
        <w:t>, 201</w:t>
      </w:r>
      <w:r>
        <w:rPr>
          <w:rFonts w:ascii="Arial" w:eastAsia="MS Mincho" w:hAnsi="Arial" w:cs="Arial"/>
          <w:b/>
          <w:bCs/>
          <w:sz w:val="24"/>
          <w:lang w:eastAsia="ja-JP"/>
        </w:rPr>
        <w:t>9</w:t>
      </w:r>
      <w:r w:rsidR="00EA017E" w:rsidRPr="00EA017E">
        <w:rPr>
          <w:rFonts w:ascii="Arial" w:eastAsia="MS Mincho" w:hAnsi="Arial" w:cs="Arial"/>
          <w:b/>
          <w:bCs/>
          <w:sz w:val="24"/>
          <w:szCs w:val="24"/>
          <w:lang w:eastAsia="ja-JP"/>
        </w:rPr>
        <w:t xml:space="preserve"> </w:t>
      </w:r>
      <w:r w:rsidR="001A20CF" w:rsidRPr="00EA017E">
        <w:rPr>
          <w:rFonts w:ascii="Arial" w:eastAsia="MS Mincho" w:hAnsi="Arial" w:cs="Arial"/>
          <w:b/>
          <w:bCs/>
          <w:sz w:val="24"/>
          <w:szCs w:val="24"/>
          <w:lang w:eastAsia="ja-JP"/>
        </w:rPr>
        <w:t xml:space="preserve"> </w:t>
      </w:r>
    </w:p>
    <w:p w:rsidR="00787640" w:rsidRPr="007B7496" w:rsidRDefault="00787640" w:rsidP="00B12B1E">
      <w:pPr>
        <w:pStyle w:val="Header"/>
        <w:jc w:val="both"/>
        <w:rPr>
          <w:bCs/>
          <w:noProof w:val="0"/>
          <w:sz w:val="24"/>
          <w:lang w:val="en-GB" w:eastAsia="ja-JP"/>
        </w:rPr>
      </w:pPr>
    </w:p>
    <w:p w:rsidR="00787640" w:rsidRPr="007B7496" w:rsidRDefault="00787640" w:rsidP="00B12B1E">
      <w:pPr>
        <w:pStyle w:val="CRCoverPage"/>
        <w:jc w:val="both"/>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F85968">
        <w:rPr>
          <w:rFonts w:cs="Arial"/>
          <w:b/>
          <w:bCs/>
          <w:sz w:val="24"/>
        </w:rPr>
        <w:t>7</w:t>
      </w:r>
      <w:r w:rsidR="00C15AA3">
        <w:rPr>
          <w:rFonts w:cs="Arial"/>
          <w:b/>
          <w:bCs/>
          <w:sz w:val="24"/>
        </w:rPr>
        <w:t>.</w:t>
      </w:r>
      <w:r w:rsidR="00577EEA">
        <w:rPr>
          <w:rFonts w:cs="Arial"/>
          <w:b/>
          <w:bCs/>
          <w:sz w:val="24"/>
        </w:rPr>
        <w:t>2.8.4</w:t>
      </w:r>
    </w:p>
    <w:p w:rsidR="00787640" w:rsidRPr="00F174DB" w:rsidRDefault="00787640" w:rsidP="00B12B1E">
      <w:pPr>
        <w:tabs>
          <w:tab w:val="left" w:pos="1985"/>
        </w:tabs>
        <w:ind w:left="1985" w:hanging="1985"/>
        <w:jc w:val="both"/>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rsidR="00787640" w:rsidRPr="00F174DB" w:rsidRDefault="00787640" w:rsidP="00B12B1E">
      <w:pPr>
        <w:ind w:left="1985" w:hanging="1985"/>
        <w:jc w:val="both"/>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FC7FF0">
        <w:rPr>
          <w:rFonts w:ascii="Arial" w:hAnsi="Arial" w:cs="Arial"/>
          <w:b/>
          <w:bCs/>
          <w:sz w:val="24"/>
        </w:rPr>
        <w:t>Discussion on</w:t>
      </w:r>
      <w:r w:rsidR="005D1092">
        <w:rPr>
          <w:rFonts w:ascii="Arial" w:hAnsi="Arial" w:cs="Arial"/>
          <w:b/>
          <w:bCs/>
          <w:sz w:val="24"/>
        </w:rPr>
        <w:t xml:space="preserve"> </w:t>
      </w:r>
      <w:r w:rsidR="00577EEA">
        <w:rPr>
          <w:rFonts w:ascii="Arial" w:hAnsi="Arial" w:cs="Arial"/>
          <w:b/>
          <w:bCs/>
          <w:sz w:val="24"/>
        </w:rPr>
        <w:t>Full Tx power UL transmission</w:t>
      </w:r>
    </w:p>
    <w:p w:rsidR="0034111C" w:rsidRDefault="00E74FAF" w:rsidP="00B12B1E">
      <w:pPr>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C15AA3" w:rsidRDefault="00C15AA3" w:rsidP="00B12B1E">
      <w:pPr>
        <w:jc w:val="both"/>
      </w:pPr>
    </w:p>
    <w:p w:rsidR="00A31E69" w:rsidRDefault="00B91FCB" w:rsidP="00B12B1E">
      <w:pPr>
        <w:pStyle w:val="Heading1"/>
        <w:jc w:val="both"/>
      </w:pPr>
      <w:r w:rsidRPr="00791982">
        <w:t>1</w:t>
      </w:r>
      <w:r w:rsidRPr="00791982">
        <w:tab/>
      </w:r>
      <w:r w:rsidR="00EE7FA7" w:rsidRPr="00E86042">
        <w:t>Introduction</w:t>
      </w:r>
    </w:p>
    <w:p w:rsidR="008A68C6" w:rsidRDefault="00C16258" w:rsidP="00DC338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RAN1 #94bis meeting reached </w:t>
      </w:r>
      <w:r w:rsidR="008A68C6">
        <w:rPr>
          <w:rFonts w:ascii="Times New Roman" w:hAnsi="Times New Roman" w:cs="Times New Roman"/>
          <w:kern w:val="2"/>
          <w:sz w:val="20"/>
          <w:szCs w:val="20"/>
        </w:rPr>
        <w:t>this agreement for full Tx power uplink transmission</w:t>
      </w:r>
      <w:r w:rsidR="00D556A1">
        <w:rPr>
          <w:rFonts w:ascii="Times New Roman" w:hAnsi="Times New Roman" w:cs="Times New Roman"/>
          <w:kern w:val="2"/>
          <w:sz w:val="20"/>
          <w:szCs w:val="20"/>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A68C6" w:rsidRPr="0046285A" w:rsidTr="00812D50">
        <w:tc>
          <w:tcPr>
            <w:tcW w:w="9629" w:type="dxa"/>
            <w:shd w:val="clear" w:color="auto" w:fill="auto"/>
          </w:tcPr>
          <w:p w:rsidR="008A68C6" w:rsidRPr="008A68C6" w:rsidRDefault="008A68C6" w:rsidP="008A68C6">
            <w:pPr>
              <w:rPr>
                <w:rFonts w:ascii="Times New Roman" w:hAnsi="Times New Roman" w:cs="Times New Roman"/>
                <w:b/>
                <w:sz w:val="20"/>
                <w:szCs w:val="20"/>
                <w:highlight w:val="green"/>
              </w:rPr>
            </w:pPr>
            <w:r w:rsidRPr="008A68C6">
              <w:rPr>
                <w:rFonts w:ascii="Times New Roman" w:hAnsi="Times New Roman" w:cs="Times New Roman"/>
                <w:b/>
                <w:sz w:val="20"/>
                <w:szCs w:val="20"/>
                <w:highlight w:val="green"/>
              </w:rPr>
              <w:t>Agreement</w:t>
            </w:r>
          </w:p>
          <w:p w:rsidR="008A68C6" w:rsidRPr="008A68C6" w:rsidRDefault="008A68C6" w:rsidP="008A68C6">
            <w:pPr>
              <w:rPr>
                <w:rFonts w:ascii="Times New Roman" w:hAnsi="Times New Roman" w:cs="Times New Roman"/>
                <w:sz w:val="20"/>
                <w:szCs w:val="20"/>
              </w:rPr>
            </w:pPr>
            <w:r w:rsidRPr="008A68C6">
              <w:rPr>
                <w:rFonts w:ascii="Times New Roman" w:hAnsi="Times New Roman" w:cs="Times New Roman"/>
                <w:sz w:val="20"/>
                <w:szCs w:val="20"/>
              </w:rPr>
              <w:t>Consider the following potential solutions and other solutions (such as combination of the solutions below) for UL full power transmission. Decision will be made in RAN1#95:</w:t>
            </w:r>
          </w:p>
          <w:p w:rsidR="008A68C6" w:rsidRPr="008A68C6" w:rsidRDefault="008A68C6" w:rsidP="008A68C6">
            <w:pPr>
              <w:rPr>
                <w:rFonts w:ascii="Times New Roman" w:hAnsi="Times New Roman" w:cs="Times New Roman"/>
                <w:sz w:val="20"/>
                <w:szCs w:val="20"/>
              </w:rPr>
            </w:pPr>
            <w:r w:rsidRPr="008A68C6">
              <w:rPr>
                <w:rFonts w:ascii="Times New Roman" w:hAnsi="Times New Roman" w:cs="Times New Roman"/>
                <w:sz w:val="20"/>
                <w:szCs w:val="20"/>
              </w:rPr>
              <w:t>Option 1: Refinement/adjustment of UL codebook is supported</w:t>
            </w:r>
          </w:p>
          <w:p w:rsidR="008A68C6" w:rsidRPr="008A68C6" w:rsidRDefault="008A68C6" w:rsidP="008A68C6">
            <w:pPr>
              <w:numPr>
                <w:ilvl w:val="1"/>
                <w:numId w:val="32"/>
              </w:numPr>
              <w:spacing w:after="0" w:line="240" w:lineRule="auto"/>
              <w:ind w:left="800"/>
              <w:rPr>
                <w:rFonts w:ascii="Times New Roman" w:hAnsi="Times New Roman" w:cs="Times New Roman"/>
                <w:sz w:val="20"/>
                <w:szCs w:val="20"/>
              </w:rPr>
            </w:pPr>
            <w:r w:rsidRPr="008A68C6">
              <w:rPr>
                <w:rFonts w:ascii="Times New Roman" w:hAnsi="Times New Roman" w:cs="Times New Roman"/>
                <w:sz w:val="20"/>
                <w:szCs w:val="20"/>
              </w:rPr>
              <w:t>1-1: Support a new codebookSubset for non-coherent and partial-coherent transmission capable UEs</w:t>
            </w:r>
          </w:p>
          <w:p w:rsidR="008A68C6" w:rsidRPr="008A68C6" w:rsidRDefault="008A68C6" w:rsidP="008A68C6">
            <w:pPr>
              <w:numPr>
                <w:ilvl w:val="1"/>
                <w:numId w:val="32"/>
              </w:numPr>
              <w:spacing w:after="0" w:line="240" w:lineRule="auto"/>
              <w:ind w:left="800"/>
              <w:rPr>
                <w:rFonts w:ascii="Times New Roman" w:hAnsi="Times New Roman" w:cs="Times New Roman"/>
                <w:sz w:val="20"/>
                <w:szCs w:val="20"/>
              </w:rPr>
            </w:pPr>
            <w:r w:rsidRPr="008A68C6">
              <w:rPr>
                <w:rFonts w:ascii="Times New Roman" w:hAnsi="Times New Roman" w:cs="Times New Roman"/>
                <w:sz w:val="20"/>
                <w:szCs w:val="20"/>
              </w:rPr>
              <w:t>1-2: Introduce additional scaling factor for uplink codebook</w:t>
            </w:r>
          </w:p>
          <w:p w:rsidR="008A68C6" w:rsidRPr="008A68C6" w:rsidRDefault="008A68C6" w:rsidP="008A68C6">
            <w:pPr>
              <w:rPr>
                <w:rFonts w:ascii="Times New Roman" w:hAnsi="Times New Roman" w:cs="Times New Roman"/>
                <w:sz w:val="20"/>
                <w:szCs w:val="20"/>
              </w:rPr>
            </w:pPr>
            <w:r w:rsidRPr="008A68C6">
              <w:rPr>
                <w:rFonts w:ascii="Times New Roman" w:hAnsi="Times New Roman" w:cs="Times New Roman"/>
                <w:sz w:val="20"/>
                <w:szCs w:val="20"/>
              </w:rPr>
              <w:t>Option 2: UE transparently apply a small cyclic or linear delay</w:t>
            </w:r>
          </w:p>
          <w:p w:rsidR="008A68C6" w:rsidRPr="008A68C6" w:rsidRDefault="008A68C6" w:rsidP="008A68C6">
            <w:pPr>
              <w:rPr>
                <w:rFonts w:ascii="Times New Roman" w:hAnsi="Times New Roman" w:cs="Times New Roman"/>
                <w:sz w:val="20"/>
                <w:szCs w:val="20"/>
              </w:rPr>
            </w:pPr>
            <w:r w:rsidRPr="008A68C6">
              <w:rPr>
                <w:rFonts w:ascii="Times New Roman" w:hAnsi="Times New Roman" w:cs="Times New Roman"/>
                <w:sz w:val="20"/>
                <w:szCs w:val="20"/>
              </w:rPr>
              <w:t>Option 3: Power control mechanism to be modified to support UL full power transmission without precluding the use of full rated PA(s)</w:t>
            </w:r>
          </w:p>
          <w:p w:rsidR="008A68C6" w:rsidRPr="008A68C6" w:rsidRDefault="008A68C6" w:rsidP="008A68C6">
            <w:pPr>
              <w:numPr>
                <w:ilvl w:val="1"/>
                <w:numId w:val="32"/>
              </w:numPr>
              <w:spacing w:after="0" w:line="240" w:lineRule="auto"/>
              <w:ind w:left="800"/>
              <w:rPr>
                <w:rFonts w:ascii="Times New Roman" w:hAnsi="Times New Roman" w:cs="Times New Roman"/>
                <w:sz w:val="20"/>
                <w:szCs w:val="20"/>
              </w:rPr>
            </w:pPr>
            <w:r w:rsidRPr="008A68C6">
              <w:rPr>
                <w:rFonts w:ascii="Times New Roman" w:hAnsi="Times New Roman" w:cs="Times New Roman"/>
                <w:sz w:val="20"/>
                <w:szCs w:val="20"/>
              </w:rPr>
              <w:t>Note: Full rated PA refers to a PA having power not lower than that of the power class</w:t>
            </w:r>
          </w:p>
          <w:p w:rsidR="008A68C6" w:rsidRPr="008A68C6" w:rsidRDefault="008A68C6" w:rsidP="008A68C6">
            <w:pPr>
              <w:rPr>
                <w:rFonts w:ascii="Times New Roman" w:hAnsi="Times New Roman" w:cs="Times New Roman"/>
                <w:sz w:val="20"/>
                <w:szCs w:val="20"/>
              </w:rPr>
            </w:pPr>
            <w:r w:rsidRPr="008A68C6">
              <w:rPr>
                <w:rFonts w:ascii="Times New Roman" w:hAnsi="Times New Roman" w:cs="Times New Roman"/>
                <w:sz w:val="20"/>
                <w:szCs w:val="20"/>
              </w:rPr>
              <w:t>Option 4: Up to UE implementation (no specification impact)</w:t>
            </w:r>
          </w:p>
          <w:p w:rsidR="008A68C6" w:rsidRPr="000575C9" w:rsidRDefault="008A68C6" w:rsidP="008A68C6">
            <w:pPr>
              <w:overflowPunct w:val="0"/>
              <w:autoSpaceDE w:val="0"/>
              <w:autoSpaceDN w:val="0"/>
              <w:adjustRightInd w:val="0"/>
              <w:snapToGrid w:val="0"/>
              <w:spacing w:after="120" w:line="240" w:lineRule="auto"/>
              <w:ind w:right="-99"/>
              <w:rPr>
                <w:rFonts w:ascii="Times New Roman" w:eastAsia="SimSun" w:hAnsi="Times New Roman" w:cs="Times New Roman"/>
                <w:sz w:val="20"/>
                <w:szCs w:val="20"/>
                <w:lang w:eastAsia="ko-KR"/>
              </w:rPr>
            </w:pPr>
          </w:p>
        </w:tc>
      </w:tr>
    </w:tbl>
    <w:p w:rsidR="008A68C6" w:rsidRDefault="008A68C6" w:rsidP="008A68C6">
      <w:pPr>
        <w:rPr>
          <w:rFonts w:ascii="Times New Roman" w:hAnsi="Times New Roman" w:cs="Times New Roman"/>
          <w:sz w:val="20"/>
          <w:szCs w:val="20"/>
        </w:rPr>
      </w:pPr>
    </w:p>
    <w:p w:rsidR="00C16258" w:rsidRDefault="00962638" w:rsidP="008A68C6">
      <w:pPr>
        <w:rPr>
          <w:rFonts w:ascii="Times New Roman" w:hAnsi="Times New Roman" w:cs="Times New Roman"/>
          <w:sz w:val="20"/>
          <w:szCs w:val="20"/>
        </w:rPr>
      </w:pPr>
      <w:r>
        <w:rPr>
          <w:rFonts w:ascii="Times New Roman" w:hAnsi="Times New Roman" w:cs="Times New Roman"/>
          <w:sz w:val="20"/>
          <w:szCs w:val="20"/>
        </w:rPr>
        <w:t>There were brief discussion of these options in RAN1 #95, however, t</w:t>
      </w:r>
      <w:r w:rsidR="00C16258">
        <w:rPr>
          <w:rFonts w:ascii="Times New Roman" w:hAnsi="Times New Roman" w:cs="Times New Roman"/>
          <w:sz w:val="20"/>
          <w:szCs w:val="20"/>
        </w:rPr>
        <w:t>here w</w:t>
      </w:r>
      <w:r>
        <w:rPr>
          <w:rFonts w:ascii="Times New Roman" w:hAnsi="Times New Roman" w:cs="Times New Roman"/>
          <w:sz w:val="20"/>
          <w:szCs w:val="20"/>
        </w:rPr>
        <w:t>ere</w:t>
      </w:r>
      <w:r w:rsidR="00C16258">
        <w:rPr>
          <w:rFonts w:ascii="Times New Roman" w:hAnsi="Times New Roman" w:cs="Times New Roman"/>
          <w:sz w:val="20"/>
          <w:szCs w:val="20"/>
        </w:rPr>
        <w:t xml:space="preserve"> no decision</w:t>
      </w:r>
      <w:r>
        <w:rPr>
          <w:rFonts w:ascii="Times New Roman" w:hAnsi="Times New Roman" w:cs="Times New Roman"/>
          <w:sz w:val="20"/>
          <w:szCs w:val="20"/>
        </w:rPr>
        <w:t>s. A</w:t>
      </w:r>
      <w:r w:rsidR="00C16258">
        <w:rPr>
          <w:rFonts w:ascii="Times New Roman" w:hAnsi="Times New Roman" w:cs="Times New Roman"/>
          <w:sz w:val="20"/>
          <w:szCs w:val="20"/>
        </w:rPr>
        <w:t>nother option is added with this agreement</w:t>
      </w:r>
      <w:r w:rsidR="00E97ABD">
        <w:rPr>
          <w:rFonts w:ascii="Times New Roman" w:hAnsi="Times New Roman" w:cs="Times New Roman"/>
          <w:sz w:val="20"/>
          <w:szCs w:val="20"/>
        </w:rPr>
        <w:t xml:space="preserve"> [2]</w:t>
      </w:r>
      <w:r w:rsidR="00C16258">
        <w:rPr>
          <w:rFonts w:ascii="Times New Roman" w:hAnsi="Times New Roman" w:cs="Times New Roman"/>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6258" w:rsidRPr="0046285A" w:rsidTr="00174E33">
        <w:tc>
          <w:tcPr>
            <w:tcW w:w="9629" w:type="dxa"/>
            <w:shd w:val="clear" w:color="auto" w:fill="auto"/>
          </w:tcPr>
          <w:p w:rsidR="00C16258" w:rsidRPr="008A68C6" w:rsidRDefault="00C16258" w:rsidP="00174E33">
            <w:pPr>
              <w:rPr>
                <w:rFonts w:ascii="Times New Roman" w:hAnsi="Times New Roman" w:cs="Times New Roman"/>
                <w:b/>
                <w:sz w:val="20"/>
                <w:szCs w:val="20"/>
                <w:highlight w:val="green"/>
              </w:rPr>
            </w:pPr>
            <w:r w:rsidRPr="008A68C6">
              <w:rPr>
                <w:rFonts w:ascii="Times New Roman" w:hAnsi="Times New Roman" w:cs="Times New Roman"/>
                <w:b/>
                <w:sz w:val="20"/>
                <w:szCs w:val="20"/>
                <w:highlight w:val="green"/>
              </w:rPr>
              <w:t>Agreement</w:t>
            </w:r>
          </w:p>
          <w:p w:rsidR="00C16258" w:rsidRPr="00C16258" w:rsidRDefault="00C16258" w:rsidP="00C16258">
            <w:pPr>
              <w:rPr>
                <w:rFonts w:ascii="Times New Roman" w:eastAsia="Malgun Gothic" w:hAnsi="Times New Roman" w:cs="Times New Roman"/>
                <w:sz w:val="20"/>
                <w:szCs w:val="20"/>
              </w:rPr>
            </w:pPr>
            <w:r w:rsidRPr="00C16258">
              <w:rPr>
                <w:rFonts w:ascii="Times New Roman" w:hAnsi="Times New Roman" w:cs="Times New Roman"/>
                <w:sz w:val="20"/>
                <w:szCs w:val="20"/>
              </w:rPr>
              <w:t>Full TX power UL transmission, one</w:t>
            </w:r>
            <w:r w:rsidRPr="00C16258">
              <w:rPr>
                <w:rFonts w:ascii="Times New Roman" w:eastAsia="Malgun Gothic" w:hAnsi="Times New Roman" w:cs="Times New Roman"/>
                <w:sz w:val="20"/>
                <w:szCs w:val="20"/>
              </w:rPr>
              <w:t xml:space="preserve"> additional option (option 5) is added</w:t>
            </w:r>
          </w:p>
          <w:p w:rsidR="00C16258" w:rsidRPr="00C16258" w:rsidRDefault="00C16258" w:rsidP="00C16258">
            <w:pPr>
              <w:tabs>
                <w:tab w:val="left" w:pos="1540"/>
              </w:tabs>
              <w:spacing w:line="256" w:lineRule="auto"/>
              <w:contextualSpacing/>
              <w:rPr>
                <w:rFonts w:ascii="Times New Roman" w:hAnsi="Times New Roman" w:cs="Times New Roman"/>
                <w:sz w:val="20"/>
                <w:szCs w:val="20"/>
              </w:rPr>
            </w:pPr>
            <w:r w:rsidRPr="00C16258">
              <w:rPr>
                <w:rFonts w:ascii="Times New Roman" w:eastAsia="Malgun Gothic" w:hAnsi="Times New Roman" w:cs="Times New Roman"/>
                <w:b/>
                <w:sz w:val="20"/>
                <w:szCs w:val="20"/>
              </w:rPr>
              <w:t xml:space="preserve">Option5: </w:t>
            </w:r>
            <w:r w:rsidRPr="00C16258">
              <w:rPr>
                <w:rFonts w:ascii="Times New Roman" w:eastAsia="Malgun Gothic" w:hAnsi="Times New Roman" w:cs="Times New Roman"/>
                <w:sz w:val="20"/>
                <w:szCs w:val="20"/>
              </w:rPr>
              <w:t>For the precoders with 0 entries, t</w:t>
            </w:r>
            <w:r w:rsidRPr="00C16258">
              <w:rPr>
                <w:rFonts w:ascii="Times New Roman" w:hAnsi="Times New Roman" w:cs="Times New Roman"/>
                <w:sz w:val="20"/>
                <w:szCs w:val="20"/>
              </w:rPr>
              <w:t xml:space="preserve">he linear value </w:t>
            </w:r>
            <w:r w:rsidRPr="00C16258">
              <w:rPr>
                <w:rFonts w:ascii="Times New Roman" w:hAnsi="Times New Roman" w:cs="Times New Roman"/>
                <w:position w:val="-14"/>
                <w:sz w:val="20"/>
                <w:szCs w:val="20"/>
              </w:rPr>
              <w:object w:dxaOrig="1980" w:dyaOrig="420">
                <v:shape id="_x0000_i1026" type="#_x0000_t75" style="width:99pt;height:21pt" o:ole="">
                  <v:imagedata r:id="rId12" o:title=""/>
                </v:shape>
                <o:OLEObject Type="Embed" ProgID="Equation.DSMT4" ShapeID="_x0000_i1026" DrawAspect="Content" ObjectID="_1608709562" r:id="rId13"/>
              </w:object>
            </w:r>
            <w:r w:rsidRPr="00C16258">
              <w:rPr>
                <w:rFonts w:ascii="Times New Roman" w:hAnsi="Times New Roman" w:cs="Times New Roman"/>
                <w:sz w:val="20"/>
                <w:szCs w:val="20"/>
              </w:rPr>
              <w:fldChar w:fldCharType="begin"/>
            </w:r>
            <w:r w:rsidRPr="00C16258">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acc>
                    <m:accPr>
                      <m:ctrlPr>
                        <w:rPr>
                          <w:rFonts w:ascii="Cambria Math" w:hAnsi="Cambria Math" w:cs="Times New Roman"/>
                          <w:sz w:val="20"/>
                          <w:szCs w:val="20"/>
                        </w:rPr>
                      </m:ctrlPr>
                    </m:accPr>
                    <m:e>
                      <m:r>
                        <m:rPr>
                          <m:sty m:val="p"/>
                        </m:rPr>
                        <w:rPr>
                          <w:rFonts w:ascii="Cambria Math" w:hAnsi="Cambria Math" w:cs="Times New Roman"/>
                          <w:sz w:val="20"/>
                          <w:szCs w:val="20"/>
                        </w:rPr>
                        <m:t>P</m:t>
                      </m:r>
                    </m:e>
                  </m:acc>
                </m:e>
                <m:sub>
                  <m:r>
                    <m:rPr>
                      <m:nor/>
                    </m:rPr>
                    <w:rPr>
                      <w:rFonts w:ascii="Times New Roman" w:hAnsi="Times New Roman" w:cs="Times New Roman"/>
                      <w:sz w:val="20"/>
                      <w:szCs w:val="20"/>
                    </w:rPr>
                    <m:t>PUSCH</m:t>
                  </m:r>
                  <m:r>
                    <m:rPr>
                      <m:sty m:val="p"/>
                    </m:rPr>
                    <w:rPr>
                      <w:rFonts w:ascii="Cambria Math" w:hAnsi="Cambria Math" w:cs="Times New Roman"/>
                      <w:sz w:val="20"/>
                      <w:szCs w:val="20"/>
                    </w:rPr>
                    <m:t>,b,f,c</m:t>
                  </m:r>
                </m:sub>
              </m:sSub>
              <m:r>
                <m:rPr>
                  <m:sty m:val="p"/>
                </m:rPr>
                <w:rPr>
                  <w:rFonts w:ascii="Cambria Math" w:hAnsi="Cambria Math" w:cs="Times New Roman"/>
                  <w:sz w:val="20"/>
                  <w:szCs w:val="20"/>
                </w:rPr>
                <m:t>(i,j,</m:t>
              </m:r>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d</m:t>
                  </m:r>
                </m:sub>
              </m:sSub>
              <m:r>
                <m:rPr>
                  <m:sty m:val="p"/>
                </m:rPr>
                <w:rPr>
                  <w:rFonts w:ascii="Cambria Math" w:hAnsi="Cambria Math" w:cs="Times New Roman"/>
                  <w:sz w:val="20"/>
                  <w:szCs w:val="20"/>
                </w:rPr>
                <m:t>,l)</m:t>
              </m:r>
            </m:oMath>
            <w:r w:rsidRPr="00C16258">
              <w:rPr>
                <w:rFonts w:ascii="Times New Roman" w:hAnsi="Times New Roman" w:cs="Times New Roman"/>
                <w:sz w:val="20"/>
                <w:szCs w:val="20"/>
              </w:rPr>
              <w:instrText xml:space="preserve"> </w:instrText>
            </w:r>
            <w:r w:rsidRPr="00C16258">
              <w:rPr>
                <w:rFonts w:ascii="Times New Roman" w:hAnsi="Times New Roman" w:cs="Times New Roman"/>
                <w:sz w:val="20"/>
                <w:szCs w:val="20"/>
              </w:rPr>
              <w:fldChar w:fldCharType="end"/>
            </w:r>
            <w:r w:rsidRPr="00C16258">
              <w:rPr>
                <w:rFonts w:ascii="Times New Roman" w:hAnsi="Times New Roman" w:cs="Times New Roman"/>
                <w:sz w:val="20"/>
                <w:szCs w:val="20"/>
              </w:rPr>
              <w:t xml:space="preserve"> of a PUSCH transmission power is scaled by a ratio </w:t>
            </w:r>
            <w:r w:rsidRPr="00C16258">
              <w:rPr>
                <w:rFonts w:ascii="Times New Roman" w:hAnsi="Times New Roman" w:cs="Times New Roman"/>
                <w:sz w:val="20"/>
                <w:szCs w:val="20"/>
              </w:rPr>
              <w:sym w:font="Symbol" w:char="F061"/>
            </w:r>
            <w:r w:rsidRPr="00C16258">
              <w:rPr>
                <w:rFonts w:ascii="Times New Roman" w:hAnsi="Times New Roman" w:cs="Times New Roman"/>
                <w:sz w:val="20"/>
                <w:szCs w:val="20"/>
                <w:vertAlign w:val="subscript"/>
              </w:rPr>
              <w:t>Rel-16</w:t>
            </w:r>
            <w:r w:rsidRPr="00C16258">
              <w:rPr>
                <w:rFonts w:ascii="Times New Roman" w:hAnsi="Times New Roman" w:cs="Times New Roman"/>
                <w:sz w:val="20"/>
                <w:szCs w:val="20"/>
              </w:rPr>
              <w:t xml:space="preserve">.  The value of </w:t>
            </w:r>
            <w:r w:rsidRPr="00C16258">
              <w:rPr>
                <w:rFonts w:ascii="Times New Roman" w:hAnsi="Times New Roman" w:cs="Times New Roman"/>
                <w:sz w:val="20"/>
                <w:szCs w:val="20"/>
              </w:rPr>
              <w:sym w:font="Symbol" w:char="F061"/>
            </w:r>
            <w:r w:rsidRPr="00C16258">
              <w:rPr>
                <w:rFonts w:ascii="Times New Roman" w:hAnsi="Times New Roman" w:cs="Times New Roman"/>
                <w:sz w:val="20"/>
                <w:szCs w:val="20"/>
                <w:vertAlign w:val="subscript"/>
              </w:rPr>
              <w:t>Rel-16</w:t>
            </w:r>
            <w:r w:rsidRPr="00C16258">
              <w:rPr>
                <w:rFonts w:ascii="Times New Roman" w:hAnsi="Times New Roman" w:cs="Times New Roman"/>
                <w:sz w:val="20"/>
                <w:szCs w:val="20"/>
              </w:rPr>
              <w:t xml:space="preserve"> is selected up to UE implementation within the range of [</w:t>
            </w:r>
            <w:r w:rsidRPr="00C16258">
              <w:rPr>
                <w:rFonts w:ascii="Times New Roman" w:hAnsi="Times New Roman" w:cs="Times New Roman"/>
                <w:sz w:val="20"/>
                <w:szCs w:val="20"/>
              </w:rPr>
              <w:sym w:font="Symbol" w:char="F061"/>
            </w:r>
            <w:r w:rsidRPr="00C16258">
              <w:rPr>
                <w:rFonts w:ascii="Times New Roman" w:hAnsi="Times New Roman" w:cs="Times New Roman"/>
                <w:sz w:val="20"/>
                <w:szCs w:val="20"/>
                <w:vertAlign w:val="subscript"/>
              </w:rPr>
              <w:t>Rel-15</w:t>
            </w:r>
            <w:r w:rsidRPr="00C16258">
              <w:rPr>
                <w:rFonts w:ascii="Times New Roman" w:hAnsi="Times New Roman" w:cs="Times New Roman"/>
                <w:sz w:val="20"/>
                <w:szCs w:val="20"/>
              </w:rPr>
              <w:t xml:space="preserve">, 1],  where </w:t>
            </w:r>
            <w:r w:rsidRPr="00C16258">
              <w:rPr>
                <w:rFonts w:ascii="Times New Roman" w:hAnsi="Times New Roman" w:cs="Times New Roman"/>
                <w:sz w:val="20"/>
                <w:szCs w:val="20"/>
              </w:rPr>
              <w:sym w:font="Symbol" w:char="F061"/>
            </w:r>
            <w:r w:rsidRPr="00C16258">
              <w:rPr>
                <w:rFonts w:ascii="Times New Roman" w:hAnsi="Times New Roman" w:cs="Times New Roman"/>
                <w:sz w:val="20"/>
                <w:szCs w:val="20"/>
                <w:vertAlign w:val="subscript"/>
              </w:rPr>
              <w:t>Rel-15</w:t>
            </w:r>
            <w:r w:rsidRPr="00C16258">
              <w:rPr>
                <w:rFonts w:ascii="Times New Roman" w:hAnsi="Times New Roman" w:cs="Times New Roman"/>
                <w:sz w:val="20"/>
                <w:szCs w:val="20"/>
              </w:rPr>
              <w:t xml:space="preserve"> is the ratio of the number of antenna ports with a non-zero PUSCH transmission power to the number of configured antenna ports for the PUSCH transmission scheme as defined in NR Rel-15 specification.  </w:t>
            </w:r>
          </w:p>
          <w:p w:rsidR="00C16258" w:rsidRPr="00C16258" w:rsidRDefault="00C16258" w:rsidP="00C16258">
            <w:pPr>
              <w:pStyle w:val="ListParagraph"/>
              <w:numPr>
                <w:ilvl w:val="0"/>
                <w:numId w:val="35"/>
              </w:numPr>
              <w:spacing w:after="0" w:line="240" w:lineRule="auto"/>
              <w:contextualSpacing w:val="0"/>
              <w:rPr>
                <w:rFonts w:ascii="Times New Roman" w:eastAsia="Malgun Gothic" w:hAnsi="Times New Roman" w:cs="Times New Roman"/>
                <w:sz w:val="20"/>
                <w:szCs w:val="20"/>
              </w:rPr>
            </w:pPr>
            <w:r w:rsidRPr="00C16258">
              <w:rPr>
                <w:rFonts w:ascii="Times New Roman" w:hAnsi="Times New Roman" w:cs="Times New Roman"/>
                <w:sz w:val="20"/>
                <w:szCs w:val="20"/>
              </w:rPr>
              <w:t xml:space="preserve">UE is required to maintain consistent </w:t>
            </w:r>
            <w:r w:rsidRPr="00C16258">
              <w:rPr>
                <w:rFonts w:ascii="Times New Roman" w:hAnsi="Times New Roman" w:cs="Times New Roman"/>
                <w:sz w:val="20"/>
                <w:szCs w:val="20"/>
              </w:rPr>
              <w:sym w:font="Symbol" w:char="F061"/>
            </w:r>
            <w:r w:rsidRPr="00C16258">
              <w:rPr>
                <w:rFonts w:ascii="Times New Roman" w:hAnsi="Times New Roman" w:cs="Times New Roman"/>
                <w:sz w:val="20"/>
                <w:szCs w:val="20"/>
                <w:vertAlign w:val="subscript"/>
              </w:rPr>
              <w:t>Rel-16</w:t>
            </w:r>
            <w:r w:rsidRPr="00C16258">
              <w:rPr>
                <w:rFonts w:ascii="Times New Roman" w:hAnsi="Times New Roman" w:cs="Times New Roman"/>
                <w:sz w:val="20"/>
                <w:szCs w:val="20"/>
              </w:rPr>
              <w:fldChar w:fldCharType="begin"/>
            </w:r>
            <w:r w:rsidRPr="00C16258">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α</m:t>
                  </m:r>
                </m:e>
                <m:sub>
                  <m:r>
                    <m:rPr>
                      <m:sty m:val="p"/>
                    </m:rPr>
                    <w:rPr>
                      <w:rFonts w:ascii="Cambria Math" w:hAnsi="Cambria Math" w:cs="Times New Roman"/>
                      <w:sz w:val="20"/>
                      <w:szCs w:val="20"/>
                    </w:rPr>
                    <m:t>Rel-16</m:t>
                  </m:r>
                </m:sub>
              </m:sSub>
            </m:oMath>
            <w:r w:rsidRPr="00C16258">
              <w:rPr>
                <w:rFonts w:ascii="Times New Roman" w:hAnsi="Times New Roman" w:cs="Times New Roman"/>
                <w:sz w:val="20"/>
                <w:szCs w:val="20"/>
              </w:rPr>
              <w:instrText xml:space="preserve"> </w:instrText>
            </w:r>
            <w:r w:rsidRPr="00C16258">
              <w:rPr>
                <w:rFonts w:ascii="Times New Roman" w:hAnsi="Times New Roman" w:cs="Times New Roman"/>
                <w:sz w:val="20"/>
                <w:szCs w:val="20"/>
              </w:rPr>
              <w:fldChar w:fldCharType="end"/>
            </w:r>
            <w:r w:rsidRPr="00C16258">
              <w:rPr>
                <w:rFonts w:ascii="Times New Roman" w:hAnsi="Times New Roman" w:cs="Times New Roman"/>
                <w:sz w:val="20"/>
                <w:szCs w:val="20"/>
              </w:rPr>
              <w:t xml:space="preserve"> value on different occasions of PUSCH transmissions with the same precoder for PUSCH</w:t>
            </w:r>
          </w:p>
          <w:p w:rsidR="00C16258" w:rsidRPr="000575C9" w:rsidRDefault="00C16258" w:rsidP="00174E33">
            <w:pPr>
              <w:overflowPunct w:val="0"/>
              <w:autoSpaceDE w:val="0"/>
              <w:autoSpaceDN w:val="0"/>
              <w:adjustRightInd w:val="0"/>
              <w:snapToGrid w:val="0"/>
              <w:spacing w:after="120" w:line="240" w:lineRule="auto"/>
              <w:ind w:right="-99"/>
              <w:rPr>
                <w:rFonts w:ascii="Times New Roman" w:eastAsia="SimSun" w:hAnsi="Times New Roman" w:cs="Times New Roman"/>
                <w:sz w:val="20"/>
                <w:szCs w:val="20"/>
                <w:lang w:eastAsia="ko-KR"/>
              </w:rPr>
            </w:pPr>
          </w:p>
        </w:tc>
      </w:tr>
    </w:tbl>
    <w:p w:rsidR="00C16258" w:rsidRDefault="00C16258" w:rsidP="00C16258">
      <w:pPr>
        <w:rPr>
          <w:rFonts w:ascii="Times New Roman" w:hAnsi="Times New Roman" w:cs="Times New Roman"/>
          <w:sz w:val="20"/>
          <w:szCs w:val="20"/>
        </w:rPr>
      </w:pPr>
    </w:p>
    <w:p w:rsidR="00C90463" w:rsidRDefault="00C90463" w:rsidP="00C90463">
      <w:pPr>
        <w:rPr>
          <w:rFonts w:ascii="Times New Roman" w:hAnsi="Times New Roman" w:cs="Times New Roman"/>
          <w:sz w:val="20"/>
          <w:szCs w:val="20"/>
        </w:rPr>
      </w:pPr>
      <w:r>
        <w:rPr>
          <w:rFonts w:ascii="Times New Roman" w:hAnsi="Times New Roman" w:cs="Times New Roman"/>
          <w:sz w:val="20"/>
          <w:szCs w:val="20"/>
        </w:rPr>
        <w:t xml:space="preserve">Option 4 is </w:t>
      </w:r>
      <w:r w:rsidR="00962638">
        <w:rPr>
          <w:rFonts w:ascii="Times New Roman" w:hAnsi="Times New Roman" w:cs="Times New Roman"/>
          <w:sz w:val="20"/>
          <w:szCs w:val="20"/>
        </w:rPr>
        <w:t>also updated with this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90463" w:rsidRPr="0046285A" w:rsidTr="00174E33">
        <w:tc>
          <w:tcPr>
            <w:tcW w:w="9629" w:type="dxa"/>
            <w:shd w:val="clear" w:color="auto" w:fill="auto"/>
          </w:tcPr>
          <w:p w:rsidR="00C90463" w:rsidRPr="008A68C6" w:rsidRDefault="00C90463" w:rsidP="00174E33">
            <w:pPr>
              <w:rPr>
                <w:rFonts w:ascii="Times New Roman" w:hAnsi="Times New Roman" w:cs="Times New Roman"/>
                <w:b/>
                <w:sz w:val="20"/>
                <w:szCs w:val="20"/>
                <w:highlight w:val="green"/>
              </w:rPr>
            </w:pPr>
            <w:r w:rsidRPr="008A68C6">
              <w:rPr>
                <w:rFonts w:ascii="Times New Roman" w:hAnsi="Times New Roman" w:cs="Times New Roman"/>
                <w:b/>
                <w:sz w:val="20"/>
                <w:szCs w:val="20"/>
                <w:highlight w:val="green"/>
              </w:rPr>
              <w:t>Agreement</w:t>
            </w:r>
          </w:p>
          <w:p w:rsidR="00C90463" w:rsidRPr="00C90463" w:rsidRDefault="00C90463" w:rsidP="00174E33">
            <w:pPr>
              <w:rPr>
                <w:rFonts w:ascii="Times New Roman" w:eastAsia="Malgun Gothic" w:hAnsi="Times New Roman" w:cs="Times New Roman"/>
                <w:sz w:val="20"/>
                <w:szCs w:val="20"/>
              </w:rPr>
            </w:pPr>
            <w:r w:rsidRPr="00C90463">
              <w:rPr>
                <w:rFonts w:ascii="Times New Roman" w:hAnsi="Times New Roman" w:cs="Times New Roman"/>
                <w:sz w:val="20"/>
                <w:szCs w:val="20"/>
              </w:rPr>
              <w:t xml:space="preserve">Full TX power UL transmission, </w:t>
            </w:r>
            <w:r w:rsidRPr="00C90463">
              <w:rPr>
                <w:rFonts w:ascii="Times New Roman" w:eastAsia="Malgun Gothic" w:hAnsi="Times New Roman" w:cs="Times New Roman"/>
                <w:sz w:val="20"/>
                <w:szCs w:val="20"/>
              </w:rPr>
              <w:t>option 4 is updated as follows</w:t>
            </w:r>
          </w:p>
          <w:p w:rsidR="00C90463" w:rsidRPr="00C90463" w:rsidRDefault="00C90463" w:rsidP="00174E33">
            <w:pPr>
              <w:rPr>
                <w:rFonts w:ascii="Times New Roman" w:hAnsi="Times New Roman" w:cs="Times New Roman"/>
                <w:strike/>
                <w:sz w:val="20"/>
                <w:szCs w:val="20"/>
              </w:rPr>
            </w:pPr>
            <w:r w:rsidRPr="00C90463">
              <w:rPr>
                <w:rFonts w:ascii="Times New Roman" w:hAnsi="Times New Roman" w:cs="Times New Roman"/>
                <w:b/>
                <w:sz w:val="20"/>
                <w:szCs w:val="20"/>
              </w:rPr>
              <w:lastRenderedPageBreak/>
              <w:t>Option 4:</w:t>
            </w:r>
            <w:r w:rsidRPr="00C90463">
              <w:rPr>
                <w:rFonts w:ascii="Times New Roman" w:hAnsi="Times New Roman" w:cs="Times New Roman"/>
                <w:sz w:val="20"/>
                <w:szCs w:val="20"/>
              </w:rPr>
              <w:t xml:space="preserve"> Up to UE implementation </w:t>
            </w:r>
            <w:r w:rsidRPr="00C90463">
              <w:rPr>
                <w:rFonts w:ascii="Times New Roman" w:hAnsi="Times New Roman" w:cs="Times New Roman"/>
                <w:color w:val="FF0000"/>
                <w:sz w:val="20"/>
                <w:szCs w:val="20"/>
              </w:rPr>
              <w:t>with UE capability signalling of full power transmission in UL</w:t>
            </w:r>
            <w:r w:rsidRPr="00C90463">
              <w:rPr>
                <w:rFonts w:ascii="Times New Roman" w:hAnsi="Times New Roman" w:cs="Times New Roman"/>
                <w:sz w:val="20"/>
                <w:szCs w:val="20"/>
              </w:rPr>
              <w:t xml:space="preserve"> </w:t>
            </w:r>
            <w:r w:rsidRPr="00C90463">
              <w:rPr>
                <w:rFonts w:ascii="Times New Roman" w:hAnsi="Times New Roman" w:cs="Times New Roman"/>
                <w:strike/>
                <w:sz w:val="20"/>
                <w:szCs w:val="20"/>
              </w:rPr>
              <w:t>(no specification impact)</w:t>
            </w:r>
          </w:p>
          <w:p w:rsidR="00C90463" w:rsidRPr="00C16258" w:rsidRDefault="00C90463" w:rsidP="00174E33">
            <w:pPr>
              <w:spacing w:after="0" w:line="240" w:lineRule="auto"/>
              <w:rPr>
                <w:rFonts w:ascii="Times New Roman" w:eastAsia="SimSun" w:hAnsi="Times New Roman" w:cs="Times New Roman"/>
                <w:sz w:val="20"/>
                <w:szCs w:val="20"/>
                <w:lang w:eastAsia="ko-KR"/>
              </w:rPr>
            </w:pPr>
          </w:p>
        </w:tc>
      </w:tr>
    </w:tbl>
    <w:p w:rsidR="00C90463" w:rsidRDefault="00C90463" w:rsidP="00C90463">
      <w:pPr>
        <w:rPr>
          <w:rFonts w:ascii="Times New Roman" w:hAnsi="Times New Roman" w:cs="Times New Roman"/>
          <w:sz w:val="20"/>
          <w:szCs w:val="20"/>
        </w:rPr>
      </w:pPr>
    </w:p>
    <w:p w:rsidR="00C90463" w:rsidRDefault="00C90463" w:rsidP="00C16258">
      <w:pPr>
        <w:rPr>
          <w:rFonts w:ascii="Times New Roman" w:hAnsi="Times New Roman" w:cs="Times New Roman"/>
          <w:sz w:val="20"/>
          <w:szCs w:val="20"/>
        </w:rPr>
      </w:pPr>
      <w:r>
        <w:rPr>
          <w:rFonts w:ascii="Times New Roman" w:hAnsi="Times New Roman" w:cs="Times New Roman"/>
          <w:sz w:val="20"/>
          <w:szCs w:val="20"/>
        </w:rPr>
        <w:t>The scope of the full TX power UE is further clarified with this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6258" w:rsidRPr="0046285A" w:rsidTr="00174E33">
        <w:tc>
          <w:tcPr>
            <w:tcW w:w="9629" w:type="dxa"/>
            <w:shd w:val="clear" w:color="auto" w:fill="auto"/>
          </w:tcPr>
          <w:p w:rsidR="00C16258" w:rsidRPr="008A68C6" w:rsidRDefault="00C16258" w:rsidP="00174E33">
            <w:pPr>
              <w:rPr>
                <w:rFonts w:ascii="Times New Roman" w:hAnsi="Times New Roman" w:cs="Times New Roman"/>
                <w:b/>
                <w:sz w:val="20"/>
                <w:szCs w:val="20"/>
                <w:highlight w:val="green"/>
              </w:rPr>
            </w:pPr>
            <w:r w:rsidRPr="008A68C6">
              <w:rPr>
                <w:rFonts w:ascii="Times New Roman" w:hAnsi="Times New Roman" w:cs="Times New Roman"/>
                <w:b/>
                <w:sz w:val="20"/>
                <w:szCs w:val="20"/>
                <w:highlight w:val="green"/>
              </w:rPr>
              <w:t>Agreement</w:t>
            </w:r>
          </w:p>
          <w:p w:rsidR="00C16258" w:rsidRPr="00C16258" w:rsidRDefault="00C16258" w:rsidP="00C16258">
            <w:pPr>
              <w:rPr>
                <w:rFonts w:ascii="Times New Roman" w:hAnsi="Times New Roman" w:cs="Times New Roman"/>
                <w:sz w:val="20"/>
                <w:szCs w:val="20"/>
              </w:rPr>
            </w:pPr>
            <w:r w:rsidRPr="00C16258">
              <w:rPr>
                <w:rFonts w:ascii="Times New Roman" w:hAnsi="Times New Roman" w:cs="Times New Roman"/>
                <w:sz w:val="20"/>
                <w:szCs w:val="20"/>
              </w:rPr>
              <w:t xml:space="preserve">Full TX power UL transmission with multiple power amplifier is supported </w:t>
            </w:r>
            <w:r w:rsidRPr="00C16258">
              <w:rPr>
                <w:rFonts w:ascii="Times New Roman" w:hAnsi="Times New Roman" w:cs="Times New Roman"/>
                <w:color w:val="FF0000"/>
                <w:sz w:val="20"/>
                <w:szCs w:val="20"/>
              </w:rPr>
              <w:t>at least</w:t>
            </w:r>
            <w:r w:rsidRPr="00C16258">
              <w:rPr>
                <w:rFonts w:ascii="Times New Roman" w:hAnsi="Times New Roman" w:cs="Times New Roman"/>
                <w:sz w:val="20"/>
                <w:szCs w:val="20"/>
              </w:rPr>
              <w:t xml:space="preserve"> for codebook based UL transmission for non-coherent and partial/non-coherent capable UEs</w:t>
            </w:r>
          </w:p>
          <w:p w:rsidR="00C16258" w:rsidRPr="00C16258" w:rsidRDefault="00C16258" w:rsidP="00C16258">
            <w:pPr>
              <w:numPr>
                <w:ilvl w:val="0"/>
                <w:numId w:val="35"/>
              </w:numPr>
              <w:spacing w:after="0" w:line="240" w:lineRule="auto"/>
              <w:rPr>
                <w:rFonts w:ascii="Times New Roman" w:hAnsi="Times New Roman" w:cs="Times New Roman"/>
                <w:sz w:val="20"/>
                <w:szCs w:val="20"/>
                <w:lang w:eastAsia="x-none"/>
              </w:rPr>
            </w:pPr>
            <w:r w:rsidRPr="00C16258">
              <w:rPr>
                <w:rFonts w:ascii="Times New Roman" w:hAnsi="Times New Roman" w:cs="Times New Roman"/>
                <w:sz w:val="20"/>
                <w:szCs w:val="20"/>
                <w:lang w:eastAsia="x-none"/>
              </w:rPr>
              <w:t>This specification support is a UE optional feature</w:t>
            </w:r>
          </w:p>
          <w:p w:rsidR="00C16258" w:rsidRPr="00C90463" w:rsidRDefault="00C16258" w:rsidP="00C16258">
            <w:pPr>
              <w:numPr>
                <w:ilvl w:val="0"/>
                <w:numId w:val="35"/>
              </w:numPr>
              <w:spacing w:after="0" w:line="240" w:lineRule="auto"/>
              <w:rPr>
                <w:rFonts w:ascii="Times New Roman" w:hAnsi="Times New Roman" w:cs="Times New Roman"/>
                <w:sz w:val="20"/>
                <w:szCs w:val="20"/>
                <w:lang w:eastAsia="x-none"/>
              </w:rPr>
            </w:pPr>
            <w:r w:rsidRPr="00C16258">
              <w:rPr>
                <w:rFonts w:ascii="Times New Roman" w:hAnsi="Times New Roman" w:cs="Times New Roman"/>
                <w:sz w:val="20"/>
                <w:szCs w:val="20"/>
                <w:lang w:eastAsia="x-none"/>
              </w:rPr>
              <w:t>FFS: Whether this applies for the entire codebook or subset of codebook</w:t>
            </w:r>
          </w:p>
        </w:tc>
      </w:tr>
    </w:tbl>
    <w:p w:rsidR="00C16258" w:rsidRDefault="00C16258" w:rsidP="00C16258">
      <w:pPr>
        <w:rPr>
          <w:rFonts w:ascii="Times New Roman" w:hAnsi="Times New Roman" w:cs="Times New Roman"/>
          <w:sz w:val="20"/>
          <w:szCs w:val="20"/>
        </w:rPr>
      </w:pPr>
    </w:p>
    <w:p w:rsidR="00EA017E" w:rsidRDefault="00577EEA" w:rsidP="00EA017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This contribution </w:t>
      </w:r>
      <w:r w:rsidR="00962638">
        <w:rPr>
          <w:rFonts w:ascii="Times New Roman" w:hAnsi="Times New Roman" w:cs="Times New Roman"/>
          <w:kern w:val="2"/>
          <w:sz w:val="20"/>
          <w:szCs w:val="20"/>
        </w:rPr>
        <w:t xml:space="preserve">provides further analysis and solutions </w:t>
      </w:r>
      <w:r>
        <w:rPr>
          <w:rFonts w:ascii="Times New Roman" w:hAnsi="Times New Roman" w:cs="Times New Roman"/>
          <w:kern w:val="2"/>
          <w:sz w:val="20"/>
          <w:szCs w:val="20"/>
        </w:rPr>
        <w:t>on the full Tx power uplink transmission issue</w:t>
      </w:r>
      <w:r w:rsidR="00962638">
        <w:rPr>
          <w:rFonts w:ascii="Times New Roman" w:hAnsi="Times New Roman" w:cs="Times New Roman"/>
          <w:kern w:val="2"/>
          <w:sz w:val="20"/>
          <w:szCs w:val="20"/>
        </w:rPr>
        <w:t>. Our preference is also provided</w:t>
      </w:r>
      <w:r w:rsidR="00D556A1">
        <w:rPr>
          <w:rFonts w:ascii="Times New Roman" w:hAnsi="Times New Roman" w:cs="Times New Roman"/>
          <w:kern w:val="2"/>
          <w:sz w:val="20"/>
          <w:szCs w:val="20"/>
        </w:rPr>
        <w:t>.</w:t>
      </w:r>
    </w:p>
    <w:p w:rsidR="00577EEA" w:rsidRDefault="00577EEA" w:rsidP="00EA017E">
      <w:pPr>
        <w:jc w:val="both"/>
        <w:rPr>
          <w:rFonts w:ascii="Times New Roman" w:hAnsi="Times New Roman" w:cs="Times New Roman"/>
          <w:kern w:val="2"/>
          <w:sz w:val="20"/>
          <w:szCs w:val="20"/>
        </w:rPr>
      </w:pPr>
    </w:p>
    <w:p w:rsidR="00EA017E" w:rsidRDefault="004C1CBE" w:rsidP="00EA017E">
      <w:pPr>
        <w:pStyle w:val="Heading1"/>
      </w:pPr>
      <w:r>
        <w:t>2</w:t>
      </w:r>
      <w:r w:rsidR="00EA017E" w:rsidRPr="00791982">
        <w:tab/>
      </w:r>
      <w:r w:rsidR="00577EEA">
        <w:t>Full power transmission for uplink transmission</w:t>
      </w:r>
    </w:p>
    <w:p w:rsidR="00577EEA" w:rsidRDefault="002D32CC" w:rsidP="00577EEA">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The scope of the WID [</w:t>
      </w:r>
      <w:r w:rsidR="00E97ABD">
        <w:rPr>
          <w:rFonts w:ascii="Times New Roman" w:hAnsi="Times New Roman" w:cs="Times New Roman"/>
          <w:sz w:val="20"/>
          <w:szCs w:val="20"/>
          <w:lang w:val="en-GB" w:eastAsia="en-US"/>
        </w:rPr>
        <w:t>3</w:t>
      </w:r>
      <w:r>
        <w:rPr>
          <w:rFonts w:ascii="Times New Roman" w:hAnsi="Times New Roman" w:cs="Times New Roman"/>
          <w:sz w:val="20"/>
          <w:szCs w:val="20"/>
          <w:lang w:val="en-GB" w:eastAsia="en-US"/>
        </w:rPr>
        <w:t>] on full power transmission for uplink transmission is listed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2CC" w:rsidRPr="0046285A" w:rsidTr="0026014E">
        <w:tc>
          <w:tcPr>
            <w:tcW w:w="9629" w:type="dxa"/>
            <w:shd w:val="clear" w:color="auto" w:fill="auto"/>
          </w:tcPr>
          <w:p w:rsidR="002D32CC" w:rsidRPr="000575C9" w:rsidRDefault="000575C9" w:rsidP="000575C9">
            <w:pPr>
              <w:numPr>
                <w:ilvl w:val="1"/>
                <w:numId w:val="27"/>
              </w:numPr>
              <w:overflowPunct w:val="0"/>
              <w:autoSpaceDE w:val="0"/>
              <w:autoSpaceDN w:val="0"/>
              <w:adjustRightInd w:val="0"/>
              <w:snapToGrid w:val="0"/>
              <w:spacing w:after="120" w:line="240" w:lineRule="auto"/>
              <w:ind w:right="-99"/>
              <w:rPr>
                <w:rFonts w:ascii="Times New Roman" w:eastAsia="SimSun" w:hAnsi="Times New Roman" w:cs="Times New Roman"/>
                <w:sz w:val="20"/>
                <w:szCs w:val="20"/>
                <w:lang w:eastAsia="ko-KR"/>
              </w:rPr>
            </w:pPr>
            <w:r w:rsidRPr="000575C9">
              <w:rPr>
                <w:rFonts w:ascii="Times New Roman" w:eastAsia="Malgun Gothic" w:hAnsi="Times New Roman" w:cs="Times New Roman"/>
                <w:sz w:val="20"/>
                <w:szCs w:val="20"/>
                <w:lang w:eastAsia="ko-KR"/>
              </w:rPr>
              <w:t>Specify enhancement to allow full power transmission in case of uplink transmission with multiple power amplifiers (assume no change on UE power class)</w:t>
            </w:r>
          </w:p>
        </w:tc>
      </w:tr>
    </w:tbl>
    <w:p w:rsidR="003673B3" w:rsidRDefault="003673B3" w:rsidP="002D32CC">
      <w:pPr>
        <w:rPr>
          <w:rFonts w:ascii="Times New Roman" w:hAnsi="Times New Roman" w:cs="Times New Roman"/>
          <w:sz w:val="20"/>
          <w:szCs w:val="20"/>
        </w:rPr>
      </w:pPr>
    </w:p>
    <w:p w:rsidR="000575C9" w:rsidRDefault="000575C9" w:rsidP="000575C9">
      <w:pPr>
        <w:pStyle w:val="Heading2"/>
      </w:pPr>
      <w:r>
        <w:t>2.1</w:t>
      </w:r>
      <w:r>
        <w:tab/>
      </w:r>
      <w:r w:rsidR="00E113D3">
        <w:t>The i</w:t>
      </w:r>
      <w:r w:rsidR="00962638">
        <w:t>ssue of UE full power transmission</w:t>
      </w:r>
    </w:p>
    <w:p w:rsidR="00A75000" w:rsidRDefault="000575C9" w:rsidP="002674A5">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This issue is actively discussed in RAN1 during the Rel-15 specification process. The general background is related to the uplink codebook design, where partial coherent precoders and non-coherent precoders are included together with the full coherent precoders.</w:t>
      </w:r>
      <w:r w:rsidR="002674A5">
        <w:rPr>
          <w:rFonts w:ascii="Times New Roman" w:hAnsi="Times New Roman" w:cs="Times New Roman"/>
          <w:sz w:val="20"/>
          <w:szCs w:val="20"/>
          <w:lang w:val="en-GB" w:eastAsia="en-US"/>
        </w:rPr>
        <w:t xml:space="preserve"> One</w:t>
      </w:r>
      <w:r w:rsidR="00A75000">
        <w:rPr>
          <w:rFonts w:ascii="Times New Roman" w:hAnsi="Times New Roman" w:cs="Times New Roman"/>
          <w:sz w:val="20"/>
          <w:szCs w:val="20"/>
          <w:lang w:val="en-GB" w:eastAsia="en-US"/>
        </w:rPr>
        <w:t xml:space="preserve"> distinguished property of these precoding matrices is the scaling factor, which is normalized based on total number of Tx ports, regardless whether the Tx ports are muted or not. In th</w:t>
      </w:r>
      <w:r w:rsidR="002674A5">
        <w:rPr>
          <w:rFonts w:ascii="Times New Roman" w:hAnsi="Times New Roman" w:cs="Times New Roman"/>
          <w:sz w:val="20"/>
          <w:szCs w:val="20"/>
          <w:lang w:val="en-GB" w:eastAsia="en-US"/>
        </w:rPr>
        <w:t>e</w:t>
      </w:r>
      <w:r w:rsidR="00A75000">
        <w:rPr>
          <w:rFonts w:ascii="Times New Roman" w:hAnsi="Times New Roman" w:cs="Times New Roman"/>
          <w:sz w:val="20"/>
          <w:szCs w:val="20"/>
          <w:lang w:val="en-GB" w:eastAsia="en-US"/>
        </w:rPr>
        <w:t xml:space="preserve"> 4Tx example</w:t>
      </w:r>
      <w:r w:rsidR="002674A5">
        <w:rPr>
          <w:rFonts w:ascii="Times New Roman" w:hAnsi="Times New Roman" w:cs="Times New Roman"/>
          <w:sz w:val="20"/>
          <w:szCs w:val="20"/>
          <w:lang w:val="en-GB" w:eastAsia="en-US"/>
        </w:rPr>
        <w:t xml:space="preserve"> with rank-1 transmission</w:t>
      </w:r>
      <w:r w:rsidR="00A75000">
        <w:rPr>
          <w:rFonts w:ascii="Times New Roman" w:hAnsi="Times New Roman" w:cs="Times New Roman"/>
          <w:sz w:val="20"/>
          <w:szCs w:val="20"/>
          <w:lang w:val="en-GB" w:eastAsia="en-US"/>
        </w:rPr>
        <w:t xml:space="preserve">, the scaling factor is </w:t>
      </w:r>
      <w:r w:rsidR="002674A5">
        <w:rPr>
          <w:rFonts w:ascii="Times New Roman" w:hAnsi="Times New Roman" w:cs="Times New Roman"/>
          <w:sz w:val="20"/>
          <w:szCs w:val="20"/>
          <w:lang w:val="en-GB" w:eastAsia="en-US"/>
        </w:rPr>
        <w:t>1/2,</w:t>
      </w:r>
      <w:r w:rsidR="00A75000">
        <w:rPr>
          <w:rFonts w:ascii="Times New Roman" w:hAnsi="Times New Roman" w:cs="Times New Roman"/>
          <w:sz w:val="20"/>
          <w:szCs w:val="20"/>
          <w:lang w:val="en-GB" w:eastAsia="en-US"/>
        </w:rPr>
        <w:t xml:space="preserve"> which will yield total transmission power of one when a full coherent precoding matrix is applied.</w:t>
      </w:r>
    </w:p>
    <w:p w:rsidR="00962638" w:rsidRDefault="00133880" w:rsidP="00133880">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It can be shown</w:t>
      </w:r>
      <w:r w:rsidR="00E70045">
        <w:rPr>
          <w:rFonts w:ascii="Times New Roman" w:hAnsi="Times New Roman" w:cs="Times New Roman"/>
          <w:sz w:val="20"/>
          <w:szCs w:val="20"/>
          <w:lang w:val="en-GB" w:eastAsia="en-US"/>
        </w:rPr>
        <w:t xml:space="preserve"> that when </w:t>
      </w:r>
      <w:r w:rsidR="009C4CBA">
        <w:rPr>
          <w:rFonts w:ascii="Times New Roman" w:hAnsi="Times New Roman" w:cs="Times New Roman"/>
          <w:sz w:val="20"/>
          <w:szCs w:val="20"/>
          <w:lang w:val="en-GB" w:eastAsia="en-US"/>
        </w:rPr>
        <w:t xml:space="preserve">a UE is switching from a full coherent precoding matrix to a partial coherent or a non-coherent precoding matrix, the full transmitting power, solely based on the precoding matrix, will be reduced. </w:t>
      </w:r>
      <w:r w:rsidR="00962638">
        <w:rPr>
          <w:rFonts w:ascii="Times New Roman" w:hAnsi="Times New Roman" w:cs="Times New Roman"/>
          <w:sz w:val="20"/>
          <w:szCs w:val="20"/>
          <w:lang w:val="en-GB" w:eastAsia="en-US"/>
        </w:rPr>
        <w:t>For the 4Tx example, we have these precoders when non-coherent/partial coherent precoding matrices are applied.</w:t>
      </w:r>
    </w:p>
    <w:p w:rsidR="00962638" w:rsidRDefault="00962638" w:rsidP="00962638">
      <w:pPr>
        <w:jc w:val="center"/>
        <w:rPr>
          <w:rFonts w:ascii="Times New Roman" w:hAnsi="Times New Roman" w:cs="Times New Roman"/>
          <w:sz w:val="20"/>
          <w:szCs w:val="20"/>
          <w:lang w:val="en-GB" w:eastAsia="en-US"/>
        </w:rPr>
      </w:pPr>
      <w:r>
        <w:object w:dxaOrig="516" w:dyaOrig="1212">
          <v:shape id="_x0000_i1027" type="#_x0000_t75" style="width:25.8pt;height:60.6pt" o:ole="">
            <v:imagedata r:id="rId14" o:title=""/>
          </v:shape>
          <o:OLEObject Type="Embed" ProgID="Equation.3" ShapeID="_x0000_i1027" DrawAspect="Content" ObjectID="_1608709563" r:id="rId15"/>
        </w:object>
      </w:r>
      <w:r>
        <w:t xml:space="preserve"> , </w:t>
      </w:r>
      <w:r>
        <w:object w:dxaOrig="516" w:dyaOrig="1212">
          <v:shape id="_x0000_i1028" type="#_x0000_t75" style="width:25.8pt;height:60.6pt" o:ole="">
            <v:imagedata r:id="rId16" o:title=""/>
          </v:shape>
          <o:OLEObject Type="Embed" ProgID="Equation.3" ShapeID="_x0000_i1028" DrawAspect="Content" ObjectID="_1608709564" r:id="rId17"/>
        </w:object>
      </w:r>
    </w:p>
    <w:p w:rsidR="00577EEA" w:rsidRDefault="009C4CBA" w:rsidP="00133880">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In the </w:t>
      </w:r>
      <w:r w:rsidR="00962638">
        <w:rPr>
          <w:rFonts w:ascii="Times New Roman" w:hAnsi="Times New Roman" w:cs="Times New Roman"/>
          <w:sz w:val="20"/>
          <w:szCs w:val="20"/>
          <w:lang w:val="en-GB" w:eastAsia="en-US"/>
        </w:rPr>
        <w:t>e</w:t>
      </w:r>
      <w:r>
        <w:rPr>
          <w:rFonts w:ascii="Times New Roman" w:hAnsi="Times New Roman" w:cs="Times New Roman"/>
          <w:sz w:val="20"/>
          <w:szCs w:val="20"/>
          <w:lang w:val="en-GB" w:eastAsia="en-US"/>
        </w:rPr>
        <w:t>xample, the partial coherent precoding matrices have 3dB less power than that of full coherent precoding matrices, and the non-coherent precoding matrices have 6dB less power. The p</w:t>
      </w:r>
      <w:r w:rsidR="00133880">
        <w:rPr>
          <w:rFonts w:ascii="Times New Roman" w:hAnsi="Times New Roman" w:cs="Times New Roman"/>
          <w:sz w:val="20"/>
          <w:szCs w:val="20"/>
          <w:lang w:val="en-GB" w:eastAsia="en-US"/>
        </w:rPr>
        <w:t>ower reduction of partial/non-coherent precoders is not desirable for uplink transmission.</w:t>
      </w:r>
    </w:p>
    <w:p w:rsidR="009C4CBA" w:rsidRDefault="009C4CBA" w:rsidP="00577EEA">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Rel-15 NR </w:t>
      </w:r>
      <w:r w:rsidR="00133880">
        <w:rPr>
          <w:rFonts w:ascii="Times New Roman" w:hAnsi="Times New Roman" w:cs="Times New Roman"/>
          <w:sz w:val="20"/>
          <w:szCs w:val="20"/>
          <w:lang w:val="en-GB" w:eastAsia="en-US"/>
        </w:rPr>
        <w:t>attempted</w:t>
      </w:r>
      <w:r>
        <w:rPr>
          <w:rFonts w:ascii="Times New Roman" w:hAnsi="Times New Roman" w:cs="Times New Roman"/>
          <w:sz w:val="20"/>
          <w:szCs w:val="20"/>
          <w:lang w:val="en-GB" w:eastAsia="en-US"/>
        </w:rPr>
        <w:t xml:space="preserve"> to fix this issue in the UE power contr</w:t>
      </w:r>
      <w:r w:rsidR="002873A2">
        <w:rPr>
          <w:rFonts w:ascii="Times New Roman" w:hAnsi="Times New Roman" w:cs="Times New Roman"/>
          <w:sz w:val="20"/>
          <w:szCs w:val="20"/>
          <w:lang w:val="en-GB" w:eastAsia="en-US"/>
        </w:rPr>
        <w:t>ol section of the specification (Section 7.1 of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73A2" w:rsidRPr="0046285A" w:rsidTr="00181C9C">
        <w:tc>
          <w:tcPr>
            <w:tcW w:w="9629" w:type="dxa"/>
            <w:shd w:val="clear" w:color="auto" w:fill="auto"/>
          </w:tcPr>
          <w:p w:rsidR="002873A2" w:rsidRPr="002873A2" w:rsidRDefault="002873A2" w:rsidP="002873A2">
            <w:pPr>
              <w:rPr>
                <w:rFonts w:ascii="Times New Roman" w:hAnsi="Times New Roman" w:cs="Times New Roman"/>
                <w:sz w:val="20"/>
                <w:szCs w:val="20"/>
                <w:lang w:val="en-GB" w:eastAsia="en-US"/>
              </w:rPr>
            </w:pPr>
            <w:r w:rsidRPr="002873A2">
              <w:rPr>
                <w:rFonts w:ascii="Times New Roman" w:hAnsi="Times New Roman" w:cs="Times New Roman"/>
                <w:sz w:val="20"/>
                <w:szCs w:val="20"/>
              </w:rPr>
              <w:t xml:space="preserve">For PUSCH, a UE first scales a linear value </w:t>
            </w:r>
            <w:r w:rsidRPr="002873A2">
              <w:rPr>
                <w:rFonts w:ascii="Times New Roman" w:hAnsi="Times New Roman" w:cs="Times New Roman"/>
                <w:noProof/>
                <w:position w:val="-12"/>
                <w:sz w:val="20"/>
                <w:szCs w:val="20"/>
                <w:lang w:eastAsia="en-GB"/>
              </w:rPr>
              <w:drawing>
                <wp:inline distT="0" distB="0" distL="0" distR="0" wp14:anchorId="1FCBE899" wp14:editId="6CA6E72F">
                  <wp:extent cx="1066800" cy="2438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66800" cy="243840"/>
                          </a:xfrm>
                          <a:prstGeom prst="rect">
                            <a:avLst/>
                          </a:prstGeom>
                          <a:noFill/>
                          <a:ln>
                            <a:noFill/>
                          </a:ln>
                        </pic:spPr>
                      </pic:pic>
                    </a:graphicData>
                  </a:graphic>
                </wp:inline>
              </w:drawing>
            </w:r>
            <w:r w:rsidRPr="002873A2">
              <w:rPr>
                <w:rFonts w:ascii="Times New Roman" w:hAnsi="Times New Roman" w:cs="Times New Roman"/>
                <w:iCs/>
                <w:sz w:val="20"/>
                <w:szCs w:val="20"/>
              </w:rPr>
              <w:t xml:space="preserve"> of the </w:t>
            </w:r>
            <w:r w:rsidRPr="002873A2">
              <w:rPr>
                <w:rFonts w:ascii="Times New Roman" w:hAnsi="Times New Roman" w:cs="Times New Roman"/>
                <w:sz w:val="20"/>
                <w:szCs w:val="20"/>
              </w:rPr>
              <w:t xml:space="preserve">transmit power </w:t>
            </w:r>
            <w:r w:rsidRPr="002873A2">
              <w:rPr>
                <w:rFonts w:ascii="Times New Roman" w:hAnsi="Times New Roman" w:cs="Times New Roman"/>
                <w:noProof/>
                <w:position w:val="-12"/>
                <w:sz w:val="20"/>
                <w:szCs w:val="20"/>
                <w:lang w:eastAsia="en-GB"/>
              </w:rPr>
              <w:drawing>
                <wp:inline distT="0" distB="0" distL="0" distR="0" wp14:anchorId="59FFD95A" wp14:editId="47424576">
                  <wp:extent cx="1043940" cy="19812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43940" cy="198120"/>
                          </a:xfrm>
                          <a:prstGeom prst="rect">
                            <a:avLst/>
                          </a:prstGeom>
                          <a:noFill/>
                          <a:ln>
                            <a:noFill/>
                          </a:ln>
                        </pic:spPr>
                      </pic:pic>
                    </a:graphicData>
                  </a:graphic>
                </wp:inline>
              </w:drawing>
            </w:r>
            <w:r w:rsidRPr="002873A2">
              <w:rPr>
                <w:rFonts w:ascii="Times New Roman" w:hAnsi="Times New Roman" w:cs="Times New Roman"/>
                <w:iCs/>
                <w:sz w:val="20"/>
                <w:szCs w:val="20"/>
              </w:rPr>
              <w:t xml:space="preserve"> </w:t>
            </w:r>
            <w:r w:rsidRPr="002873A2">
              <w:rPr>
                <w:rFonts w:ascii="Times New Roman" w:hAnsi="Times New Roman" w:cs="Times New Roman"/>
                <w:sz w:val="20"/>
                <w:szCs w:val="20"/>
              </w:rPr>
              <w:t xml:space="preserve">on UL BWP </w:t>
            </w:r>
            <w:r w:rsidRPr="002873A2">
              <w:rPr>
                <w:rFonts w:ascii="Times New Roman" w:eastAsia="Times New Roman" w:hAnsi="Times New Roman" w:cs="Times New Roman"/>
                <w:iCs/>
                <w:position w:val="-6"/>
                <w:sz w:val="20"/>
                <w:szCs w:val="20"/>
                <w:lang w:val="en-GB" w:eastAsia="en-US"/>
              </w:rPr>
              <w:object w:dxaOrig="180" w:dyaOrig="240">
                <v:shape id="_x0000_i1029" type="#_x0000_t75" style="width:9pt;height:12pt" o:ole="">
                  <v:imagedata r:id="rId20" o:title=""/>
                </v:shape>
                <o:OLEObject Type="Embed" ProgID="Equation.3" ShapeID="_x0000_i1029" DrawAspect="Content" ObjectID="_1608709565" r:id="rId21"/>
              </w:object>
            </w:r>
            <w:r w:rsidRPr="002873A2">
              <w:rPr>
                <w:rFonts w:ascii="Times New Roman" w:hAnsi="Times New Roman" w:cs="Times New Roman"/>
                <w:iCs/>
                <w:sz w:val="20"/>
                <w:szCs w:val="20"/>
              </w:rPr>
              <w:t xml:space="preserve">, as described in Subclause 12, of </w:t>
            </w:r>
            <w:r w:rsidRPr="002873A2">
              <w:rPr>
                <w:rFonts w:ascii="Times New Roman" w:hAnsi="Times New Roman" w:cs="Times New Roman"/>
                <w:sz w:val="20"/>
                <w:szCs w:val="20"/>
              </w:rPr>
              <w:t xml:space="preserve">carrier </w:t>
            </w:r>
            <w:r w:rsidRPr="002873A2">
              <w:rPr>
                <w:rFonts w:ascii="Times New Roman" w:eastAsia="Times New Roman" w:hAnsi="Times New Roman" w:cs="Times New Roman"/>
                <w:iCs/>
                <w:position w:val="-10"/>
                <w:sz w:val="20"/>
                <w:szCs w:val="20"/>
                <w:lang w:val="en-GB" w:eastAsia="en-US"/>
              </w:rPr>
              <w:object w:dxaOrig="216" w:dyaOrig="312">
                <v:shape id="_x0000_i1030" type="#_x0000_t75" style="width:10.8pt;height:15.6pt" o:ole="">
                  <v:imagedata r:id="rId22" o:title=""/>
                </v:shape>
                <o:OLEObject Type="Embed" ProgID="Equation.3" ShapeID="_x0000_i1030" DrawAspect="Content" ObjectID="_1608709566" r:id="rId23"/>
              </w:object>
            </w:r>
            <w:r w:rsidRPr="002873A2">
              <w:rPr>
                <w:rFonts w:ascii="Times New Roman" w:hAnsi="Times New Roman" w:cs="Times New Roman"/>
                <w:iCs/>
                <w:sz w:val="20"/>
                <w:szCs w:val="20"/>
              </w:rPr>
              <w:t xml:space="preserve"> of </w:t>
            </w:r>
            <w:r w:rsidRPr="002873A2">
              <w:rPr>
                <w:rFonts w:ascii="Times New Roman" w:hAnsi="Times New Roman" w:cs="Times New Roman"/>
                <w:sz w:val="20"/>
                <w:szCs w:val="20"/>
              </w:rPr>
              <w:t xml:space="preserve">serving cell </w:t>
            </w:r>
            <w:r w:rsidRPr="002873A2">
              <w:rPr>
                <w:rFonts w:ascii="Times New Roman" w:eastAsia="Times New Roman" w:hAnsi="Times New Roman" w:cs="Times New Roman"/>
                <w:iCs/>
                <w:position w:val="-6"/>
                <w:sz w:val="20"/>
                <w:szCs w:val="20"/>
                <w:lang w:val="en-GB" w:eastAsia="en-US"/>
              </w:rPr>
              <w:object w:dxaOrig="156" w:dyaOrig="204">
                <v:shape id="_x0000_i1031" type="#_x0000_t75" style="width:7.8pt;height:10.2pt" o:ole="">
                  <v:imagedata r:id="rId24" o:title=""/>
                </v:shape>
                <o:OLEObject Type="Embed" ProgID="Equation.3" ShapeID="_x0000_i1031" DrawAspect="Content" ObjectID="_1608709567" r:id="rId25"/>
              </w:object>
            </w:r>
            <w:r w:rsidRPr="002873A2">
              <w:rPr>
                <w:rFonts w:ascii="Times New Roman" w:hAnsi="Times New Roman" w:cs="Times New Roman"/>
                <w:iCs/>
                <w:sz w:val="20"/>
                <w:szCs w:val="20"/>
              </w:rPr>
              <w:t xml:space="preserve">, with parameters as defined in Subclause 7.1.1, </w:t>
            </w:r>
            <w:r w:rsidRPr="00475F22">
              <w:rPr>
                <w:rFonts w:ascii="Times New Roman" w:hAnsi="Times New Roman" w:cs="Times New Roman"/>
                <w:sz w:val="20"/>
                <w:szCs w:val="20"/>
                <w:highlight w:val="yellow"/>
              </w:rPr>
              <w:t xml:space="preserve">by the ratio of the number of antenna ports with a non-zero PUSCH transmission to the number of configured </w:t>
            </w:r>
            <w:r w:rsidRPr="00475F22">
              <w:rPr>
                <w:rFonts w:ascii="Times New Roman" w:hAnsi="Times New Roman" w:cs="Times New Roman"/>
                <w:sz w:val="20"/>
                <w:szCs w:val="20"/>
                <w:highlight w:val="yellow"/>
              </w:rPr>
              <w:lastRenderedPageBreak/>
              <w:t>antenna ports for the transmission scheme. The resulting scaled power is then split equally across the antenna ports on which the non-zero PUSCH is transmitted.</w:t>
            </w:r>
          </w:p>
        </w:tc>
      </w:tr>
    </w:tbl>
    <w:p w:rsidR="002873A2" w:rsidRDefault="002873A2" w:rsidP="002873A2">
      <w:pPr>
        <w:rPr>
          <w:rFonts w:ascii="Times New Roman" w:hAnsi="Times New Roman" w:cs="Times New Roman"/>
          <w:sz w:val="20"/>
          <w:szCs w:val="20"/>
        </w:rPr>
      </w:pPr>
    </w:p>
    <w:p w:rsidR="00E113D3" w:rsidRDefault="002873A2" w:rsidP="00475F22">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The scaling factor related to the partial/non-coherent codebooks is treated here in uplink power control as “</w:t>
      </w:r>
      <w:r w:rsidRPr="002873A2">
        <w:rPr>
          <w:rFonts w:ascii="Times New Roman" w:hAnsi="Times New Roman" w:cs="Times New Roman"/>
          <w:b/>
          <w:i/>
          <w:sz w:val="20"/>
          <w:szCs w:val="20"/>
        </w:rPr>
        <w:t>the ratio of the number of antenna ports with a non-zero PUSCH transmission to the number of configured antenna ports for the transmission scheme.</w:t>
      </w:r>
      <w:r>
        <w:rPr>
          <w:rFonts w:ascii="Times New Roman" w:hAnsi="Times New Roman" w:cs="Times New Roman"/>
          <w:sz w:val="20"/>
          <w:szCs w:val="20"/>
        </w:rPr>
        <w:t>” The intention is to ensure that the full transmission power won’t be affected when certain transmission antenna ports are muted due to partial/non-coherent precoders. However, the “configured antenna ports for the transmission scheme”, in the context of the uplink transmission, might still cause ambiguity.</w:t>
      </w:r>
      <w:r>
        <w:rPr>
          <w:rFonts w:ascii="Times New Roman" w:hAnsi="Times New Roman" w:cs="Times New Roman"/>
          <w:sz w:val="20"/>
          <w:szCs w:val="20"/>
        </w:rPr>
        <w:br/>
      </w:r>
    </w:p>
    <w:p w:rsidR="002873A2" w:rsidRDefault="000315D0" w:rsidP="00475F22">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There were discussions in RAN1 related to the UE capability with multiple RF PA chains/antenna ports. RAN4 has specified UE maximum transmission power is 23dBm, similar to that of LTE. However, at least to some UE implementation, full 23dBm power transmission won’t be possible when partial/non-coherent precoding matrices are applied. This certainly limits usability of partial/non-coherent precoders and will degrade overall uplink performance. </w:t>
      </w:r>
    </w:p>
    <w:p w:rsidR="002873A2" w:rsidRDefault="002873A2" w:rsidP="00577EEA">
      <w:pPr>
        <w:rPr>
          <w:rFonts w:ascii="Times New Roman" w:hAnsi="Times New Roman" w:cs="Times New Roman"/>
          <w:sz w:val="20"/>
          <w:szCs w:val="20"/>
          <w:lang w:val="en-GB" w:eastAsia="en-US"/>
        </w:rPr>
      </w:pPr>
    </w:p>
    <w:p w:rsidR="002873A2" w:rsidRDefault="002873A2" w:rsidP="002873A2">
      <w:pPr>
        <w:pStyle w:val="Heading2"/>
      </w:pPr>
      <w:r>
        <w:t>2.2</w:t>
      </w:r>
      <w:r>
        <w:tab/>
      </w:r>
      <w:r w:rsidR="00E113D3">
        <w:t>Preference s</w:t>
      </w:r>
      <w:r w:rsidR="00475F22">
        <w:t>olutions and specification impact</w:t>
      </w:r>
    </w:p>
    <w:p w:rsidR="00BD360C" w:rsidRDefault="008C5EF3" w:rsidP="00577EEA">
      <w:pPr>
        <w:rPr>
          <w:rFonts w:ascii="Times New Roman" w:hAnsi="Times New Roman" w:cs="Times New Roman"/>
          <w:sz w:val="20"/>
          <w:szCs w:val="20"/>
          <w:u w:val="single"/>
          <w:lang w:val="en-GB" w:eastAsia="en-US"/>
        </w:rPr>
      </w:pPr>
      <w:r>
        <w:rPr>
          <w:rFonts w:ascii="Times New Roman" w:hAnsi="Times New Roman" w:cs="Times New Roman"/>
          <w:sz w:val="20"/>
          <w:szCs w:val="20"/>
          <w:u w:val="single"/>
          <w:lang w:val="en-GB" w:eastAsia="en-US"/>
        </w:rPr>
        <w:t>Adjustment of codebook</w:t>
      </w:r>
    </w:p>
    <w:p w:rsidR="008C5EF3" w:rsidRDefault="008C5EF3" w:rsidP="00577EEA">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There are two issues related with the uplink power control:</w:t>
      </w:r>
    </w:p>
    <w:p w:rsidR="008C5EF3" w:rsidRDefault="008C5EF3" w:rsidP="008C5EF3">
      <w:pPr>
        <w:pStyle w:val="ListParagraph"/>
        <w:numPr>
          <w:ilvl w:val="0"/>
          <w:numId w:val="3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UE’s capability to reach full Tx power when non-coherent or partial coherent precoders are used.</w:t>
      </w:r>
    </w:p>
    <w:p w:rsidR="008C5EF3" w:rsidRPr="008C5EF3" w:rsidRDefault="008C5EF3" w:rsidP="008C5EF3">
      <w:pPr>
        <w:pStyle w:val="ListParagraph"/>
        <w:numPr>
          <w:ilvl w:val="0"/>
          <w:numId w:val="3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UE’s power control</w:t>
      </w:r>
    </w:p>
    <w:p w:rsidR="008C5EF3" w:rsidRPr="008C5EF3" w:rsidRDefault="008C5EF3" w:rsidP="008C5EF3">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For example, 2Tx rank-1 codebook are shown here from TS 38.211.</w:t>
      </w:r>
    </w:p>
    <w:p w:rsidR="008C5EF3" w:rsidRDefault="008C5EF3" w:rsidP="008C5EF3">
      <w:pPr>
        <w:pStyle w:val="TH"/>
        <w:rPr>
          <w:rFonts w:eastAsia="Times New Roman" w:cs="Times New Roman"/>
          <w:sz w:val="20"/>
          <w:szCs w:val="20"/>
        </w:rPr>
      </w:pPr>
      <w:r>
        <w:t xml:space="preserve">Table 6.3.1.5-1: Precoding matrix </w:t>
      </w:r>
      <w:r>
        <w:rPr>
          <w:rFonts w:eastAsia="Times New Roman" w:cs="Times New Roman"/>
          <w:position w:val="-6"/>
          <w:sz w:val="20"/>
          <w:szCs w:val="20"/>
          <w:lang w:val="en-GB" w:eastAsia="en-US"/>
        </w:rPr>
        <w:object w:dxaOrig="252" w:dyaOrig="240">
          <v:shape id="_x0000_i1032" type="#_x0000_t75" style="width:12.6pt;height:12pt" o:ole="">
            <v:imagedata r:id="rId26" o:title=""/>
          </v:shape>
          <o:OLEObject Type="Embed" ProgID="Equation.3" ShapeID="_x0000_i1032" DrawAspect="Content" ObjectID="_1608709568" r:id="rId27"/>
        </w:object>
      </w:r>
      <w:r>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56"/>
        <w:gridCol w:w="851"/>
        <w:gridCol w:w="1140"/>
      </w:tblGrid>
      <w:tr w:rsidR="008C5EF3" w:rsidTr="008C5EF3">
        <w:trPr>
          <w:jc w:val="center"/>
        </w:trPr>
        <w:tc>
          <w:tcPr>
            <w:tcW w:w="1229" w:type="dxa"/>
            <w:tcBorders>
              <w:top w:val="single" w:sz="4" w:space="0" w:color="auto"/>
              <w:left w:val="single" w:sz="4" w:space="0" w:color="auto"/>
              <w:bottom w:val="single" w:sz="4" w:space="0" w:color="auto"/>
              <w:right w:val="single" w:sz="4" w:space="0" w:color="auto"/>
            </w:tcBorders>
            <w:hideMark/>
          </w:tcPr>
          <w:p w:rsidR="008C5EF3" w:rsidRDefault="008C5EF3">
            <w:pPr>
              <w:pStyle w:val="TAH"/>
              <w:rPr>
                <w:rFonts w:eastAsia="Batang"/>
              </w:rPr>
            </w:pPr>
            <w:r>
              <w:rPr>
                <w:rFonts w:eastAsia="Batang"/>
              </w:rPr>
              <w:t>TPMI index</w:t>
            </w:r>
          </w:p>
        </w:tc>
        <w:tc>
          <w:tcPr>
            <w:tcW w:w="7741" w:type="dxa"/>
            <w:gridSpan w:val="8"/>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H"/>
              <w:rPr>
                <w:rFonts w:eastAsia="Batang"/>
              </w:rPr>
            </w:pPr>
            <w:r>
              <w:rPr>
                <w:rFonts w:eastAsia="Batang" w:cs="Times New Roman"/>
                <w:szCs w:val="20"/>
                <w:lang w:val="en-GB" w:eastAsia="en-US"/>
              </w:rPr>
              <w:object w:dxaOrig="264" w:dyaOrig="240">
                <v:shape id="_x0000_i1033" type="#_x0000_t75" style="width:13.2pt;height:12pt" o:ole="">
                  <v:imagedata r:id="rId28" o:title=""/>
                </v:shape>
                <o:OLEObject Type="Embed" ProgID="Equation.3" ShapeID="_x0000_i1033" DrawAspect="Content" ObjectID="_1608709569" r:id="rId29"/>
              </w:object>
            </w:r>
            <w:r>
              <w:rPr>
                <w:rFonts w:eastAsia="Batang"/>
              </w:rPr>
              <w:br/>
              <w:t>(ordered from left to right in increasing order of TPMI index)</w:t>
            </w:r>
          </w:p>
        </w:tc>
      </w:tr>
      <w:tr w:rsidR="008C5EF3" w:rsidTr="008C5EF3">
        <w:trPr>
          <w:jc w:val="center"/>
        </w:trPr>
        <w:tc>
          <w:tcPr>
            <w:tcW w:w="1229"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rPr>
              <w:t>0 – 5</w:t>
            </w:r>
          </w:p>
        </w:tc>
        <w:tc>
          <w:tcPr>
            <w:tcW w:w="861"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cs="Times New Roman"/>
                <w:position w:val="-26"/>
                <w:szCs w:val="20"/>
                <w:lang w:val="en-GB" w:eastAsia="en-US"/>
              </w:rPr>
              <w:object w:dxaOrig="648" w:dyaOrig="612">
                <v:shape id="_x0000_i1034" type="#_x0000_t75" style="width:32.4pt;height:30.6pt" o:ole="">
                  <v:imagedata r:id="rId30" o:title=""/>
                </v:shape>
                <o:OLEObject Type="Embed" ProgID="Equation.3" ShapeID="_x0000_i1034" DrawAspect="Content" ObjectID="_1608709570" r:id="rId31"/>
              </w:object>
            </w:r>
          </w:p>
        </w:tc>
        <w:tc>
          <w:tcPr>
            <w:tcW w:w="999"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cs="Times New Roman"/>
                <w:position w:val="-26"/>
                <w:szCs w:val="20"/>
                <w:lang w:val="en-GB" w:eastAsia="en-US"/>
              </w:rPr>
              <w:object w:dxaOrig="648" w:dyaOrig="612">
                <v:shape id="_x0000_i1035" type="#_x0000_t75" style="width:32.4pt;height:30.6pt" o:ole="">
                  <v:imagedata r:id="rId32" o:title=""/>
                </v:shape>
                <o:OLEObject Type="Embed" ProgID="Equation.3" ShapeID="_x0000_i1035" DrawAspect="Content" ObjectID="_1608709571" r:id="rId33"/>
              </w:object>
            </w:r>
          </w:p>
        </w:tc>
        <w:tc>
          <w:tcPr>
            <w:tcW w:w="906"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noProof/>
                <w:lang w:eastAsia="en-GB"/>
              </w:rPr>
              <w:drawing>
                <wp:inline distT="0" distB="0" distL="0" distR="0">
                  <wp:extent cx="408940" cy="3879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08940" cy="387985"/>
                          </a:xfrm>
                          <a:prstGeom prst="rect">
                            <a:avLst/>
                          </a:prstGeom>
                          <a:noFill/>
                          <a:ln>
                            <a:noFill/>
                          </a:ln>
                        </pic:spPr>
                      </pic:pic>
                    </a:graphicData>
                  </a:graphic>
                </wp:inline>
              </w:drawing>
            </w:r>
          </w:p>
        </w:tc>
        <w:tc>
          <w:tcPr>
            <w:tcW w:w="1039"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noProof/>
                <w:lang w:eastAsia="en-GB"/>
              </w:rPr>
              <w:drawing>
                <wp:inline distT="0" distB="0" distL="0" distR="0">
                  <wp:extent cx="498475" cy="3879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8475" cy="387985"/>
                          </a:xfrm>
                          <a:prstGeom prst="rect">
                            <a:avLst/>
                          </a:prstGeom>
                          <a:noFill/>
                          <a:ln>
                            <a:noFill/>
                          </a:ln>
                        </pic:spPr>
                      </pic:pic>
                    </a:graphicData>
                  </a:graphic>
                </wp:inline>
              </w:drawing>
            </w:r>
          </w:p>
        </w:tc>
        <w:tc>
          <w:tcPr>
            <w:tcW w:w="906"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noProof/>
                <w:lang w:eastAsia="en-GB"/>
              </w:rPr>
              <w:drawing>
                <wp:inline distT="0" distB="0" distL="0" distR="0">
                  <wp:extent cx="429260" cy="387985"/>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29260" cy="387985"/>
                          </a:xfrm>
                          <a:prstGeom prst="rect">
                            <a:avLst/>
                          </a:prstGeom>
                          <a:noFill/>
                          <a:ln>
                            <a:noFill/>
                          </a:ln>
                        </pic:spPr>
                      </pic:pic>
                    </a:graphicData>
                  </a:graphic>
                </wp:inline>
              </w:drawing>
            </w:r>
          </w:p>
        </w:tc>
        <w:tc>
          <w:tcPr>
            <w:tcW w:w="1039"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noProof/>
                <w:lang w:eastAsia="en-GB"/>
              </w:rPr>
              <w:drawing>
                <wp:inline distT="0" distB="0" distL="0" distR="0">
                  <wp:extent cx="526415" cy="38798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6415" cy="38798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C"/>
              <w:rPr>
                <w:rFonts w:eastAsia="Batang"/>
              </w:rPr>
            </w:pPr>
            <w:r>
              <w:t>-</w:t>
            </w:r>
          </w:p>
        </w:tc>
        <w:tc>
          <w:tcPr>
            <w:tcW w:w="1140" w:type="dxa"/>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C"/>
              <w:rPr>
                <w:rFonts w:eastAsia="Batang"/>
              </w:rPr>
            </w:pPr>
            <w:r>
              <w:t>-</w:t>
            </w:r>
          </w:p>
        </w:tc>
      </w:tr>
    </w:tbl>
    <w:p w:rsidR="00BD360C" w:rsidRDefault="00BD360C" w:rsidP="00577EEA">
      <w:pPr>
        <w:rPr>
          <w:rFonts w:ascii="Times New Roman" w:hAnsi="Times New Roman" w:cs="Times New Roman"/>
          <w:sz w:val="20"/>
          <w:szCs w:val="20"/>
          <w:lang w:val="en-GB" w:eastAsia="en-US"/>
        </w:rPr>
      </w:pPr>
    </w:p>
    <w:p w:rsidR="00E113D3" w:rsidRPr="008C5EF3" w:rsidRDefault="00E113D3" w:rsidP="00577EEA">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In TS 38.212, we have this “precoding information and number of layers” in DCI format 0_1 to specify UE precoding operation with different coherence levels.</w:t>
      </w:r>
    </w:p>
    <w:p w:rsidR="008C5EF3" w:rsidRDefault="008C5EF3" w:rsidP="008C5EF3">
      <w:pPr>
        <w:pStyle w:val="TH"/>
        <w:overflowPunct w:val="0"/>
        <w:autoSpaceDE w:val="0"/>
        <w:autoSpaceDN w:val="0"/>
        <w:adjustRightInd w:val="0"/>
        <w:textAlignment w:val="baseline"/>
        <w:rPr>
          <w:rFonts w:eastAsia="SimSun" w:cs="Times New Roman"/>
          <w:sz w:val="20"/>
          <w:szCs w:val="20"/>
        </w:rPr>
      </w:pPr>
      <w:r>
        <w:t xml:space="preserve">Table 7.3.1.1.2-5: Precoding information and number of layers, for 2 antenna ports, if </w:t>
      </w:r>
      <w:r>
        <w:rPr>
          <w:i/>
        </w:rPr>
        <w:t>transformPrecoder= enabled</w:t>
      </w:r>
      <w:r>
        <w:t xml:space="preserve">, or if </w:t>
      </w:r>
      <w:r>
        <w:rPr>
          <w:i/>
        </w:rPr>
        <w:t xml:space="preserve">transformPrecoder= disabled </w:t>
      </w:r>
      <w:r>
        <w:t>and</w:t>
      </w:r>
      <w:r>
        <w:rPr>
          <w:i/>
          <w:iCs/>
        </w:rPr>
        <w:t xml:space="preserve"> maxRank</w:t>
      </w:r>
      <w:r>
        <w:rPr>
          <w:iCs/>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8C5EF3" w:rsidTr="008C5EF3">
        <w:trPr>
          <w:trHeight w:val="424"/>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r>
              <w:t>Bit field mapped to index</w:t>
            </w:r>
          </w:p>
        </w:tc>
        <w:tc>
          <w:tcPr>
            <w:tcW w:w="266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r>
              <w:rPr>
                <w:i/>
              </w:rPr>
              <w:t>codebookSubset</w:t>
            </w:r>
            <w:r>
              <w:t xml:space="preserve"> = </w:t>
            </w:r>
            <w:r>
              <w:rPr>
                <w:i/>
              </w:rPr>
              <w:t>fullyAndPartialAndNonCoherent</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r>
              <w:t>Bit field mapped to index</w:t>
            </w:r>
          </w:p>
        </w:tc>
        <w:tc>
          <w:tcPr>
            <w:tcW w:w="182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r>
              <w:rPr>
                <w:i/>
              </w:rPr>
              <w:t>codebookSubset</w:t>
            </w:r>
            <w:r>
              <w:t xml:space="preserve"> = </w:t>
            </w:r>
            <w:r>
              <w:rPr>
                <w:i/>
              </w:rPr>
              <w:t>nonCoherent</w:t>
            </w:r>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8C5EF3" w:rsidRDefault="008C5EF3">
            <w:pPr>
              <w:pStyle w:val="TAC"/>
            </w:pPr>
            <w:r>
              <w:t>0</w:t>
            </w:r>
          </w:p>
        </w:tc>
        <w:tc>
          <w:tcPr>
            <w:tcW w:w="2668" w:type="dxa"/>
            <w:tcBorders>
              <w:top w:val="single" w:sz="4" w:space="0" w:color="auto"/>
              <w:left w:val="single" w:sz="4" w:space="0" w:color="auto"/>
              <w:bottom w:val="single" w:sz="4" w:space="0" w:color="auto"/>
              <w:right w:val="single" w:sz="4" w:space="0" w:color="auto"/>
            </w:tcBorders>
            <w:hideMark/>
          </w:tcPr>
          <w:p w:rsidR="008C5EF3" w:rsidRDefault="008C5EF3">
            <w:pPr>
              <w:pStyle w:val="TAC"/>
            </w:pPr>
            <w:r>
              <w:t>1 layer: TPMI=0</w:t>
            </w:r>
          </w:p>
        </w:tc>
        <w:tc>
          <w:tcPr>
            <w:tcW w:w="910" w:type="dxa"/>
            <w:tcBorders>
              <w:top w:val="single" w:sz="4" w:space="0" w:color="auto"/>
              <w:left w:val="single" w:sz="4" w:space="0" w:color="auto"/>
              <w:bottom w:val="single" w:sz="4" w:space="0" w:color="auto"/>
              <w:right w:val="single" w:sz="4" w:space="0" w:color="auto"/>
            </w:tcBorders>
            <w:shd w:val="clear" w:color="auto" w:fill="D9D9D9"/>
            <w:hideMark/>
          </w:tcPr>
          <w:p w:rsidR="008C5EF3" w:rsidRDefault="008C5EF3">
            <w:pPr>
              <w:pStyle w:val="TAC"/>
              <w:rPr>
                <w:lang w:eastAsia="en-US"/>
              </w:rPr>
            </w:pPr>
            <w:r>
              <w:t>0</w:t>
            </w:r>
          </w:p>
        </w:tc>
        <w:tc>
          <w:tcPr>
            <w:tcW w:w="1828" w:type="dxa"/>
            <w:tcBorders>
              <w:top w:val="single" w:sz="4" w:space="0" w:color="auto"/>
              <w:left w:val="single" w:sz="4" w:space="0" w:color="auto"/>
              <w:bottom w:val="single" w:sz="4" w:space="0" w:color="auto"/>
              <w:right w:val="single" w:sz="4" w:space="0" w:color="auto"/>
            </w:tcBorders>
            <w:hideMark/>
          </w:tcPr>
          <w:p w:rsidR="008C5EF3" w:rsidRDefault="008C5EF3">
            <w:pPr>
              <w:pStyle w:val="TAC"/>
            </w:pPr>
            <w:r>
              <w:t>1 layer: TPMI=0</w:t>
            </w:r>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r>
              <w:t>1</w:t>
            </w:r>
          </w:p>
        </w:tc>
        <w:tc>
          <w:tcPr>
            <w:tcW w:w="2668" w:type="dxa"/>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C"/>
            </w:pPr>
            <w:r>
              <w:t>1 layer: TPMI=1</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rPr>
                <w:lang w:eastAsia="en-US"/>
              </w:rPr>
            </w:pPr>
            <w:r>
              <w:t>1</w:t>
            </w:r>
          </w:p>
        </w:tc>
        <w:tc>
          <w:tcPr>
            <w:tcW w:w="1828" w:type="dxa"/>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C"/>
            </w:pPr>
            <w:r>
              <w:t>1 layer: TPMI=1</w:t>
            </w:r>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r>
              <w:t>2</w:t>
            </w:r>
          </w:p>
        </w:tc>
        <w:tc>
          <w:tcPr>
            <w:tcW w:w="2668" w:type="dxa"/>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C"/>
            </w:pPr>
            <w:r>
              <w:t>1 layer: TPMI=2</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rsidR="008C5EF3" w:rsidRDefault="008C5EF3">
            <w:pPr>
              <w:pStyle w:val="TAC"/>
            </w:pPr>
          </w:p>
        </w:tc>
        <w:tc>
          <w:tcPr>
            <w:tcW w:w="1828" w:type="dxa"/>
            <w:tcBorders>
              <w:top w:val="single" w:sz="4" w:space="0" w:color="auto"/>
              <w:left w:val="single" w:sz="4" w:space="0" w:color="auto"/>
              <w:bottom w:val="single" w:sz="4" w:space="0" w:color="auto"/>
              <w:right w:val="single" w:sz="4" w:space="0" w:color="auto"/>
            </w:tcBorders>
            <w:vAlign w:val="center"/>
          </w:tcPr>
          <w:p w:rsidR="008C5EF3" w:rsidRDefault="008C5EF3">
            <w:pPr>
              <w:pStyle w:val="TAC"/>
            </w:pPr>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r>
              <w:t>3</w:t>
            </w:r>
          </w:p>
        </w:tc>
        <w:tc>
          <w:tcPr>
            <w:tcW w:w="2668" w:type="dxa"/>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C"/>
            </w:pPr>
            <w:r>
              <w:t>1 layer: TPMI=3</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rsidR="008C5EF3" w:rsidRDefault="008C5EF3">
            <w:pPr>
              <w:pStyle w:val="TAC"/>
              <w:rPr>
                <w:lang w:eastAsia="en-US"/>
              </w:rPr>
            </w:pPr>
          </w:p>
        </w:tc>
        <w:tc>
          <w:tcPr>
            <w:tcW w:w="1828" w:type="dxa"/>
            <w:tcBorders>
              <w:top w:val="single" w:sz="4" w:space="0" w:color="auto"/>
              <w:left w:val="single" w:sz="4" w:space="0" w:color="auto"/>
              <w:bottom w:val="single" w:sz="4" w:space="0" w:color="auto"/>
              <w:right w:val="single" w:sz="4" w:space="0" w:color="auto"/>
            </w:tcBorders>
            <w:vAlign w:val="center"/>
          </w:tcPr>
          <w:p w:rsidR="008C5EF3" w:rsidRDefault="008C5EF3">
            <w:pPr>
              <w:pStyle w:val="TAC"/>
            </w:pPr>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8C5EF3" w:rsidRDefault="008C5EF3">
            <w:pPr>
              <w:pStyle w:val="TAC"/>
            </w:pPr>
            <w:r>
              <w:t>4</w:t>
            </w:r>
          </w:p>
        </w:tc>
        <w:tc>
          <w:tcPr>
            <w:tcW w:w="2668" w:type="dxa"/>
            <w:tcBorders>
              <w:top w:val="single" w:sz="4" w:space="0" w:color="auto"/>
              <w:left w:val="single" w:sz="4" w:space="0" w:color="auto"/>
              <w:bottom w:val="single" w:sz="4" w:space="0" w:color="auto"/>
              <w:right w:val="single" w:sz="4" w:space="0" w:color="auto"/>
            </w:tcBorders>
            <w:hideMark/>
          </w:tcPr>
          <w:p w:rsidR="008C5EF3" w:rsidRDefault="008C5EF3">
            <w:pPr>
              <w:pStyle w:val="TAC"/>
            </w:pPr>
            <w:r>
              <w:t>1 layer: TPMI=4</w:t>
            </w:r>
          </w:p>
        </w:tc>
        <w:tc>
          <w:tcPr>
            <w:tcW w:w="910" w:type="dxa"/>
            <w:tcBorders>
              <w:top w:val="single" w:sz="4" w:space="0" w:color="auto"/>
              <w:left w:val="single" w:sz="4" w:space="0" w:color="auto"/>
              <w:bottom w:val="single" w:sz="4" w:space="0" w:color="auto"/>
              <w:right w:val="single" w:sz="4" w:space="0" w:color="auto"/>
            </w:tcBorders>
            <w:shd w:val="clear" w:color="auto" w:fill="D9D9D9"/>
          </w:tcPr>
          <w:p w:rsidR="008C5EF3" w:rsidRDefault="008C5EF3">
            <w:pPr>
              <w:pStyle w:val="TAC"/>
            </w:pPr>
          </w:p>
        </w:tc>
        <w:tc>
          <w:tcPr>
            <w:tcW w:w="1828" w:type="dxa"/>
            <w:tcBorders>
              <w:top w:val="single" w:sz="4" w:space="0" w:color="auto"/>
              <w:left w:val="single" w:sz="4" w:space="0" w:color="auto"/>
              <w:bottom w:val="single" w:sz="4" w:space="0" w:color="auto"/>
              <w:right w:val="single" w:sz="4" w:space="0" w:color="auto"/>
            </w:tcBorders>
          </w:tcPr>
          <w:p w:rsidR="008C5EF3" w:rsidRDefault="008C5EF3">
            <w:pPr>
              <w:pStyle w:val="TAC"/>
            </w:pPr>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8C5EF3" w:rsidRDefault="008C5EF3">
            <w:pPr>
              <w:pStyle w:val="TAC"/>
            </w:pPr>
            <w:r>
              <w:t>5</w:t>
            </w:r>
          </w:p>
        </w:tc>
        <w:tc>
          <w:tcPr>
            <w:tcW w:w="2668" w:type="dxa"/>
            <w:tcBorders>
              <w:top w:val="single" w:sz="4" w:space="0" w:color="auto"/>
              <w:left w:val="single" w:sz="4" w:space="0" w:color="auto"/>
              <w:bottom w:val="single" w:sz="4" w:space="0" w:color="auto"/>
              <w:right w:val="single" w:sz="4" w:space="0" w:color="auto"/>
            </w:tcBorders>
            <w:hideMark/>
          </w:tcPr>
          <w:p w:rsidR="008C5EF3" w:rsidRDefault="008C5EF3">
            <w:pPr>
              <w:pStyle w:val="TAC"/>
            </w:pPr>
            <w:r>
              <w:t>1 layer: TPMI=5</w:t>
            </w:r>
          </w:p>
        </w:tc>
        <w:tc>
          <w:tcPr>
            <w:tcW w:w="910" w:type="dxa"/>
            <w:tcBorders>
              <w:top w:val="single" w:sz="4" w:space="0" w:color="auto"/>
              <w:left w:val="single" w:sz="4" w:space="0" w:color="auto"/>
              <w:bottom w:val="single" w:sz="4" w:space="0" w:color="auto"/>
              <w:right w:val="single" w:sz="4" w:space="0" w:color="auto"/>
            </w:tcBorders>
            <w:shd w:val="clear" w:color="auto" w:fill="D9D9D9"/>
          </w:tcPr>
          <w:p w:rsidR="008C5EF3" w:rsidRDefault="008C5EF3">
            <w:pPr>
              <w:pStyle w:val="TAC"/>
            </w:pPr>
          </w:p>
        </w:tc>
        <w:tc>
          <w:tcPr>
            <w:tcW w:w="1828" w:type="dxa"/>
            <w:tcBorders>
              <w:top w:val="single" w:sz="4" w:space="0" w:color="auto"/>
              <w:left w:val="single" w:sz="4" w:space="0" w:color="auto"/>
              <w:bottom w:val="single" w:sz="4" w:space="0" w:color="auto"/>
              <w:right w:val="single" w:sz="4" w:space="0" w:color="auto"/>
            </w:tcBorders>
          </w:tcPr>
          <w:p w:rsidR="008C5EF3" w:rsidRDefault="008C5EF3">
            <w:pPr>
              <w:pStyle w:val="TAC"/>
            </w:pPr>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8C5EF3" w:rsidRDefault="008C5EF3">
            <w:pPr>
              <w:pStyle w:val="TAC"/>
            </w:pPr>
            <w:r>
              <w:t>6-7</w:t>
            </w:r>
          </w:p>
        </w:tc>
        <w:tc>
          <w:tcPr>
            <w:tcW w:w="2668" w:type="dxa"/>
            <w:tcBorders>
              <w:top w:val="single" w:sz="4" w:space="0" w:color="auto"/>
              <w:left w:val="single" w:sz="4" w:space="0" w:color="auto"/>
              <w:bottom w:val="single" w:sz="4" w:space="0" w:color="auto"/>
              <w:right w:val="single" w:sz="4" w:space="0" w:color="auto"/>
            </w:tcBorders>
            <w:hideMark/>
          </w:tcPr>
          <w:p w:rsidR="008C5EF3" w:rsidRDefault="008C5EF3">
            <w:pPr>
              <w:pStyle w:val="TAC"/>
            </w:pPr>
            <w:r>
              <w:t>reserved</w:t>
            </w:r>
          </w:p>
        </w:tc>
        <w:tc>
          <w:tcPr>
            <w:tcW w:w="910" w:type="dxa"/>
            <w:tcBorders>
              <w:top w:val="single" w:sz="4" w:space="0" w:color="auto"/>
              <w:left w:val="single" w:sz="4" w:space="0" w:color="auto"/>
              <w:bottom w:val="single" w:sz="4" w:space="0" w:color="auto"/>
              <w:right w:val="single" w:sz="4" w:space="0" w:color="auto"/>
            </w:tcBorders>
            <w:shd w:val="clear" w:color="auto" w:fill="D9D9D9"/>
          </w:tcPr>
          <w:p w:rsidR="008C5EF3" w:rsidRDefault="008C5EF3">
            <w:pPr>
              <w:pStyle w:val="TAC"/>
            </w:pPr>
          </w:p>
        </w:tc>
        <w:tc>
          <w:tcPr>
            <w:tcW w:w="1828" w:type="dxa"/>
            <w:tcBorders>
              <w:top w:val="single" w:sz="4" w:space="0" w:color="auto"/>
              <w:left w:val="single" w:sz="4" w:space="0" w:color="auto"/>
              <w:bottom w:val="single" w:sz="4" w:space="0" w:color="auto"/>
              <w:right w:val="single" w:sz="4" w:space="0" w:color="auto"/>
            </w:tcBorders>
          </w:tcPr>
          <w:p w:rsidR="008C5EF3" w:rsidRDefault="008C5EF3">
            <w:pPr>
              <w:pStyle w:val="TAC"/>
            </w:pPr>
          </w:p>
        </w:tc>
      </w:tr>
    </w:tbl>
    <w:p w:rsidR="00BD360C" w:rsidRDefault="00BD360C" w:rsidP="00577EEA">
      <w:pPr>
        <w:rPr>
          <w:rFonts w:ascii="Times New Roman" w:hAnsi="Times New Roman" w:cs="Times New Roman"/>
          <w:sz w:val="20"/>
          <w:szCs w:val="20"/>
          <w:u w:val="single"/>
          <w:lang w:val="en-GB" w:eastAsia="en-US"/>
        </w:rPr>
      </w:pPr>
    </w:p>
    <w:p w:rsidR="008C5EF3" w:rsidRDefault="008C5EF3" w:rsidP="00C44F3A">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lastRenderedPageBreak/>
        <w:t>The “precoding information and number of layers” of DCI</w:t>
      </w:r>
      <w:r w:rsidR="00E113D3">
        <w:rPr>
          <w:rFonts w:ascii="Times New Roman" w:hAnsi="Times New Roman" w:cs="Times New Roman"/>
          <w:sz w:val="20"/>
          <w:szCs w:val="20"/>
          <w:lang w:val="en-GB" w:eastAsia="en-US"/>
        </w:rPr>
        <w:t xml:space="preserve"> format 0_1</w:t>
      </w:r>
      <w:r>
        <w:rPr>
          <w:rFonts w:ascii="Times New Roman" w:hAnsi="Times New Roman" w:cs="Times New Roman"/>
          <w:sz w:val="20"/>
          <w:szCs w:val="20"/>
          <w:lang w:val="en-GB" w:eastAsia="en-US"/>
        </w:rPr>
        <w:t xml:space="preserve"> is also show here. When the non-coherent codebook is selected, there are only two TPMI=0, and 1, related to the two precoders:</w:t>
      </w:r>
    </w:p>
    <w:p w:rsidR="00C44F3A" w:rsidRDefault="00C44F3A" w:rsidP="00C44F3A">
      <w:pPr>
        <w:jc w:val="center"/>
        <w:rPr>
          <w:rFonts w:ascii="Times New Roman" w:hAnsi="Times New Roman" w:cs="Times New Roman"/>
          <w:sz w:val="20"/>
          <w:szCs w:val="20"/>
          <w:lang w:val="en-GB" w:eastAsia="en-US"/>
        </w:rPr>
      </w:pPr>
      <w:r>
        <w:rPr>
          <w:rFonts w:eastAsia="Batang" w:cs="Times New Roman"/>
          <w:position w:val="-26"/>
          <w:szCs w:val="20"/>
          <w:lang w:val="en-GB" w:eastAsia="en-US"/>
        </w:rPr>
        <w:object w:dxaOrig="648" w:dyaOrig="612">
          <v:shape id="_x0000_i1036" type="#_x0000_t75" style="width:32.4pt;height:30.6pt" o:ole="">
            <v:imagedata r:id="rId30" o:title=""/>
          </v:shape>
          <o:OLEObject Type="Embed" ProgID="Equation.3" ShapeID="_x0000_i1036" DrawAspect="Content" ObjectID="_1608709572" r:id="rId38"/>
        </w:object>
      </w:r>
      <w:r>
        <w:rPr>
          <w:rFonts w:eastAsia="Batang" w:cs="Times New Roman"/>
          <w:szCs w:val="20"/>
          <w:lang w:val="en-GB" w:eastAsia="en-US"/>
        </w:rPr>
        <w:t xml:space="preserve">, </w:t>
      </w:r>
      <w:r>
        <w:rPr>
          <w:rFonts w:eastAsia="Batang" w:cs="Times New Roman"/>
          <w:position w:val="-26"/>
          <w:szCs w:val="20"/>
          <w:lang w:val="en-GB" w:eastAsia="en-US"/>
        </w:rPr>
        <w:object w:dxaOrig="648" w:dyaOrig="612">
          <v:shape id="_x0000_i1037" type="#_x0000_t75" style="width:32.4pt;height:30.6pt" o:ole="">
            <v:imagedata r:id="rId32" o:title=""/>
          </v:shape>
          <o:OLEObject Type="Embed" ProgID="Equation.3" ShapeID="_x0000_i1037" DrawAspect="Content" ObjectID="_1608709573" r:id="rId39"/>
        </w:object>
      </w:r>
    </w:p>
    <w:p w:rsidR="008C5EF3" w:rsidRDefault="00641FCC" w:rsidP="00C44F3A">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We may adjust the codebook to let non-coherent codebook also</w:t>
      </w:r>
      <w:r w:rsidR="00C44F3A">
        <w:rPr>
          <w:rFonts w:ascii="Times New Roman" w:hAnsi="Times New Roman" w:cs="Times New Roman"/>
          <w:sz w:val="20"/>
          <w:szCs w:val="20"/>
          <w:lang w:val="en-GB" w:eastAsia="en-US"/>
        </w:rPr>
        <w:t xml:space="preserve"> supports this</w:t>
      </w:r>
      <w:r>
        <w:rPr>
          <w:rFonts w:ascii="Times New Roman" w:hAnsi="Times New Roman" w:cs="Times New Roman"/>
          <w:sz w:val="20"/>
          <w:szCs w:val="20"/>
          <w:lang w:val="en-GB" w:eastAsia="en-US"/>
        </w:rPr>
        <w:t xml:space="preserve"> precoder </w:t>
      </w:r>
    </w:p>
    <w:p w:rsidR="00C44F3A" w:rsidRDefault="00C44F3A" w:rsidP="00C44F3A">
      <w:pPr>
        <w:jc w:val="center"/>
        <w:rPr>
          <w:rFonts w:ascii="Times New Roman" w:hAnsi="Times New Roman" w:cs="Times New Roman"/>
          <w:sz w:val="20"/>
          <w:szCs w:val="20"/>
          <w:lang w:val="en-GB" w:eastAsia="en-US"/>
        </w:rPr>
      </w:pPr>
      <w:r>
        <w:rPr>
          <w:rFonts w:eastAsia="Batang"/>
          <w:noProof/>
          <w:lang w:eastAsia="en-GB"/>
        </w:rPr>
        <w:drawing>
          <wp:inline distT="0" distB="0" distL="0" distR="0" wp14:anchorId="11E7B01B" wp14:editId="005BBD26">
            <wp:extent cx="408940" cy="3879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08940" cy="387985"/>
                    </a:xfrm>
                    <a:prstGeom prst="rect">
                      <a:avLst/>
                    </a:prstGeom>
                    <a:noFill/>
                    <a:ln>
                      <a:noFill/>
                    </a:ln>
                  </pic:spPr>
                </pic:pic>
              </a:graphicData>
            </a:graphic>
          </wp:inline>
        </w:drawing>
      </w:r>
    </w:p>
    <w:p w:rsidR="008C5EF3" w:rsidRDefault="00641FCC" w:rsidP="004A5B59">
      <w:pPr>
        <w:jc w:val="both"/>
        <w:rPr>
          <w:rFonts w:ascii="Times New Roman" w:hAnsi="Times New Roman" w:cs="Times New Roman"/>
          <w:sz w:val="20"/>
          <w:szCs w:val="20"/>
          <w:lang w:val="en-GB" w:eastAsia="en-US"/>
        </w:rPr>
      </w:pPr>
      <w:r w:rsidRPr="00641FCC">
        <w:rPr>
          <w:rFonts w:ascii="Times New Roman" w:hAnsi="Times New Roman" w:cs="Times New Roman"/>
          <w:sz w:val="20"/>
          <w:szCs w:val="20"/>
          <w:lang w:val="en-GB" w:eastAsia="en-US"/>
        </w:rPr>
        <w:t>with TPMI=2</w:t>
      </w:r>
      <w:r>
        <w:rPr>
          <w:rFonts w:ascii="Times New Roman" w:hAnsi="Times New Roman" w:cs="Times New Roman"/>
          <w:sz w:val="20"/>
          <w:szCs w:val="20"/>
          <w:lang w:val="en-GB" w:eastAsia="en-US"/>
        </w:rPr>
        <w:t xml:space="preserve"> for single layer transmission. </w:t>
      </w:r>
      <w:r w:rsidR="004A5B59">
        <w:rPr>
          <w:rFonts w:ascii="Times New Roman" w:hAnsi="Times New Roman" w:cs="Times New Roman"/>
          <w:sz w:val="20"/>
          <w:szCs w:val="20"/>
          <w:lang w:val="en-GB" w:eastAsia="en-US"/>
        </w:rPr>
        <w:t>With this approach, UE can still use their two Tx ports for rank-1 transmission even though these two Tx ports are not coherent. If the UE has its maximum power limit at 20dBm per Tx port, the full 23dBm transmission power can be reached with two non-coherent transmission. Similar approach can be extended to other rank</w:t>
      </w:r>
      <w:r w:rsidR="00E74FD1">
        <w:rPr>
          <w:rFonts w:ascii="Times New Roman" w:hAnsi="Times New Roman" w:cs="Times New Roman"/>
          <w:sz w:val="20"/>
          <w:szCs w:val="20"/>
          <w:lang w:val="en-GB" w:eastAsia="en-US"/>
        </w:rPr>
        <w:t>s and 4Tx-port transmission.</w:t>
      </w:r>
    </w:p>
    <w:p w:rsidR="004A5B59" w:rsidRDefault="00E74FD1" w:rsidP="004A5B59">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The cost is the expanding of the size of non-coherent codebook size. In the 2Tx rank-1 transmission case, one more precoder will be added, which will increase the size of “precoding information and number of layers” in DCI from 1-bit to 2-bits.</w:t>
      </w:r>
    </w:p>
    <w:p w:rsidR="00E113D3" w:rsidRDefault="00E113D3" w:rsidP="004A5B59">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For 4Tx rank-1 operation, we can follow the similar approach to include necessary precoders for partial/non-coherent codebook. One solution is to revise Table 7.3.1.1.2-3 of TS 38.212 with:</w:t>
      </w:r>
    </w:p>
    <w:p w:rsidR="00E113D3" w:rsidRDefault="00E113D3" w:rsidP="00E113D3">
      <w:pPr>
        <w:pStyle w:val="TH"/>
        <w:overflowPunct w:val="0"/>
        <w:autoSpaceDE w:val="0"/>
        <w:autoSpaceDN w:val="0"/>
        <w:adjustRightInd w:val="0"/>
        <w:textAlignment w:val="baseline"/>
      </w:pPr>
      <w:r>
        <w:t xml:space="preserve">Table 7.3.1.1.2-3: Precoding information and number of layers for 4 antenna ports, if </w:t>
      </w:r>
      <w:r>
        <w:rPr>
          <w:i/>
        </w:rPr>
        <w:t>transformPrecoder= enabled</w:t>
      </w:r>
      <w:r>
        <w:t xml:space="preserve">, or if </w:t>
      </w:r>
      <w:r>
        <w:rPr>
          <w:i/>
        </w:rPr>
        <w:t>transformPrecoder=disabled</w:t>
      </w:r>
      <w:r>
        <w:t xml:space="preserve"> and </w:t>
      </w:r>
      <w:r>
        <w:rPr>
          <w:i/>
          <w:iCs/>
        </w:rPr>
        <w:t>maxRank</w:t>
      </w:r>
      <w:r>
        <w:rPr>
          <w:iCs/>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E113D3" w:rsidTr="00174E33">
        <w:trPr>
          <w:trHeight w:val="424"/>
          <w:jc w:val="center"/>
        </w:trPr>
        <w:tc>
          <w:tcPr>
            <w:tcW w:w="9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Bit field mapped to index</w:t>
            </w:r>
          </w:p>
        </w:tc>
        <w:tc>
          <w:tcPr>
            <w:tcW w:w="27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rPr>
                <w:i/>
              </w:rPr>
              <w:t>codebookSubset</w:t>
            </w:r>
            <w:r>
              <w:t xml:space="preserve"> = </w:t>
            </w:r>
            <w:r>
              <w:rPr>
                <w:i/>
              </w:rPr>
              <w:t>fullyAndPartialAndNonCoherent</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Bit field mapped to index</w:t>
            </w:r>
          </w:p>
        </w:tc>
        <w:tc>
          <w:tcPr>
            <w:tcW w:w="209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rPr>
                <w:i/>
              </w:rPr>
              <w:t>codebookSubset</w:t>
            </w:r>
            <w:r>
              <w:t xml:space="preserve">= </w:t>
            </w:r>
            <w:r>
              <w:rPr>
                <w:i/>
              </w:rPr>
              <w:t>partialAndNonCoherent</w:t>
            </w:r>
          </w:p>
        </w:tc>
        <w:tc>
          <w:tcPr>
            <w:tcW w:w="92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Bit field mapped to index</w:t>
            </w:r>
          </w:p>
        </w:tc>
        <w:tc>
          <w:tcPr>
            <w:tcW w:w="178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rPr>
                <w:i/>
              </w:rPr>
              <w:t>codebookSubset</w:t>
            </w:r>
            <w:r>
              <w:t xml:space="preserve">= </w:t>
            </w:r>
            <w:r>
              <w:rPr>
                <w:i/>
              </w:rPr>
              <w:t>nonCoherent</w:t>
            </w: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0</w:t>
            </w:r>
          </w:p>
        </w:tc>
        <w:tc>
          <w:tcPr>
            <w:tcW w:w="275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1 layer: TPMI=0</w:t>
            </w:r>
          </w:p>
        </w:tc>
        <w:tc>
          <w:tcPr>
            <w:tcW w:w="904"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0</w:t>
            </w:r>
          </w:p>
        </w:tc>
        <w:tc>
          <w:tcPr>
            <w:tcW w:w="209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1 layer: TPMI=0</w:t>
            </w:r>
          </w:p>
        </w:tc>
        <w:tc>
          <w:tcPr>
            <w:tcW w:w="924"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0</w:t>
            </w:r>
          </w:p>
        </w:tc>
        <w:tc>
          <w:tcPr>
            <w:tcW w:w="1786"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1 layer: TPMI=0</w:t>
            </w: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1</w:t>
            </w:r>
          </w:p>
        </w:tc>
        <w:tc>
          <w:tcPr>
            <w:tcW w:w="2758" w:type="dxa"/>
            <w:tcBorders>
              <w:top w:val="single" w:sz="4" w:space="0" w:color="auto"/>
              <w:left w:val="single" w:sz="4" w:space="0" w:color="auto"/>
              <w:bottom w:val="single" w:sz="4" w:space="0" w:color="auto"/>
              <w:right w:val="single" w:sz="4" w:space="0" w:color="auto"/>
            </w:tcBorders>
            <w:vAlign w:val="center"/>
            <w:hideMark/>
          </w:tcPr>
          <w:p w:rsidR="00E113D3" w:rsidRDefault="00E113D3" w:rsidP="00174E33">
            <w:pPr>
              <w:pStyle w:val="TAC"/>
            </w:pPr>
            <w:r>
              <w:t>1 layer: TPMI=1</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1</w:t>
            </w:r>
          </w:p>
        </w:tc>
        <w:tc>
          <w:tcPr>
            <w:tcW w:w="2098" w:type="dxa"/>
            <w:tcBorders>
              <w:top w:val="single" w:sz="4" w:space="0" w:color="auto"/>
              <w:left w:val="single" w:sz="4" w:space="0" w:color="auto"/>
              <w:bottom w:val="single" w:sz="4" w:space="0" w:color="auto"/>
              <w:right w:val="single" w:sz="4" w:space="0" w:color="auto"/>
            </w:tcBorders>
            <w:vAlign w:val="center"/>
            <w:hideMark/>
          </w:tcPr>
          <w:p w:rsidR="00E113D3" w:rsidRDefault="00E113D3" w:rsidP="00174E33">
            <w:pPr>
              <w:pStyle w:val="TAC"/>
            </w:pPr>
            <w:r>
              <w:t>1 layer: TPMI=1</w:t>
            </w:r>
          </w:p>
        </w:tc>
        <w:tc>
          <w:tcPr>
            <w:tcW w:w="92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1</w:t>
            </w:r>
          </w:p>
        </w:tc>
        <w:tc>
          <w:tcPr>
            <w:tcW w:w="1786" w:type="dxa"/>
            <w:tcBorders>
              <w:top w:val="single" w:sz="4" w:space="0" w:color="auto"/>
              <w:left w:val="single" w:sz="4" w:space="0" w:color="auto"/>
              <w:bottom w:val="single" w:sz="4" w:space="0" w:color="auto"/>
              <w:right w:val="single" w:sz="4" w:space="0" w:color="auto"/>
            </w:tcBorders>
            <w:vAlign w:val="center"/>
            <w:hideMark/>
          </w:tcPr>
          <w:p w:rsidR="00E113D3" w:rsidRDefault="00E113D3" w:rsidP="00174E33">
            <w:pPr>
              <w:pStyle w:val="TAC"/>
            </w:pPr>
            <w:r>
              <w:t>1 layer: TPMI=1</w:t>
            </w: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w:t>
            </w:r>
          </w:p>
        </w:tc>
        <w:tc>
          <w:tcPr>
            <w:tcW w:w="2758" w:type="dxa"/>
            <w:tcBorders>
              <w:top w:val="single" w:sz="4" w:space="0" w:color="auto"/>
              <w:left w:val="single" w:sz="4" w:space="0" w:color="auto"/>
              <w:bottom w:val="single" w:sz="4" w:space="0" w:color="auto"/>
              <w:right w:val="single" w:sz="4" w:space="0" w:color="auto"/>
            </w:tcBorders>
            <w:vAlign w:val="center"/>
            <w:hideMark/>
          </w:tcPr>
          <w:p w:rsidR="00E113D3" w:rsidRDefault="00E113D3" w:rsidP="00174E33">
            <w:pPr>
              <w:pStyle w:val="TAC"/>
            </w:pPr>
            <w:r>
              <w:t>…</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w:t>
            </w:r>
          </w:p>
        </w:tc>
        <w:tc>
          <w:tcPr>
            <w:tcW w:w="2098" w:type="dxa"/>
            <w:tcBorders>
              <w:top w:val="single" w:sz="4" w:space="0" w:color="auto"/>
              <w:left w:val="single" w:sz="4" w:space="0" w:color="auto"/>
              <w:bottom w:val="single" w:sz="4" w:space="0" w:color="auto"/>
              <w:right w:val="single" w:sz="4" w:space="0" w:color="auto"/>
            </w:tcBorders>
            <w:vAlign w:val="center"/>
            <w:hideMark/>
          </w:tcPr>
          <w:p w:rsidR="00E113D3" w:rsidRDefault="00E113D3" w:rsidP="00174E33">
            <w:pPr>
              <w:pStyle w:val="TAC"/>
            </w:pPr>
            <w:r>
              <w:t>…</w:t>
            </w:r>
          </w:p>
        </w:tc>
        <w:tc>
          <w:tcPr>
            <w:tcW w:w="92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w:t>
            </w:r>
          </w:p>
        </w:tc>
        <w:tc>
          <w:tcPr>
            <w:tcW w:w="1786" w:type="dxa"/>
            <w:tcBorders>
              <w:top w:val="single" w:sz="4" w:space="0" w:color="auto"/>
              <w:left w:val="single" w:sz="4" w:space="0" w:color="auto"/>
              <w:bottom w:val="single" w:sz="4" w:space="0" w:color="auto"/>
              <w:right w:val="single" w:sz="4" w:space="0" w:color="auto"/>
            </w:tcBorders>
            <w:vAlign w:val="center"/>
            <w:hideMark/>
          </w:tcPr>
          <w:p w:rsidR="00E113D3" w:rsidRDefault="00E113D3" w:rsidP="00174E33">
            <w:pPr>
              <w:pStyle w:val="TAC"/>
            </w:pPr>
            <w:r>
              <w:t>…</w:t>
            </w: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3</w:t>
            </w:r>
          </w:p>
        </w:tc>
        <w:tc>
          <w:tcPr>
            <w:tcW w:w="2758" w:type="dxa"/>
            <w:tcBorders>
              <w:top w:val="single" w:sz="4" w:space="0" w:color="auto"/>
              <w:left w:val="single" w:sz="4" w:space="0" w:color="auto"/>
              <w:bottom w:val="single" w:sz="4" w:space="0" w:color="auto"/>
              <w:right w:val="single" w:sz="4" w:space="0" w:color="auto"/>
            </w:tcBorders>
            <w:vAlign w:val="center"/>
            <w:hideMark/>
          </w:tcPr>
          <w:p w:rsidR="00E113D3" w:rsidRDefault="00E113D3" w:rsidP="00174E33">
            <w:pPr>
              <w:pStyle w:val="TAC"/>
            </w:pPr>
            <w:r>
              <w:t>1 layer: TPMI=3</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3</w:t>
            </w:r>
          </w:p>
        </w:tc>
        <w:tc>
          <w:tcPr>
            <w:tcW w:w="2098" w:type="dxa"/>
            <w:tcBorders>
              <w:top w:val="single" w:sz="4" w:space="0" w:color="auto"/>
              <w:left w:val="single" w:sz="4" w:space="0" w:color="auto"/>
              <w:bottom w:val="single" w:sz="4" w:space="0" w:color="auto"/>
              <w:right w:val="single" w:sz="4" w:space="0" w:color="auto"/>
            </w:tcBorders>
            <w:vAlign w:val="center"/>
            <w:hideMark/>
          </w:tcPr>
          <w:p w:rsidR="00E113D3" w:rsidRDefault="00E113D3" w:rsidP="00174E33">
            <w:pPr>
              <w:pStyle w:val="TAC"/>
            </w:pPr>
            <w:r>
              <w:t>1 layer: TPMI=3</w:t>
            </w:r>
          </w:p>
        </w:tc>
        <w:tc>
          <w:tcPr>
            <w:tcW w:w="92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3</w:t>
            </w:r>
          </w:p>
        </w:tc>
        <w:tc>
          <w:tcPr>
            <w:tcW w:w="1786" w:type="dxa"/>
            <w:tcBorders>
              <w:top w:val="single" w:sz="4" w:space="0" w:color="auto"/>
              <w:left w:val="single" w:sz="4" w:space="0" w:color="auto"/>
              <w:bottom w:val="single" w:sz="4" w:space="0" w:color="auto"/>
              <w:right w:val="single" w:sz="4" w:space="0" w:color="auto"/>
            </w:tcBorders>
            <w:vAlign w:val="center"/>
            <w:hideMark/>
          </w:tcPr>
          <w:p w:rsidR="00E113D3" w:rsidRDefault="00E113D3" w:rsidP="00174E33">
            <w:pPr>
              <w:pStyle w:val="TAC"/>
            </w:pPr>
            <w:r>
              <w:t>1 layer: TPMI=3</w:t>
            </w: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4</w:t>
            </w:r>
          </w:p>
        </w:tc>
        <w:tc>
          <w:tcPr>
            <w:tcW w:w="275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1 layer: TPMI=4</w:t>
            </w:r>
          </w:p>
        </w:tc>
        <w:tc>
          <w:tcPr>
            <w:tcW w:w="904"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4</w:t>
            </w:r>
          </w:p>
        </w:tc>
        <w:tc>
          <w:tcPr>
            <w:tcW w:w="209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1 layer: TPMI=4</w:t>
            </w: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E113D3" w:rsidRPr="00EC4D55" w:rsidRDefault="00E113D3" w:rsidP="00174E33">
            <w:pPr>
              <w:pStyle w:val="TAC"/>
              <w:rPr>
                <w:highlight w:val="yellow"/>
              </w:rPr>
            </w:pPr>
            <w:r w:rsidRPr="00EC4D55">
              <w:rPr>
                <w:highlight w:val="yellow"/>
              </w:rPr>
              <w:t>4</w:t>
            </w:r>
          </w:p>
        </w:tc>
        <w:tc>
          <w:tcPr>
            <w:tcW w:w="1786" w:type="dxa"/>
            <w:tcBorders>
              <w:top w:val="single" w:sz="4" w:space="0" w:color="auto"/>
              <w:left w:val="single" w:sz="4" w:space="0" w:color="auto"/>
              <w:bottom w:val="single" w:sz="4" w:space="0" w:color="auto"/>
              <w:right w:val="single" w:sz="4" w:space="0" w:color="auto"/>
            </w:tcBorders>
          </w:tcPr>
          <w:p w:rsidR="00E113D3" w:rsidRPr="00EC4D55" w:rsidRDefault="00E113D3" w:rsidP="00174E33">
            <w:pPr>
              <w:pStyle w:val="TAC"/>
              <w:rPr>
                <w:highlight w:val="yellow"/>
              </w:rPr>
            </w:pPr>
            <w:r w:rsidRPr="00EC4D55">
              <w:rPr>
                <w:highlight w:val="yellow"/>
              </w:rPr>
              <w:t>1 layer: TPMI=4</w:t>
            </w: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w:t>
            </w:r>
          </w:p>
        </w:tc>
        <w:tc>
          <w:tcPr>
            <w:tcW w:w="275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w:t>
            </w:r>
          </w:p>
        </w:tc>
        <w:tc>
          <w:tcPr>
            <w:tcW w:w="904"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w:t>
            </w:r>
          </w:p>
        </w:tc>
        <w:tc>
          <w:tcPr>
            <w:tcW w:w="209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w:t>
            </w: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E113D3" w:rsidRPr="00EC4D55" w:rsidRDefault="00E113D3" w:rsidP="00174E33">
            <w:pPr>
              <w:pStyle w:val="TAC"/>
              <w:rPr>
                <w:highlight w:val="yellow"/>
              </w:rPr>
            </w:pPr>
            <w:r w:rsidRPr="00EC4D55">
              <w:rPr>
                <w:highlight w:val="yellow"/>
              </w:rPr>
              <w:t>5</w:t>
            </w:r>
          </w:p>
        </w:tc>
        <w:tc>
          <w:tcPr>
            <w:tcW w:w="1786" w:type="dxa"/>
            <w:tcBorders>
              <w:top w:val="single" w:sz="4" w:space="0" w:color="auto"/>
              <w:left w:val="single" w:sz="4" w:space="0" w:color="auto"/>
              <w:bottom w:val="single" w:sz="4" w:space="0" w:color="auto"/>
              <w:right w:val="single" w:sz="4" w:space="0" w:color="auto"/>
            </w:tcBorders>
          </w:tcPr>
          <w:p w:rsidR="00E113D3" w:rsidRPr="00EC4D55" w:rsidRDefault="00E113D3" w:rsidP="00174E33">
            <w:pPr>
              <w:pStyle w:val="TAC"/>
              <w:rPr>
                <w:highlight w:val="yellow"/>
              </w:rPr>
            </w:pPr>
            <w:r w:rsidRPr="00EC4D55">
              <w:rPr>
                <w:highlight w:val="yellow"/>
              </w:rPr>
              <w:t>1 layer: TPMI=8</w:t>
            </w: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11</w:t>
            </w:r>
          </w:p>
        </w:tc>
        <w:tc>
          <w:tcPr>
            <w:tcW w:w="275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1 layer: TPMI=11</w:t>
            </w:r>
          </w:p>
        </w:tc>
        <w:tc>
          <w:tcPr>
            <w:tcW w:w="904"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11</w:t>
            </w:r>
          </w:p>
        </w:tc>
        <w:tc>
          <w:tcPr>
            <w:tcW w:w="209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1 layer: TPMI=11</w:t>
            </w: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E113D3" w:rsidRPr="00EC4D55" w:rsidRDefault="00E113D3" w:rsidP="00174E33">
            <w:pPr>
              <w:pStyle w:val="TAC"/>
              <w:rPr>
                <w:highlight w:val="yellow"/>
              </w:rPr>
            </w:pPr>
            <w:r w:rsidRPr="00EC4D55">
              <w:rPr>
                <w:highlight w:val="yellow"/>
              </w:rPr>
              <w:t>6</w:t>
            </w:r>
          </w:p>
        </w:tc>
        <w:tc>
          <w:tcPr>
            <w:tcW w:w="1786" w:type="dxa"/>
            <w:tcBorders>
              <w:top w:val="single" w:sz="4" w:space="0" w:color="auto"/>
              <w:left w:val="single" w:sz="4" w:space="0" w:color="auto"/>
              <w:bottom w:val="single" w:sz="4" w:space="0" w:color="auto"/>
              <w:right w:val="single" w:sz="4" w:space="0" w:color="auto"/>
            </w:tcBorders>
          </w:tcPr>
          <w:p w:rsidR="00E113D3" w:rsidRPr="00EC4D55" w:rsidRDefault="00E113D3" w:rsidP="00174E33">
            <w:pPr>
              <w:pStyle w:val="TAC"/>
              <w:rPr>
                <w:highlight w:val="yellow"/>
              </w:rPr>
            </w:pPr>
            <w:r w:rsidRPr="00EC4D55">
              <w:rPr>
                <w:highlight w:val="yellow"/>
              </w:rPr>
              <w:t>1 layer: TPMI=12</w:t>
            </w: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12</w:t>
            </w:r>
          </w:p>
        </w:tc>
        <w:tc>
          <w:tcPr>
            <w:tcW w:w="275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1 layers: TPMI=12</w:t>
            </w:r>
          </w:p>
        </w:tc>
        <w:tc>
          <w:tcPr>
            <w:tcW w:w="904" w:type="dxa"/>
            <w:tcBorders>
              <w:top w:val="single" w:sz="4" w:space="0" w:color="auto"/>
              <w:left w:val="single" w:sz="4" w:space="0" w:color="auto"/>
              <w:bottom w:val="single" w:sz="4" w:space="0" w:color="auto"/>
              <w:right w:val="single" w:sz="4" w:space="0" w:color="auto"/>
            </w:tcBorders>
            <w:shd w:val="clear" w:color="auto" w:fill="D9D9D9"/>
            <w:hideMark/>
          </w:tcPr>
          <w:p w:rsidR="00E113D3" w:rsidRPr="00EC4D55" w:rsidRDefault="00E113D3" w:rsidP="00174E33">
            <w:pPr>
              <w:pStyle w:val="TAC"/>
              <w:rPr>
                <w:strike/>
                <w:highlight w:val="yellow"/>
              </w:rPr>
            </w:pPr>
            <w:r w:rsidRPr="00EC4D55">
              <w:rPr>
                <w:strike/>
                <w:highlight w:val="yellow"/>
              </w:rPr>
              <w:t>12-15</w:t>
            </w:r>
          </w:p>
        </w:tc>
        <w:tc>
          <w:tcPr>
            <w:tcW w:w="2098" w:type="dxa"/>
            <w:tcBorders>
              <w:top w:val="single" w:sz="4" w:space="0" w:color="auto"/>
              <w:left w:val="single" w:sz="4" w:space="0" w:color="auto"/>
              <w:bottom w:val="single" w:sz="4" w:space="0" w:color="auto"/>
              <w:right w:val="single" w:sz="4" w:space="0" w:color="auto"/>
            </w:tcBorders>
            <w:hideMark/>
          </w:tcPr>
          <w:p w:rsidR="00E113D3" w:rsidRPr="00EC4D55" w:rsidRDefault="00E113D3" w:rsidP="00174E33">
            <w:pPr>
              <w:pStyle w:val="TAC"/>
              <w:rPr>
                <w:strike/>
                <w:highlight w:val="yellow"/>
              </w:rPr>
            </w:pPr>
            <w:r w:rsidRPr="00EC4D55">
              <w:rPr>
                <w:strike/>
                <w:highlight w:val="yellow"/>
              </w:rPr>
              <w:t>reserved</w:t>
            </w: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E113D3" w:rsidRPr="00EC4D55" w:rsidRDefault="00E113D3" w:rsidP="00174E33">
            <w:pPr>
              <w:pStyle w:val="TAC"/>
              <w:rPr>
                <w:highlight w:val="yellow"/>
              </w:rPr>
            </w:pPr>
            <w:r w:rsidRPr="00EC4D55">
              <w:rPr>
                <w:highlight w:val="yellow"/>
              </w:rPr>
              <w:t>7</w:t>
            </w:r>
          </w:p>
        </w:tc>
        <w:tc>
          <w:tcPr>
            <w:tcW w:w="1786" w:type="dxa"/>
            <w:tcBorders>
              <w:top w:val="single" w:sz="4" w:space="0" w:color="auto"/>
              <w:left w:val="single" w:sz="4" w:space="0" w:color="auto"/>
              <w:bottom w:val="single" w:sz="4" w:space="0" w:color="auto"/>
              <w:right w:val="single" w:sz="4" w:space="0" w:color="auto"/>
            </w:tcBorders>
          </w:tcPr>
          <w:p w:rsidR="00E113D3" w:rsidRPr="00EC4D55" w:rsidRDefault="00E113D3" w:rsidP="00174E33">
            <w:pPr>
              <w:pStyle w:val="TAC"/>
              <w:rPr>
                <w:highlight w:val="yellow"/>
              </w:rPr>
            </w:pPr>
            <w:r w:rsidRPr="00EC4D55">
              <w:rPr>
                <w:highlight w:val="yellow"/>
              </w:rPr>
              <w:t>reserved</w:t>
            </w: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w:t>
            </w:r>
          </w:p>
        </w:tc>
        <w:tc>
          <w:tcPr>
            <w:tcW w:w="275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w:t>
            </w:r>
          </w:p>
        </w:tc>
        <w:tc>
          <w:tcPr>
            <w:tcW w:w="904" w:type="dxa"/>
            <w:tcBorders>
              <w:top w:val="single" w:sz="4" w:space="0" w:color="auto"/>
              <w:left w:val="single" w:sz="4" w:space="0" w:color="auto"/>
              <w:bottom w:val="single" w:sz="4" w:space="0" w:color="auto"/>
              <w:right w:val="single" w:sz="4" w:space="0" w:color="auto"/>
            </w:tcBorders>
            <w:shd w:val="clear" w:color="auto" w:fill="D9D9D9"/>
          </w:tcPr>
          <w:p w:rsidR="00E113D3" w:rsidRPr="00EC4D55" w:rsidRDefault="00E113D3" w:rsidP="00174E33">
            <w:pPr>
              <w:pStyle w:val="TAC"/>
              <w:rPr>
                <w:highlight w:val="yellow"/>
              </w:rPr>
            </w:pPr>
            <w:r w:rsidRPr="00EC4D55">
              <w:rPr>
                <w:highlight w:val="yellow"/>
              </w:rPr>
              <w:t>12</w:t>
            </w:r>
          </w:p>
        </w:tc>
        <w:tc>
          <w:tcPr>
            <w:tcW w:w="2098" w:type="dxa"/>
            <w:tcBorders>
              <w:top w:val="single" w:sz="4" w:space="0" w:color="auto"/>
              <w:left w:val="single" w:sz="4" w:space="0" w:color="auto"/>
              <w:bottom w:val="single" w:sz="4" w:space="0" w:color="auto"/>
              <w:right w:val="single" w:sz="4" w:space="0" w:color="auto"/>
            </w:tcBorders>
          </w:tcPr>
          <w:p w:rsidR="00E113D3" w:rsidRPr="00EC4D55" w:rsidRDefault="00E113D3" w:rsidP="00174E33">
            <w:pPr>
              <w:pStyle w:val="TAC"/>
              <w:rPr>
                <w:highlight w:val="yellow"/>
              </w:rPr>
            </w:pPr>
            <w:r w:rsidRPr="00EC4D55">
              <w:rPr>
                <w:highlight w:val="yellow"/>
              </w:rPr>
              <w:t>1 layer: TPMI=12</w:t>
            </w: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E113D3" w:rsidRDefault="00E113D3" w:rsidP="00174E33">
            <w:pPr>
              <w:pStyle w:val="TAC"/>
            </w:pPr>
          </w:p>
        </w:tc>
        <w:tc>
          <w:tcPr>
            <w:tcW w:w="1786" w:type="dxa"/>
            <w:tcBorders>
              <w:top w:val="single" w:sz="4" w:space="0" w:color="auto"/>
              <w:left w:val="single" w:sz="4" w:space="0" w:color="auto"/>
              <w:bottom w:val="single" w:sz="4" w:space="0" w:color="auto"/>
              <w:right w:val="single" w:sz="4" w:space="0" w:color="auto"/>
            </w:tcBorders>
          </w:tcPr>
          <w:p w:rsidR="00E113D3" w:rsidRDefault="00E113D3" w:rsidP="00174E33">
            <w:pPr>
              <w:pStyle w:val="TAC"/>
            </w:pP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27</w:t>
            </w:r>
          </w:p>
        </w:tc>
        <w:tc>
          <w:tcPr>
            <w:tcW w:w="275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1 layers: TPMI=27</w:t>
            </w:r>
          </w:p>
        </w:tc>
        <w:tc>
          <w:tcPr>
            <w:tcW w:w="904" w:type="dxa"/>
            <w:tcBorders>
              <w:top w:val="single" w:sz="4" w:space="0" w:color="auto"/>
              <w:left w:val="single" w:sz="4" w:space="0" w:color="auto"/>
              <w:bottom w:val="single" w:sz="4" w:space="0" w:color="auto"/>
              <w:right w:val="single" w:sz="4" w:space="0" w:color="auto"/>
            </w:tcBorders>
            <w:shd w:val="clear" w:color="auto" w:fill="D9D9D9"/>
          </w:tcPr>
          <w:p w:rsidR="00E113D3" w:rsidRDefault="00E113D3" w:rsidP="00174E33">
            <w:pPr>
              <w:pStyle w:val="TAC"/>
            </w:pPr>
          </w:p>
        </w:tc>
        <w:tc>
          <w:tcPr>
            <w:tcW w:w="2098" w:type="dxa"/>
            <w:tcBorders>
              <w:top w:val="single" w:sz="4" w:space="0" w:color="auto"/>
              <w:left w:val="single" w:sz="4" w:space="0" w:color="auto"/>
              <w:bottom w:val="single" w:sz="4" w:space="0" w:color="auto"/>
              <w:right w:val="single" w:sz="4" w:space="0" w:color="auto"/>
            </w:tcBorders>
          </w:tcPr>
          <w:p w:rsidR="00E113D3" w:rsidRDefault="00E113D3" w:rsidP="00174E33">
            <w:pPr>
              <w:pStyle w:val="TAC"/>
            </w:pP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E113D3" w:rsidRDefault="00E113D3" w:rsidP="00174E33">
            <w:pPr>
              <w:pStyle w:val="TAC"/>
            </w:pPr>
          </w:p>
        </w:tc>
        <w:tc>
          <w:tcPr>
            <w:tcW w:w="1786" w:type="dxa"/>
            <w:tcBorders>
              <w:top w:val="single" w:sz="4" w:space="0" w:color="auto"/>
              <w:left w:val="single" w:sz="4" w:space="0" w:color="auto"/>
              <w:bottom w:val="single" w:sz="4" w:space="0" w:color="auto"/>
              <w:right w:val="single" w:sz="4" w:space="0" w:color="auto"/>
            </w:tcBorders>
          </w:tcPr>
          <w:p w:rsidR="00E113D3" w:rsidRDefault="00E113D3" w:rsidP="00174E33">
            <w:pPr>
              <w:pStyle w:val="TAC"/>
            </w:pP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28-31</w:t>
            </w:r>
          </w:p>
        </w:tc>
        <w:tc>
          <w:tcPr>
            <w:tcW w:w="275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reserved</w:t>
            </w:r>
          </w:p>
        </w:tc>
        <w:tc>
          <w:tcPr>
            <w:tcW w:w="904" w:type="dxa"/>
            <w:tcBorders>
              <w:top w:val="single" w:sz="4" w:space="0" w:color="auto"/>
              <w:left w:val="single" w:sz="4" w:space="0" w:color="auto"/>
              <w:bottom w:val="single" w:sz="4" w:space="0" w:color="auto"/>
              <w:right w:val="single" w:sz="4" w:space="0" w:color="auto"/>
            </w:tcBorders>
            <w:shd w:val="clear" w:color="auto" w:fill="D9D9D9"/>
          </w:tcPr>
          <w:p w:rsidR="00E113D3" w:rsidRDefault="00E113D3" w:rsidP="00174E33">
            <w:pPr>
              <w:pStyle w:val="TAC"/>
            </w:pPr>
          </w:p>
        </w:tc>
        <w:tc>
          <w:tcPr>
            <w:tcW w:w="2098" w:type="dxa"/>
            <w:tcBorders>
              <w:top w:val="single" w:sz="4" w:space="0" w:color="auto"/>
              <w:left w:val="single" w:sz="4" w:space="0" w:color="auto"/>
              <w:bottom w:val="single" w:sz="4" w:space="0" w:color="auto"/>
              <w:right w:val="single" w:sz="4" w:space="0" w:color="auto"/>
            </w:tcBorders>
          </w:tcPr>
          <w:p w:rsidR="00E113D3" w:rsidRDefault="00E113D3" w:rsidP="00174E33">
            <w:pPr>
              <w:pStyle w:val="TAC"/>
            </w:pP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E113D3" w:rsidRDefault="00E113D3" w:rsidP="00174E33">
            <w:pPr>
              <w:pStyle w:val="TAC"/>
            </w:pPr>
          </w:p>
        </w:tc>
        <w:tc>
          <w:tcPr>
            <w:tcW w:w="1786" w:type="dxa"/>
            <w:tcBorders>
              <w:top w:val="single" w:sz="4" w:space="0" w:color="auto"/>
              <w:left w:val="single" w:sz="4" w:space="0" w:color="auto"/>
              <w:bottom w:val="single" w:sz="4" w:space="0" w:color="auto"/>
              <w:right w:val="single" w:sz="4" w:space="0" w:color="auto"/>
            </w:tcBorders>
          </w:tcPr>
          <w:p w:rsidR="00E113D3" w:rsidRDefault="00E113D3" w:rsidP="00174E33">
            <w:pPr>
              <w:pStyle w:val="TAC"/>
            </w:pPr>
          </w:p>
        </w:tc>
      </w:tr>
    </w:tbl>
    <w:p w:rsidR="00E113D3" w:rsidRDefault="00E113D3" w:rsidP="00E113D3">
      <w:pPr>
        <w:rPr>
          <w:szCs w:val="20"/>
        </w:rPr>
      </w:pPr>
    </w:p>
    <w:p w:rsidR="00E113D3" w:rsidRDefault="00E113D3" w:rsidP="004A5B59">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where highlighted lines are new items to be included for partial/non-coherence capable UE operation. In this case, TPMI=4, layer-1 corresponds to this precoder</w:t>
      </w:r>
    </w:p>
    <w:p w:rsidR="00E113D3" w:rsidRDefault="00E113D3" w:rsidP="00E113D3">
      <w:pPr>
        <w:jc w:val="center"/>
        <w:rPr>
          <w:rFonts w:ascii="Times New Roman" w:hAnsi="Times New Roman" w:cs="Times New Roman"/>
          <w:sz w:val="20"/>
          <w:szCs w:val="20"/>
          <w:lang w:val="en-GB" w:eastAsia="en-US"/>
        </w:rPr>
      </w:pPr>
      <w:r>
        <w:object w:dxaOrig="516" w:dyaOrig="1212">
          <v:shape id="_x0000_i1038" type="#_x0000_t75" style="width:25.8pt;height:60.6pt" o:ole="">
            <v:imagedata r:id="rId40" o:title=""/>
          </v:shape>
          <o:OLEObject Type="Embed" ProgID="Equation.3" ShapeID="_x0000_i1038" DrawAspect="Content" ObjectID="_1608709574" r:id="rId41"/>
        </w:object>
      </w:r>
    </w:p>
    <w:p w:rsidR="00E113D3" w:rsidRDefault="00E113D3" w:rsidP="004A5B59">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for n</w:t>
      </w:r>
      <w:r w:rsidR="006A0065">
        <w:rPr>
          <w:rFonts w:ascii="Times New Roman" w:hAnsi="Times New Roman" w:cs="Times New Roman"/>
          <w:sz w:val="20"/>
          <w:szCs w:val="20"/>
          <w:lang w:val="en-GB" w:eastAsia="en-US"/>
        </w:rPr>
        <w:t>on-coherent Tx, where two of UE’s Tx chain can be used for 1-layer transmission. Also TPMI=12 is related to</w:t>
      </w:r>
    </w:p>
    <w:bookmarkStart w:id="6" w:name="_Hlk534724343"/>
    <w:p w:rsidR="006A0065" w:rsidRDefault="006A0065" w:rsidP="006A0065">
      <w:pPr>
        <w:jc w:val="center"/>
        <w:rPr>
          <w:rFonts w:ascii="Times New Roman" w:hAnsi="Times New Roman" w:cs="Times New Roman"/>
          <w:sz w:val="20"/>
          <w:szCs w:val="20"/>
          <w:lang w:val="en-GB" w:eastAsia="en-US"/>
        </w:rPr>
      </w:pPr>
      <w:r>
        <w:rPr>
          <w:position w:val="-56"/>
        </w:rPr>
        <w:object w:dxaOrig="480" w:dyaOrig="1212">
          <v:shape id="_x0000_i1039" type="#_x0000_t75" style="width:24pt;height:60.6pt" o:ole="">
            <v:imagedata r:id="rId42" o:title=""/>
          </v:shape>
          <o:OLEObject Type="Embed" ProgID="Equation.3" ShapeID="_x0000_i1039" DrawAspect="Content" ObjectID="_1608709575" r:id="rId43"/>
        </w:object>
      </w:r>
      <w:bookmarkEnd w:id="6"/>
    </w:p>
    <w:p w:rsidR="006A0065" w:rsidRDefault="006A0065" w:rsidP="004A5B59">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w:t>
      </w:r>
      <w:r w:rsidRPr="006A0065">
        <w:rPr>
          <w:rFonts w:ascii="Times New Roman" w:hAnsi="Times New Roman" w:cs="Times New Roman"/>
          <w:sz w:val="20"/>
          <w:szCs w:val="20"/>
          <w:lang w:val="en-GB" w:eastAsia="en-US"/>
        </w:rPr>
        <w:t>here</w:t>
      </w:r>
      <w:r>
        <w:rPr>
          <w:rFonts w:ascii="Times New Roman" w:hAnsi="Times New Roman" w:cs="Times New Roman"/>
          <w:sz w:val="20"/>
          <w:szCs w:val="20"/>
          <w:lang w:val="en-GB" w:eastAsia="en-US"/>
        </w:rPr>
        <w:t xml:space="preserve"> all UE’s 4 Tx chains are combined with 1-layer transmission. This solution shall solve the full Tx power transmission issue that the partial/non-coherent UE may experience.</w:t>
      </w:r>
    </w:p>
    <w:p w:rsidR="006A0065" w:rsidRPr="006A0065" w:rsidRDefault="006A0065" w:rsidP="004A5B59">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With these solutions, we have this proposal:</w:t>
      </w:r>
    </w:p>
    <w:p w:rsidR="00E74FD1" w:rsidRPr="00E74FD1" w:rsidRDefault="00E74FD1" w:rsidP="004A5B59">
      <w:pPr>
        <w:jc w:val="both"/>
        <w:rPr>
          <w:rFonts w:ascii="Times New Roman" w:hAnsi="Times New Roman" w:cs="Times New Roman"/>
          <w:b/>
          <w:sz w:val="20"/>
          <w:szCs w:val="20"/>
          <w:lang w:val="en-GB" w:eastAsia="en-US"/>
        </w:rPr>
      </w:pPr>
      <w:r w:rsidRPr="00E74FD1">
        <w:rPr>
          <w:rFonts w:ascii="Times New Roman" w:hAnsi="Times New Roman" w:cs="Times New Roman"/>
          <w:b/>
          <w:sz w:val="20"/>
          <w:szCs w:val="20"/>
          <w:lang w:val="en-GB" w:eastAsia="en-US"/>
        </w:rPr>
        <w:t>Proposal</w:t>
      </w:r>
      <w:r w:rsidR="00326DAB">
        <w:rPr>
          <w:rFonts w:ascii="Times New Roman" w:hAnsi="Times New Roman" w:cs="Times New Roman"/>
          <w:b/>
          <w:sz w:val="20"/>
          <w:szCs w:val="20"/>
          <w:lang w:val="en-GB" w:eastAsia="en-US"/>
        </w:rPr>
        <w:t xml:space="preserve"> 1</w:t>
      </w:r>
      <w:r w:rsidRPr="00E74FD1">
        <w:rPr>
          <w:rFonts w:ascii="Times New Roman" w:hAnsi="Times New Roman" w:cs="Times New Roman"/>
          <w:b/>
          <w:sz w:val="20"/>
          <w:szCs w:val="20"/>
          <w:lang w:val="en-GB" w:eastAsia="en-US"/>
        </w:rPr>
        <w:t xml:space="preserve">: Support </w:t>
      </w:r>
      <w:r w:rsidR="004C3507">
        <w:rPr>
          <w:rFonts w:ascii="Times New Roman" w:hAnsi="Times New Roman" w:cs="Times New Roman"/>
          <w:b/>
          <w:sz w:val="20"/>
          <w:szCs w:val="20"/>
          <w:lang w:val="en-GB" w:eastAsia="en-US"/>
        </w:rPr>
        <w:t xml:space="preserve">to </w:t>
      </w:r>
      <w:r w:rsidRPr="00E74FD1">
        <w:rPr>
          <w:rFonts w:ascii="Times New Roman" w:hAnsi="Times New Roman" w:cs="Times New Roman"/>
          <w:b/>
          <w:sz w:val="20"/>
          <w:szCs w:val="20"/>
          <w:lang w:val="en-GB" w:eastAsia="en-US"/>
        </w:rPr>
        <w:t>adjust the non-coherent and partial-coherent codebook size</w:t>
      </w:r>
      <w:r w:rsidR="00560599">
        <w:rPr>
          <w:rFonts w:ascii="Times New Roman" w:hAnsi="Times New Roman" w:cs="Times New Roman"/>
          <w:b/>
          <w:sz w:val="20"/>
          <w:szCs w:val="20"/>
          <w:lang w:val="en-GB" w:eastAsia="en-US"/>
        </w:rPr>
        <w:t xml:space="preserve"> with a new codebook subset.</w:t>
      </w:r>
    </w:p>
    <w:p w:rsidR="004A5B59" w:rsidRDefault="00560599" w:rsidP="004A5B59">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UE capacity indication is needed to enable this new codebook subset. UE shall indicate its capability whether it can support full Tx power with its single Tx, or part of Tx ports.</w:t>
      </w:r>
    </w:p>
    <w:p w:rsidR="00560599" w:rsidRPr="00560599" w:rsidRDefault="00560599" w:rsidP="004A5B59">
      <w:pPr>
        <w:jc w:val="both"/>
        <w:rPr>
          <w:rFonts w:ascii="Times New Roman" w:hAnsi="Times New Roman" w:cs="Times New Roman"/>
          <w:b/>
          <w:sz w:val="20"/>
          <w:szCs w:val="20"/>
          <w:lang w:val="en-GB" w:eastAsia="en-US"/>
        </w:rPr>
      </w:pPr>
      <w:r w:rsidRPr="00560599">
        <w:rPr>
          <w:rFonts w:ascii="Times New Roman" w:hAnsi="Times New Roman" w:cs="Times New Roman"/>
          <w:b/>
          <w:sz w:val="20"/>
          <w:szCs w:val="20"/>
          <w:lang w:val="en-GB" w:eastAsia="en-US"/>
        </w:rPr>
        <w:t>Proposal</w:t>
      </w:r>
      <w:r w:rsidR="00326DAB">
        <w:rPr>
          <w:rFonts w:ascii="Times New Roman" w:hAnsi="Times New Roman" w:cs="Times New Roman"/>
          <w:b/>
          <w:sz w:val="20"/>
          <w:szCs w:val="20"/>
          <w:lang w:val="en-GB" w:eastAsia="en-US"/>
        </w:rPr>
        <w:t xml:space="preserve"> 2</w:t>
      </w:r>
      <w:r w:rsidRPr="00560599">
        <w:rPr>
          <w:rFonts w:ascii="Times New Roman" w:hAnsi="Times New Roman" w:cs="Times New Roman"/>
          <w:b/>
          <w:sz w:val="20"/>
          <w:szCs w:val="20"/>
          <w:lang w:val="en-GB" w:eastAsia="en-US"/>
        </w:rPr>
        <w:t>: Support UE capacity indication of its full Tx power capability.</w:t>
      </w:r>
    </w:p>
    <w:p w:rsidR="008C5EF3" w:rsidRDefault="008C5EF3" w:rsidP="00577EEA">
      <w:pPr>
        <w:rPr>
          <w:rFonts w:ascii="Times New Roman" w:hAnsi="Times New Roman" w:cs="Times New Roman"/>
          <w:sz w:val="20"/>
          <w:szCs w:val="20"/>
          <w:u w:val="single"/>
          <w:lang w:val="en-GB" w:eastAsia="en-US"/>
        </w:rPr>
      </w:pPr>
    </w:p>
    <w:p w:rsidR="009C4CBA" w:rsidRPr="002873A2" w:rsidRDefault="002873A2" w:rsidP="00577EEA">
      <w:pPr>
        <w:rPr>
          <w:rFonts w:ascii="Times New Roman" w:hAnsi="Times New Roman" w:cs="Times New Roman"/>
          <w:sz w:val="20"/>
          <w:szCs w:val="20"/>
          <w:u w:val="single"/>
          <w:lang w:val="en-GB" w:eastAsia="en-US"/>
        </w:rPr>
      </w:pPr>
      <w:r w:rsidRPr="002873A2">
        <w:rPr>
          <w:rFonts w:ascii="Times New Roman" w:hAnsi="Times New Roman" w:cs="Times New Roman"/>
          <w:sz w:val="20"/>
          <w:szCs w:val="20"/>
          <w:u w:val="single"/>
          <w:lang w:val="en-GB" w:eastAsia="en-US"/>
        </w:rPr>
        <w:t>Power control section</w:t>
      </w:r>
    </w:p>
    <w:p w:rsidR="009963DE" w:rsidRDefault="009963DE" w:rsidP="00577EEA">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Further clarification on the “configured” antenna ports is needed in the uplink power control to address this issue. This shall be addressed for both Rel-15 and Rel-16 specification.</w:t>
      </w:r>
    </w:p>
    <w:p w:rsidR="000315D0" w:rsidRPr="00553335" w:rsidRDefault="00326DAB" w:rsidP="00577EEA">
      <w:pPr>
        <w:rPr>
          <w:rFonts w:ascii="Times New Roman" w:hAnsi="Times New Roman" w:cs="Times New Roman"/>
          <w:b/>
          <w:sz w:val="20"/>
          <w:szCs w:val="20"/>
          <w:lang w:val="en-GB" w:eastAsia="en-US"/>
        </w:rPr>
      </w:pPr>
      <w:r>
        <w:rPr>
          <w:rFonts w:ascii="Times New Roman" w:hAnsi="Times New Roman" w:cs="Times New Roman"/>
          <w:b/>
          <w:sz w:val="20"/>
          <w:szCs w:val="20"/>
          <w:lang w:val="en-GB" w:eastAsia="en-US"/>
        </w:rPr>
        <w:t>Proposal 3</w:t>
      </w:r>
      <w:r w:rsidR="0028521A" w:rsidRPr="00553335">
        <w:rPr>
          <w:rFonts w:ascii="Times New Roman" w:hAnsi="Times New Roman" w:cs="Times New Roman"/>
          <w:b/>
          <w:sz w:val="20"/>
          <w:szCs w:val="20"/>
          <w:lang w:val="en-GB" w:eastAsia="en-US"/>
        </w:rPr>
        <w:t xml:space="preserve">: </w:t>
      </w:r>
      <w:r w:rsidR="00600F36" w:rsidRPr="00553335">
        <w:rPr>
          <w:rFonts w:ascii="Times New Roman" w:hAnsi="Times New Roman" w:cs="Times New Roman"/>
          <w:b/>
          <w:sz w:val="20"/>
          <w:szCs w:val="20"/>
          <w:lang w:val="en-GB" w:eastAsia="en-US"/>
        </w:rPr>
        <w:t>Clarif</w:t>
      </w:r>
      <w:r w:rsidR="001F3136" w:rsidRPr="00553335">
        <w:rPr>
          <w:rFonts w:ascii="Times New Roman" w:hAnsi="Times New Roman" w:cs="Times New Roman"/>
          <w:b/>
          <w:sz w:val="20"/>
          <w:szCs w:val="20"/>
          <w:lang w:val="en-GB" w:eastAsia="en-US"/>
        </w:rPr>
        <w:t>ication</w:t>
      </w:r>
      <w:r w:rsidR="00600F36" w:rsidRPr="00553335">
        <w:rPr>
          <w:rFonts w:ascii="Times New Roman" w:hAnsi="Times New Roman" w:cs="Times New Roman"/>
          <w:b/>
          <w:sz w:val="20"/>
          <w:szCs w:val="20"/>
          <w:lang w:val="en-GB" w:eastAsia="en-US"/>
        </w:rPr>
        <w:t xml:space="preserve"> on the uplink power control on the number of “configured” antenna ports is needed</w:t>
      </w:r>
      <w:r w:rsidR="000D27B2">
        <w:rPr>
          <w:rFonts w:ascii="Times New Roman" w:hAnsi="Times New Roman" w:cs="Times New Roman"/>
          <w:b/>
          <w:sz w:val="20"/>
          <w:szCs w:val="20"/>
          <w:lang w:val="en-GB" w:eastAsia="en-US"/>
        </w:rPr>
        <w:t>.</w:t>
      </w:r>
    </w:p>
    <w:p w:rsidR="00600F36" w:rsidRDefault="00600F36" w:rsidP="00577EEA">
      <w:pPr>
        <w:rPr>
          <w:rFonts w:ascii="Times New Roman" w:hAnsi="Times New Roman" w:cs="Times New Roman"/>
          <w:sz w:val="20"/>
          <w:szCs w:val="20"/>
          <w:lang w:val="en-GB" w:eastAsia="en-US"/>
        </w:rPr>
      </w:pPr>
    </w:p>
    <w:p w:rsidR="000D27B2" w:rsidRDefault="000D27B2" w:rsidP="000D27B2">
      <w:pPr>
        <w:pStyle w:val="Heading2"/>
      </w:pPr>
      <w:r>
        <w:t>2.3</w:t>
      </w:r>
      <w:r>
        <w:tab/>
        <w:t>Other options</w:t>
      </w:r>
    </w:p>
    <w:p w:rsidR="000D27B2" w:rsidRDefault="00043F52" w:rsidP="00577EEA">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With above discussion, we support Option 1-1 and Option 3. </w:t>
      </w:r>
    </w:p>
    <w:p w:rsidR="002873A2" w:rsidRDefault="00043F52" w:rsidP="00577EEA">
      <w:pPr>
        <w:rPr>
          <w:rFonts w:ascii="Times New Roman" w:hAnsi="Times New Roman" w:cs="Times New Roman"/>
          <w:sz w:val="20"/>
          <w:szCs w:val="20"/>
          <w:u w:val="single"/>
          <w:lang w:val="en-GB" w:eastAsia="en-US"/>
        </w:rPr>
      </w:pPr>
      <w:r>
        <w:rPr>
          <w:rFonts w:ascii="Times New Roman" w:hAnsi="Times New Roman" w:cs="Times New Roman"/>
          <w:sz w:val="20"/>
          <w:szCs w:val="20"/>
          <w:u w:val="single"/>
          <w:lang w:val="en-GB" w:eastAsia="en-US"/>
        </w:rPr>
        <w:t xml:space="preserve">Option 1-2: </w:t>
      </w:r>
      <w:r w:rsidR="002873A2" w:rsidRPr="002873A2">
        <w:rPr>
          <w:rFonts w:ascii="Times New Roman" w:hAnsi="Times New Roman" w:cs="Times New Roman"/>
          <w:sz w:val="20"/>
          <w:szCs w:val="20"/>
          <w:u w:val="single"/>
          <w:lang w:val="en-GB" w:eastAsia="en-US"/>
        </w:rPr>
        <w:t>Scaling factor of uplink codebook</w:t>
      </w:r>
    </w:p>
    <w:p w:rsidR="009963DE" w:rsidRDefault="00326DAB" w:rsidP="00326DAB">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For Option 1-2, </w:t>
      </w:r>
      <w:r w:rsidR="009963DE">
        <w:rPr>
          <w:rFonts w:ascii="Times New Roman" w:hAnsi="Times New Roman" w:cs="Times New Roman"/>
          <w:sz w:val="20"/>
          <w:szCs w:val="20"/>
          <w:lang w:val="en-GB" w:eastAsia="en-US"/>
        </w:rPr>
        <w:t>the scaling factor of uplink codebooks</w:t>
      </w:r>
      <w:r>
        <w:rPr>
          <w:rFonts w:ascii="Times New Roman" w:hAnsi="Times New Roman" w:cs="Times New Roman"/>
          <w:sz w:val="20"/>
          <w:szCs w:val="20"/>
          <w:lang w:val="en-GB" w:eastAsia="en-US"/>
        </w:rPr>
        <w:t xml:space="preserve"> could be revisited</w:t>
      </w:r>
      <w:r w:rsidR="009963DE">
        <w:rPr>
          <w:rFonts w:ascii="Times New Roman" w:hAnsi="Times New Roman" w:cs="Times New Roman"/>
          <w:sz w:val="20"/>
          <w:szCs w:val="20"/>
          <w:lang w:val="en-GB" w:eastAsia="en-US"/>
        </w:rPr>
        <w:t>. One approach is to normalize the total Tx power to one, regardless of coherent or non-coherent precoders. This should be addressed to both Rel-15 a</w:t>
      </w:r>
      <w:r>
        <w:rPr>
          <w:rFonts w:ascii="Times New Roman" w:hAnsi="Times New Roman" w:cs="Times New Roman"/>
          <w:sz w:val="20"/>
          <w:szCs w:val="20"/>
          <w:lang w:val="en-GB" w:eastAsia="en-US"/>
        </w:rPr>
        <w:t xml:space="preserve">nd Rel-16 specification, otherwise there could be compatibility issue. </w:t>
      </w:r>
      <w:r w:rsidR="00553335">
        <w:rPr>
          <w:rFonts w:ascii="Times New Roman" w:hAnsi="Times New Roman" w:cs="Times New Roman"/>
          <w:sz w:val="20"/>
          <w:szCs w:val="20"/>
          <w:lang w:val="en-GB" w:eastAsia="en-US"/>
        </w:rPr>
        <w:t xml:space="preserve">With this modification, </w:t>
      </w:r>
      <w:r>
        <w:rPr>
          <w:rFonts w:ascii="Times New Roman" w:hAnsi="Times New Roman" w:cs="Times New Roman"/>
          <w:sz w:val="20"/>
          <w:szCs w:val="20"/>
          <w:lang w:val="en-GB" w:eastAsia="en-US"/>
        </w:rPr>
        <w:t xml:space="preserve">the uplink power control should be revised accordingly. </w:t>
      </w:r>
      <w:r w:rsidR="00043F52">
        <w:rPr>
          <w:rFonts w:ascii="Times New Roman" w:hAnsi="Times New Roman" w:cs="Times New Roman"/>
          <w:sz w:val="20"/>
          <w:szCs w:val="20"/>
          <w:lang w:val="en-GB" w:eastAsia="en-US"/>
        </w:rPr>
        <w:t>However, this option along won’t be able to solve the full-power Tx issue that some UE may experience. If there is no motivation to revise Rel-15’s scaling factor, we would prefer to have no change on the scaling factor for simplicity and consistency.</w:t>
      </w:r>
    </w:p>
    <w:p w:rsidR="00DE3890" w:rsidRPr="00DE3890" w:rsidRDefault="00DE3890" w:rsidP="00326DAB">
      <w:pPr>
        <w:jc w:val="both"/>
        <w:rPr>
          <w:rFonts w:ascii="Times New Roman" w:hAnsi="Times New Roman" w:cs="Times New Roman"/>
          <w:b/>
          <w:sz w:val="20"/>
          <w:szCs w:val="20"/>
          <w:lang w:val="en-GB" w:eastAsia="en-US"/>
        </w:rPr>
      </w:pPr>
      <w:r w:rsidRPr="00DE3890">
        <w:rPr>
          <w:rFonts w:ascii="Times New Roman" w:hAnsi="Times New Roman" w:cs="Times New Roman"/>
          <w:b/>
          <w:sz w:val="20"/>
          <w:szCs w:val="20"/>
          <w:lang w:val="en-GB" w:eastAsia="en-US"/>
        </w:rPr>
        <w:t>Proposal 4: Align uplink codebook scaling factor definition for both Rel-15 UL codebooks and Rel-16 UL codebooks.</w:t>
      </w:r>
    </w:p>
    <w:p w:rsidR="00DE3890" w:rsidRPr="00DE3890" w:rsidRDefault="00DE3890" w:rsidP="00326DAB">
      <w:pPr>
        <w:jc w:val="both"/>
        <w:rPr>
          <w:rFonts w:ascii="Times New Roman" w:hAnsi="Times New Roman" w:cs="Times New Roman"/>
          <w:sz w:val="20"/>
          <w:szCs w:val="20"/>
          <w:lang w:val="en-GB" w:eastAsia="en-US"/>
        </w:rPr>
      </w:pPr>
    </w:p>
    <w:p w:rsidR="00A75000" w:rsidRPr="00946130" w:rsidRDefault="00043F52" w:rsidP="00326DAB">
      <w:pPr>
        <w:jc w:val="both"/>
        <w:rPr>
          <w:rFonts w:ascii="Times New Roman" w:hAnsi="Times New Roman" w:cs="Times New Roman"/>
          <w:sz w:val="20"/>
          <w:szCs w:val="20"/>
          <w:u w:val="single"/>
          <w:lang w:val="en-GB" w:eastAsia="en-US"/>
        </w:rPr>
      </w:pPr>
      <w:r w:rsidRPr="00946130">
        <w:rPr>
          <w:rFonts w:ascii="Times New Roman" w:hAnsi="Times New Roman" w:cs="Times New Roman"/>
          <w:sz w:val="20"/>
          <w:szCs w:val="20"/>
          <w:u w:val="single"/>
          <w:lang w:val="en-GB" w:eastAsia="en-US"/>
        </w:rPr>
        <w:t xml:space="preserve">Option 5: </w:t>
      </w:r>
      <w:r w:rsidR="00946130">
        <w:rPr>
          <w:rFonts w:ascii="Times New Roman" w:hAnsi="Times New Roman" w:cs="Times New Roman"/>
          <w:sz w:val="20"/>
          <w:szCs w:val="20"/>
          <w:u w:val="single"/>
          <w:lang w:val="en-GB" w:eastAsia="en-US"/>
        </w:rPr>
        <w:t>I</w:t>
      </w:r>
      <w:r w:rsidRPr="00946130">
        <w:rPr>
          <w:rFonts w:ascii="Times New Roman" w:hAnsi="Times New Roman" w:cs="Times New Roman"/>
          <w:sz w:val="20"/>
          <w:szCs w:val="20"/>
          <w:u w:val="single"/>
          <w:lang w:val="en-GB" w:eastAsia="en-US"/>
        </w:rPr>
        <w:t xml:space="preserve">ntroduction a new ratio in PUSCH power, where </w:t>
      </w:r>
      <w:r w:rsidR="00946130" w:rsidRPr="00946130">
        <w:rPr>
          <w:rFonts w:ascii="Times New Roman" w:hAnsi="Times New Roman" w:cs="Times New Roman"/>
          <w:sz w:val="20"/>
          <w:szCs w:val="20"/>
          <w:u w:val="single"/>
          <w:lang w:val="en-GB" w:eastAsia="en-US"/>
        </w:rPr>
        <w:t>this ratio can be controlled by UE</w:t>
      </w:r>
      <w:r w:rsidR="0039015E" w:rsidRPr="00946130">
        <w:rPr>
          <w:rFonts w:ascii="Times New Roman" w:hAnsi="Times New Roman" w:cs="Times New Roman"/>
          <w:sz w:val="20"/>
          <w:szCs w:val="20"/>
          <w:u w:val="single"/>
          <w:lang w:val="en-GB" w:eastAsia="en-US"/>
        </w:rPr>
        <w:t xml:space="preserve"> </w:t>
      </w:r>
    </w:p>
    <w:p w:rsidR="00DE3890" w:rsidRPr="00C16258" w:rsidRDefault="00DE3890" w:rsidP="00DE3890">
      <w:pPr>
        <w:tabs>
          <w:tab w:val="left" w:pos="1540"/>
        </w:tabs>
        <w:spacing w:line="256" w:lineRule="auto"/>
        <w:contextualSpacing/>
        <w:rPr>
          <w:rFonts w:ascii="Times New Roman" w:hAnsi="Times New Roman" w:cs="Times New Roman"/>
          <w:sz w:val="20"/>
          <w:szCs w:val="20"/>
        </w:rPr>
      </w:pPr>
      <w:r w:rsidRPr="00C16258">
        <w:rPr>
          <w:rFonts w:ascii="Times New Roman" w:eastAsia="Malgun Gothic" w:hAnsi="Times New Roman" w:cs="Times New Roman"/>
          <w:b/>
          <w:sz w:val="20"/>
          <w:szCs w:val="20"/>
        </w:rPr>
        <w:t xml:space="preserve">Option5: </w:t>
      </w:r>
      <w:r w:rsidRPr="00C16258">
        <w:rPr>
          <w:rFonts w:ascii="Times New Roman" w:eastAsia="Malgun Gothic" w:hAnsi="Times New Roman" w:cs="Times New Roman"/>
          <w:sz w:val="20"/>
          <w:szCs w:val="20"/>
        </w:rPr>
        <w:t>For the precoders with 0 entries, t</w:t>
      </w:r>
      <w:r w:rsidRPr="00C16258">
        <w:rPr>
          <w:rFonts w:ascii="Times New Roman" w:hAnsi="Times New Roman" w:cs="Times New Roman"/>
          <w:sz w:val="20"/>
          <w:szCs w:val="20"/>
        </w:rPr>
        <w:t xml:space="preserve">he linear value </w:t>
      </w:r>
      <w:r w:rsidRPr="00C16258">
        <w:rPr>
          <w:rFonts w:ascii="Times New Roman" w:hAnsi="Times New Roman" w:cs="Times New Roman"/>
          <w:position w:val="-14"/>
          <w:sz w:val="20"/>
          <w:szCs w:val="20"/>
        </w:rPr>
        <w:object w:dxaOrig="1980" w:dyaOrig="420">
          <v:shape id="_x0000_i1040" type="#_x0000_t75" style="width:99pt;height:21pt" o:ole="">
            <v:imagedata r:id="rId12" o:title=""/>
          </v:shape>
          <o:OLEObject Type="Embed" ProgID="Equation.DSMT4" ShapeID="_x0000_i1040" DrawAspect="Content" ObjectID="_1608709576" r:id="rId44"/>
        </w:object>
      </w:r>
      <w:r w:rsidRPr="00C16258">
        <w:rPr>
          <w:rFonts w:ascii="Times New Roman" w:hAnsi="Times New Roman" w:cs="Times New Roman"/>
          <w:sz w:val="20"/>
          <w:szCs w:val="20"/>
        </w:rPr>
        <w:fldChar w:fldCharType="begin"/>
      </w:r>
      <w:r w:rsidRPr="00C16258">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acc>
              <m:accPr>
                <m:ctrlPr>
                  <w:rPr>
                    <w:rFonts w:ascii="Cambria Math" w:hAnsi="Cambria Math" w:cs="Times New Roman"/>
                    <w:sz w:val="20"/>
                    <w:szCs w:val="20"/>
                  </w:rPr>
                </m:ctrlPr>
              </m:accPr>
              <m:e>
                <m:r>
                  <m:rPr>
                    <m:sty m:val="p"/>
                  </m:rPr>
                  <w:rPr>
                    <w:rFonts w:ascii="Cambria Math" w:hAnsi="Cambria Math" w:cs="Times New Roman"/>
                    <w:sz w:val="20"/>
                    <w:szCs w:val="20"/>
                  </w:rPr>
                  <m:t>P</m:t>
                </m:r>
              </m:e>
            </m:acc>
          </m:e>
          <m:sub>
            <m:r>
              <m:rPr>
                <m:nor/>
              </m:rPr>
              <w:rPr>
                <w:rFonts w:ascii="Times New Roman" w:hAnsi="Times New Roman" w:cs="Times New Roman"/>
                <w:sz w:val="20"/>
                <w:szCs w:val="20"/>
              </w:rPr>
              <m:t>PUSCH</m:t>
            </m:r>
            <m:r>
              <m:rPr>
                <m:sty m:val="p"/>
              </m:rPr>
              <w:rPr>
                <w:rFonts w:ascii="Cambria Math" w:hAnsi="Cambria Math" w:cs="Times New Roman"/>
                <w:sz w:val="20"/>
                <w:szCs w:val="20"/>
              </w:rPr>
              <m:t>,b,f,c</m:t>
            </m:r>
          </m:sub>
        </m:sSub>
        <m:r>
          <m:rPr>
            <m:sty m:val="p"/>
          </m:rPr>
          <w:rPr>
            <w:rFonts w:ascii="Cambria Math" w:hAnsi="Cambria Math" w:cs="Times New Roman"/>
            <w:sz w:val="20"/>
            <w:szCs w:val="20"/>
          </w:rPr>
          <m:t>(i,j,</m:t>
        </m:r>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d</m:t>
            </m:r>
          </m:sub>
        </m:sSub>
        <m:r>
          <m:rPr>
            <m:sty m:val="p"/>
          </m:rPr>
          <w:rPr>
            <w:rFonts w:ascii="Cambria Math" w:hAnsi="Cambria Math" w:cs="Times New Roman"/>
            <w:sz w:val="20"/>
            <w:szCs w:val="20"/>
          </w:rPr>
          <m:t>,l)</m:t>
        </m:r>
      </m:oMath>
      <w:r w:rsidRPr="00C16258">
        <w:rPr>
          <w:rFonts w:ascii="Times New Roman" w:hAnsi="Times New Roman" w:cs="Times New Roman"/>
          <w:sz w:val="20"/>
          <w:szCs w:val="20"/>
        </w:rPr>
        <w:instrText xml:space="preserve"> </w:instrText>
      </w:r>
      <w:r w:rsidRPr="00C16258">
        <w:rPr>
          <w:rFonts w:ascii="Times New Roman" w:hAnsi="Times New Roman" w:cs="Times New Roman"/>
          <w:sz w:val="20"/>
          <w:szCs w:val="20"/>
        </w:rPr>
        <w:fldChar w:fldCharType="end"/>
      </w:r>
      <w:r w:rsidRPr="00C16258">
        <w:rPr>
          <w:rFonts w:ascii="Times New Roman" w:hAnsi="Times New Roman" w:cs="Times New Roman"/>
          <w:sz w:val="20"/>
          <w:szCs w:val="20"/>
        </w:rPr>
        <w:t xml:space="preserve"> of a PUSCH transmission power is scaled by a ratio </w:t>
      </w:r>
      <w:r w:rsidRPr="00C16258">
        <w:rPr>
          <w:rFonts w:ascii="Times New Roman" w:hAnsi="Times New Roman" w:cs="Times New Roman"/>
          <w:sz w:val="20"/>
          <w:szCs w:val="20"/>
        </w:rPr>
        <w:sym w:font="Symbol" w:char="F061"/>
      </w:r>
      <w:r w:rsidRPr="00C16258">
        <w:rPr>
          <w:rFonts w:ascii="Times New Roman" w:hAnsi="Times New Roman" w:cs="Times New Roman"/>
          <w:sz w:val="20"/>
          <w:szCs w:val="20"/>
          <w:vertAlign w:val="subscript"/>
        </w:rPr>
        <w:t>Rel-16</w:t>
      </w:r>
      <w:r w:rsidRPr="00C16258">
        <w:rPr>
          <w:rFonts w:ascii="Times New Roman" w:hAnsi="Times New Roman" w:cs="Times New Roman"/>
          <w:sz w:val="20"/>
          <w:szCs w:val="20"/>
        </w:rPr>
        <w:t xml:space="preserve">.  The value of </w:t>
      </w:r>
      <w:r w:rsidRPr="00C16258">
        <w:rPr>
          <w:rFonts w:ascii="Times New Roman" w:hAnsi="Times New Roman" w:cs="Times New Roman"/>
          <w:sz w:val="20"/>
          <w:szCs w:val="20"/>
        </w:rPr>
        <w:sym w:font="Symbol" w:char="F061"/>
      </w:r>
      <w:r w:rsidRPr="00C16258">
        <w:rPr>
          <w:rFonts w:ascii="Times New Roman" w:hAnsi="Times New Roman" w:cs="Times New Roman"/>
          <w:sz w:val="20"/>
          <w:szCs w:val="20"/>
          <w:vertAlign w:val="subscript"/>
        </w:rPr>
        <w:t>Rel-16</w:t>
      </w:r>
      <w:r w:rsidRPr="00C16258">
        <w:rPr>
          <w:rFonts w:ascii="Times New Roman" w:hAnsi="Times New Roman" w:cs="Times New Roman"/>
          <w:sz w:val="20"/>
          <w:szCs w:val="20"/>
        </w:rPr>
        <w:t xml:space="preserve"> is selected up to UE implementation within the range of [</w:t>
      </w:r>
      <w:r w:rsidRPr="00C16258">
        <w:rPr>
          <w:rFonts w:ascii="Times New Roman" w:hAnsi="Times New Roman" w:cs="Times New Roman"/>
          <w:sz w:val="20"/>
          <w:szCs w:val="20"/>
        </w:rPr>
        <w:sym w:font="Symbol" w:char="F061"/>
      </w:r>
      <w:r w:rsidRPr="00C16258">
        <w:rPr>
          <w:rFonts w:ascii="Times New Roman" w:hAnsi="Times New Roman" w:cs="Times New Roman"/>
          <w:sz w:val="20"/>
          <w:szCs w:val="20"/>
          <w:vertAlign w:val="subscript"/>
        </w:rPr>
        <w:t>Rel-15</w:t>
      </w:r>
      <w:r w:rsidRPr="00C16258">
        <w:rPr>
          <w:rFonts w:ascii="Times New Roman" w:hAnsi="Times New Roman" w:cs="Times New Roman"/>
          <w:sz w:val="20"/>
          <w:szCs w:val="20"/>
        </w:rPr>
        <w:t xml:space="preserve">, 1],  where </w:t>
      </w:r>
      <w:r w:rsidRPr="00C16258">
        <w:rPr>
          <w:rFonts w:ascii="Times New Roman" w:hAnsi="Times New Roman" w:cs="Times New Roman"/>
          <w:sz w:val="20"/>
          <w:szCs w:val="20"/>
        </w:rPr>
        <w:sym w:font="Symbol" w:char="F061"/>
      </w:r>
      <w:r w:rsidRPr="00C16258">
        <w:rPr>
          <w:rFonts w:ascii="Times New Roman" w:hAnsi="Times New Roman" w:cs="Times New Roman"/>
          <w:sz w:val="20"/>
          <w:szCs w:val="20"/>
          <w:vertAlign w:val="subscript"/>
        </w:rPr>
        <w:t>Rel-15</w:t>
      </w:r>
      <w:r w:rsidRPr="00C16258">
        <w:rPr>
          <w:rFonts w:ascii="Times New Roman" w:hAnsi="Times New Roman" w:cs="Times New Roman"/>
          <w:sz w:val="20"/>
          <w:szCs w:val="20"/>
        </w:rPr>
        <w:t xml:space="preserve"> is the ratio of the number of antenna ports with a non-zero PUSCH transmission power to the number of configured antenna ports for the PUSCH transmission scheme as defined in NR Rel-15 specification.  </w:t>
      </w:r>
    </w:p>
    <w:p w:rsidR="00DE3890" w:rsidRPr="00C16258" w:rsidRDefault="00DE3890" w:rsidP="00DE3890">
      <w:pPr>
        <w:pStyle w:val="ListParagraph"/>
        <w:numPr>
          <w:ilvl w:val="0"/>
          <w:numId w:val="35"/>
        </w:numPr>
        <w:spacing w:after="0" w:line="240" w:lineRule="auto"/>
        <w:contextualSpacing w:val="0"/>
        <w:rPr>
          <w:rFonts w:ascii="Times New Roman" w:eastAsia="Malgun Gothic" w:hAnsi="Times New Roman" w:cs="Times New Roman"/>
          <w:sz w:val="20"/>
          <w:szCs w:val="20"/>
        </w:rPr>
      </w:pPr>
      <w:r w:rsidRPr="00C16258">
        <w:rPr>
          <w:rFonts w:ascii="Times New Roman" w:hAnsi="Times New Roman" w:cs="Times New Roman"/>
          <w:sz w:val="20"/>
          <w:szCs w:val="20"/>
        </w:rPr>
        <w:t xml:space="preserve">UE is required to maintain consistent </w:t>
      </w:r>
      <w:r w:rsidRPr="00C16258">
        <w:rPr>
          <w:rFonts w:ascii="Times New Roman" w:hAnsi="Times New Roman" w:cs="Times New Roman"/>
          <w:sz w:val="20"/>
          <w:szCs w:val="20"/>
        </w:rPr>
        <w:sym w:font="Symbol" w:char="F061"/>
      </w:r>
      <w:r w:rsidRPr="00C16258">
        <w:rPr>
          <w:rFonts w:ascii="Times New Roman" w:hAnsi="Times New Roman" w:cs="Times New Roman"/>
          <w:sz w:val="20"/>
          <w:szCs w:val="20"/>
          <w:vertAlign w:val="subscript"/>
        </w:rPr>
        <w:t>Rel-16</w:t>
      </w:r>
      <w:r w:rsidRPr="00C16258">
        <w:rPr>
          <w:rFonts w:ascii="Times New Roman" w:hAnsi="Times New Roman" w:cs="Times New Roman"/>
          <w:sz w:val="20"/>
          <w:szCs w:val="20"/>
        </w:rPr>
        <w:fldChar w:fldCharType="begin"/>
      </w:r>
      <w:r w:rsidRPr="00C16258">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α</m:t>
            </m:r>
          </m:e>
          <m:sub>
            <m:r>
              <m:rPr>
                <m:sty m:val="p"/>
              </m:rPr>
              <w:rPr>
                <w:rFonts w:ascii="Cambria Math" w:hAnsi="Cambria Math" w:cs="Times New Roman"/>
                <w:sz w:val="20"/>
                <w:szCs w:val="20"/>
              </w:rPr>
              <m:t>Rel-16</m:t>
            </m:r>
          </m:sub>
        </m:sSub>
      </m:oMath>
      <w:r w:rsidRPr="00C16258">
        <w:rPr>
          <w:rFonts w:ascii="Times New Roman" w:hAnsi="Times New Roman" w:cs="Times New Roman"/>
          <w:sz w:val="20"/>
          <w:szCs w:val="20"/>
        </w:rPr>
        <w:instrText xml:space="preserve"> </w:instrText>
      </w:r>
      <w:r w:rsidRPr="00C16258">
        <w:rPr>
          <w:rFonts w:ascii="Times New Roman" w:hAnsi="Times New Roman" w:cs="Times New Roman"/>
          <w:sz w:val="20"/>
          <w:szCs w:val="20"/>
        </w:rPr>
        <w:fldChar w:fldCharType="end"/>
      </w:r>
      <w:r w:rsidRPr="00C16258">
        <w:rPr>
          <w:rFonts w:ascii="Times New Roman" w:hAnsi="Times New Roman" w:cs="Times New Roman"/>
          <w:sz w:val="20"/>
          <w:szCs w:val="20"/>
        </w:rPr>
        <w:t xml:space="preserve"> value on different occasions of PUSCH transmissions with the same precoder for PUSCH</w:t>
      </w:r>
    </w:p>
    <w:p w:rsidR="00DE3890" w:rsidRDefault="00DE3890" w:rsidP="00BC27A2">
      <w:pPr>
        <w:jc w:val="both"/>
        <w:rPr>
          <w:rFonts w:ascii="Times New Roman" w:hAnsi="Times New Roman" w:cs="Times New Roman"/>
          <w:sz w:val="20"/>
          <w:szCs w:val="20"/>
          <w:lang w:val="en-GB"/>
        </w:rPr>
      </w:pPr>
    </w:p>
    <w:p w:rsidR="00C37368" w:rsidRDefault="00A45E85" w:rsidP="00BC27A2">
      <w:pPr>
        <w:jc w:val="both"/>
        <w:rPr>
          <w:rFonts w:ascii="Times New Roman" w:hAnsi="Times New Roman" w:cs="Times New Roman"/>
          <w:sz w:val="20"/>
          <w:szCs w:val="20"/>
        </w:rPr>
      </w:pPr>
      <w:r>
        <w:rPr>
          <w:rFonts w:ascii="Times New Roman" w:hAnsi="Times New Roman" w:cs="Times New Roman"/>
          <w:sz w:val="20"/>
          <w:szCs w:val="20"/>
          <w:lang w:val="en-GB"/>
        </w:rPr>
        <w:t xml:space="preserve">This option introduces a ratio value, </w:t>
      </w:r>
      <w:r w:rsidRPr="00C16258">
        <w:rPr>
          <w:rFonts w:ascii="Times New Roman" w:hAnsi="Times New Roman" w:cs="Times New Roman"/>
          <w:sz w:val="20"/>
          <w:szCs w:val="20"/>
        </w:rPr>
        <w:sym w:font="Symbol" w:char="F061"/>
      </w:r>
      <w:r w:rsidRPr="00C16258">
        <w:rPr>
          <w:rFonts w:ascii="Times New Roman" w:hAnsi="Times New Roman" w:cs="Times New Roman"/>
          <w:sz w:val="20"/>
          <w:szCs w:val="20"/>
          <w:vertAlign w:val="subscript"/>
        </w:rPr>
        <w:t>Rel-16</w:t>
      </w:r>
      <w:r w:rsidR="00DE3890">
        <w:rPr>
          <w:rFonts w:ascii="Times New Roman" w:hAnsi="Times New Roman" w:cs="Times New Roman"/>
          <w:sz w:val="20"/>
          <w:szCs w:val="20"/>
          <w:lang w:val="en-GB"/>
        </w:rPr>
        <w:t>, w</w:t>
      </w:r>
      <w:r>
        <w:rPr>
          <w:rFonts w:ascii="Times New Roman" w:hAnsi="Times New Roman" w:cs="Times New Roman"/>
          <w:sz w:val="20"/>
          <w:szCs w:val="20"/>
          <w:lang w:val="en-GB"/>
        </w:rPr>
        <w:t xml:space="preserve">hich will be used to scale the Tx power “up to UE implementation” within the range of </w:t>
      </w:r>
      <w:r w:rsidRPr="00C16258">
        <w:rPr>
          <w:rFonts w:ascii="Times New Roman" w:hAnsi="Times New Roman" w:cs="Times New Roman"/>
          <w:sz w:val="20"/>
          <w:szCs w:val="20"/>
        </w:rPr>
        <w:t>[</w:t>
      </w:r>
      <w:r w:rsidRPr="00C16258">
        <w:rPr>
          <w:rFonts w:ascii="Times New Roman" w:hAnsi="Times New Roman" w:cs="Times New Roman"/>
          <w:sz w:val="20"/>
          <w:szCs w:val="20"/>
        </w:rPr>
        <w:sym w:font="Symbol" w:char="F061"/>
      </w:r>
      <w:r w:rsidRPr="00C16258">
        <w:rPr>
          <w:rFonts w:ascii="Times New Roman" w:hAnsi="Times New Roman" w:cs="Times New Roman"/>
          <w:sz w:val="20"/>
          <w:szCs w:val="20"/>
          <w:vertAlign w:val="subscript"/>
        </w:rPr>
        <w:t>Rel-15</w:t>
      </w:r>
      <w:r>
        <w:rPr>
          <w:rFonts w:ascii="Times New Roman" w:hAnsi="Times New Roman" w:cs="Times New Roman"/>
          <w:sz w:val="20"/>
          <w:szCs w:val="20"/>
        </w:rPr>
        <w:t>, 1]. Basically it would be up to UE’s implementation to scale its Tx power. The network would have li</w:t>
      </w:r>
      <w:r w:rsidR="00DE3890">
        <w:rPr>
          <w:rFonts w:ascii="Times New Roman" w:hAnsi="Times New Roman" w:cs="Times New Roman"/>
          <w:sz w:val="20"/>
          <w:szCs w:val="20"/>
        </w:rPr>
        <w:t xml:space="preserve">ttle information on the actual value of </w:t>
      </w:r>
      <w:r w:rsidR="00DE3890" w:rsidRPr="00C16258">
        <w:rPr>
          <w:rFonts w:ascii="Times New Roman" w:hAnsi="Times New Roman" w:cs="Times New Roman"/>
          <w:sz w:val="20"/>
          <w:szCs w:val="20"/>
        </w:rPr>
        <w:sym w:font="Symbol" w:char="F061"/>
      </w:r>
      <w:r w:rsidR="00DE3890" w:rsidRPr="00C16258">
        <w:rPr>
          <w:rFonts w:ascii="Times New Roman" w:hAnsi="Times New Roman" w:cs="Times New Roman"/>
          <w:sz w:val="20"/>
          <w:szCs w:val="20"/>
          <w:vertAlign w:val="subscript"/>
        </w:rPr>
        <w:t>Rel-16</w:t>
      </w:r>
      <w:r w:rsidR="00DE3890">
        <w:rPr>
          <w:rFonts w:ascii="Times New Roman" w:hAnsi="Times New Roman" w:cs="Times New Roman"/>
          <w:sz w:val="20"/>
          <w:szCs w:val="20"/>
          <w:vertAlign w:val="subscript"/>
        </w:rPr>
        <w:t xml:space="preserve"> </w:t>
      </w:r>
      <w:r w:rsidR="00DE3890">
        <w:rPr>
          <w:rFonts w:ascii="Times New Roman" w:hAnsi="Times New Roman" w:cs="Times New Roman"/>
          <w:sz w:val="20"/>
          <w:szCs w:val="20"/>
        </w:rPr>
        <w:t>and thus its Tx power. This clearly will</w:t>
      </w:r>
      <w:r>
        <w:rPr>
          <w:rFonts w:ascii="Times New Roman" w:hAnsi="Times New Roman" w:cs="Times New Roman"/>
          <w:sz w:val="20"/>
          <w:szCs w:val="20"/>
        </w:rPr>
        <w:t xml:space="preserve"> impact on uplink power control</w:t>
      </w:r>
      <w:r w:rsidR="00DE3890">
        <w:rPr>
          <w:rFonts w:ascii="Times New Roman" w:hAnsi="Times New Roman" w:cs="Times New Roman"/>
          <w:sz w:val="20"/>
          <w:szCs w:val="20"/>
        </w:rPr>
        <w:t xml:space="preserve"> performance. The overall UL performance will likely be impacted if there are significant of UEs with their corresponding Tx power scaled by UE specific </w:t>
      </w:r>
      <w:r w:rsidR="00DE3890" w:rsidRPr="00C16258">
        <w:rPr>
          <w:rFonts w:ascii="Times New Roman" w:hAnsi="Times New Roman" w:cs="Times New Roman"/>
          <w:sz w:val="20"/>
          <w:szCs w:val="20"/>
        </w:rPr>
        <w:sym w:font="Symbol" w:char="F061"/>
      </w:r>
      <w:r w:rsidR="00DE3890" w:rsidRPr="00C16258">
        <w:rPr>
          <w:rFonts w:ascii="Times New Roman" w:hAnsi="Times New Roman" w:cs="Times New Roman"/>
          <w:sz w:val="20"/>
          <w:szCs w:val="20"/>
          <w:vertAlign w:val="subscript"/>
        </w:rPr>
        <w:t>Rel-16</w:t>
      </w:r>
      <w:r w:rsidR="00DE3890">
        <w:rPr>
          <w:rFonts w:ascii="Times New Roman" w:hAnsi="Times New Roman" w:cs="Times New Roman"/>
          <w:sz w:val="20"/>
          <w:szCs w:val="20"/>
        </w:rPr>
        <w:t xml:space="preserve">. </w:t>
      </w:r>
    </w:p>
    <w:p w:rsidR="00A45E85" w:rsidRPr="00DE3890" w:rsidRDefault="00DE3890" w:rsidP="00BC27A2">
      <w:pPr>
        <w:jc w:val="both"/>
        <w:rPr>
          <w:rFonts w:ascii="Times New Roman" w:hAnsi="Times New Roman" w:cs="Times New Roman"/>
          <w:b/>
          <w:sz w:val="20"/>
          <w:szCs w:val="20"/>
        </w:rPr>
      </w:pPr>
      <w:r w:rsidRPr="00DE3890">
        <w:rPr>
          <w:rFonts w:ascii="Times New Roman" w:hAnsi="Times New Roman" w:cs="Times New Roman"/>
          <w:b/>
          <w:sz w:val="20"/>
          <w:szCs w:val="20"/>
        </w:rPr>
        <w:lastRenderedPageBreak/>
        <w:t>Proposal 5: Further study potential UL performance impact of Option 5.</w:t>
      </w:r>
    </w:p>
    <w:p w:rsidR="00DE3890" w:rsidRPr="00043F52" w:rsidRDefault="00DE3890" w:rsidP="00DE3890">
      <w:pPr>
        <w:rPr>
          <w:rFonts w:ascii="Times New Roman" w:hAnsi="Times New Roman" w:cs="Times New Roman"/>
          <w:sz w:val="20"/>
          <w:szCs w:val="20"/>
          <w:u w:val="single"/>
          <w:lang w:val="en-GB" w:eastAsia="en-US"/>
        </w:rPr>
      </w:pPr>
      <w:r w:rsidRPr="00043F52">
        <w:rPr>
          <w:rFonts w:ascii="Times New Roman" w:hAnsi="Times New Roman" w:cs="Times New Roman"/>
          <w:sz w:val="20"/>
          <w:szCs w:val="20"/>
          <w:u w:val="single"/>
          <w:lang w:val="en-GB" w:eastAsia="en-US"/>
        </w:rPr>
        <w:t>Option 4: Up to UE implementation with UE capability signalling of full power transmission in UL</w:t>
      </w:r>
    </w:p>
    <w:p w:rsidR="002C764B" w:rsidRDefault="00DE3890" w:rsidP="00BC27A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If there is no agreement on any </w:t>
      </w:r>
      <w:r w:rsidR="002C764B">
        <w:rPr>
          <w:rFonts w:ascii="Times New Roman" w:hAnsi="Times New Roman" w:cs="Times New Roman"/>
          <w:sz w:val="20"/>
          <w:szCs w:val="20"/>
          <w:lang w:val="en-GB"/>
        </w:rPr>
        <w:t xml:space="preserve">other </w:t>
      </w:r>
      <w:r>
        <w:rPr>
          <w:rFonts w:ascii="Times New Roman" w:hAnsi="Times New Roman" w:cs="Times New Roman"/>
          <w:sz w:val="20"/>
          <w:szCs w:val="20"/>
          <w:lang w:val="en-GB"/>
        </w:rPr>
        <w:t xml:space="preserve">solution, this option will likely be the final </w:t>
      </w:r>
      <w:r w:rsidR="002C764B">
        <w:rPr>
          <w:rFonts w:ascii="Times New Roman" w:hAnsi="Times New Roman" w:cs="Times New Roman"/>
          <w:sz w:val="20"/>
          <w:szCs w:val="20"/>
          <w:lang w:val="en-GB"/>
        </w:rPr>
        <w:t>solution</w:t>
      </w:r>
      <w:r>
        <w:rPr>
          <w:rFonts w:ascii="Times New Roman" w:hAnsi="Times New Roman" w:cs="Times New Roman"/>
          <w:sz w:val="20"/>
          <w:szCs w:val="20"/>
          <w:lang w:val="en-GB"/>
        </w:rPr>
        <w:t xml:space="preserve">. Since UE will report its full power Tx capability, </w:t>
      </w:r>
      <w:r w:rsidR="002C764B">
        <w:rPr>
          <w:rFonts w:ascii="Times New Roman" w:hAnsi="Times New Roman" w:cs="Times New Roman"/>
          <w:sz w:val="20"/>
          <w:szCs w:val="20"/>
          <w:lang w:val="en-GB"/>
        </w:rPr>
        <w:t xml:space="preserve">network can make proper UE scheduling for UE with limited full power Tx capability. </w:t>
      </w:r>
    </w:p>
    <w:p w:rsidR="00DE3890" w:rsidRDefault="00DE3890" w:rsidP="00BC27A2">
      <w:pPr>
        <w:jc w:val="both"/>
        <w:rPr>
          <w:rFonts w:ascii="Times New Roman" w:hAnsi="Times New Roman" w:cs="Times New Roman"/>
          <w:sz w:val="20"/>
          <w:szCs w:val="20"/>
          <w:lang w:val="en-GB"/>
        </w:rPr>
      </w:pPr>
    </w:p>
    <w:p w:rsidR="00930825" w:rsidRDefault="003673B3" w:rsidP="00B12B1E">
      <w:pPr>
        <w:pStyle w:val="Heading1"/>
        <w:jc w:val="both"/>
      </w:pPr>
      <w:r>
        <w:t>3</w:t>
      </w:r>
      <w:r w:rsidR="00930825">
        <w:tab/>
        <w:t>Conclusion</w:t>
      </w:r>
      <w:r w:rsidR="00B47610">
        <w:t>s</w:t>
      </w:r>
    </w:p>
    <w:p w:rsidR="00D60C0C" w:rsidRDefault="00553335" w:rsidP="002B7F6C">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The full uplink Tx power issue with non/partial coherent precoders is discussed in the contribution. </w:t>
      </w:r>
      <w:r w:rsidR="002C764B">
        <w:rPr>
          <w:rFonts w:ascii="Times New Roman" w:hAnsi="Times New Roman" w:cs="Times New Roman"/>
          <w:sz w:val="20"/>
          <w:szCs w:val="20"/>
          <w:lang w:val="en-GB" w:eastAsia="en-US"/>
        </w:rPr>
        <w:t>We have these proposals:</w:t>
      </w:r>
    </w:p>
    <w:p w:rsidR="008D5F08" w:rsidRPr="00553335" w:rsidRDefault="002C764B" w:rsidP="008D5F08">
      <w:pPr>
        <w:rPr>
          <w:rFonts w:ascii="Times New Roman" w:hAnsi="Times New Roman" w:cs="Times New Roman"/>
          <w:b/>
          <w:sz w:val="20"/>
          <w:szCs w:val="20"/>
          <w:lang w:val="en-GB" w:eastAsia="en-US"/>
        </w:rPr>
      </w:pPr>
      <w:r w:rsidRPr="00E74FD1">
        <w:rPr>
          <w:rFonts w:ascii="Times New Roman" w:hAnsi="Times New Roman" w:cs="Times New Roman"/>
          <w:b/>
          <w:sz w:val="20"/>
          <w:szCs w:val="20"/>
          <w:lang w:val="en-GB" w:eastAsia="en-US"/>
        </w:rPr>
        <w:t>Proposal</w:t>
      </w:r>
      <w:r>
        <w:rPr>
          <w:rFonts w:ascii="Times New Roman" w:hAnsi="Times New Roman" w:cs="Times New Roman"/>
          <w:b/>
          <w:sz w:val="20"/>
          <w:szCs w:val="20"/>
          <w:lang w:val="en-GB" w:eastAsia="en-US"/>
        </w:rPr>
        <w:t xml:space="preserve"> 1</w:t>
      </w:r>
      <w:r w:rsidRPr="00E74FD1">
        <w:rPr>
          <w:rFonts w:ascii="Times New Roman" w:hAnsi="Times New Roman" w:cs="Times New Roman"/>
          <w:b/>
          <w:sz w:val="20"/>
          <w:szCs w:val="20"/>
          <w:lang w:val="en-GB" w:eastAsia="en-US"/>
        </w:rPr>
        <w:t xml:space="preserve">: Support </w:t>
      </w:r>
      <w:r>
        <w:rPr>
          <w:rFonts w:ascii="Times New Roman" w:hAnsi="Times New Roman" w:cs="Times New Roman"/>
          <w:b/>
          <w:sz w:val="20"/>
          <w:szCs w:val="20"/>
          <w:lang w:val="en-GB" w:eastAsia="en-US"/>
        </w:rPr>
        <w:t xml:space="preserve">to </w:t>
      </w:r>
      <w:r w:rsidRPr="00E74FD1">
        <w:rPr>
          <w:rFonts w:ascii="Times New Roman" w:hAnsi="Times New Roman" w:cs="Times New Roman"/>
          <w:b/>
          <w:sz w:val="20"/>
          <w:szCs w:val="20"/>
          <w:lang w:val="en-GB" w:eastAsia="en-US"/>
        </w:rPr>
        <w:t>adjust the non-coherent and partial-coherent codebook size</w:t>
      </w:r>
      <w:r>
        <w:rPr>
          <w:rFonts w:ascii="Times New Roman" w:hAnsi="Times New Roman" w:cs="Times New Roman"/>
          <w:b/>
          <w:sz w:val="20"/>
          <w:szCs w:val="20"/>
          <w:lang w:val="en-GB" w:eastAsia="en-US"/>
        </w:rPr>
        <w:t xml:space="preserve"> with a new codebook subset.</w:t>
      </w:r>
    </w:p>
    <w:p w:rsidR="002C764B" w:rsidRPr="00560599" w:rsidRDefault="002C764B" w:rsidP="002C764B">
      <w:pPr>
        <w:jc w:val="both"/>
        <w:rPr>
          <w:rFonts w:ascii="Times New Roman" w:hAnsi="Times New Roman" w:cs="Times New Roman"/>
          <w:b/>
          <w:sz w:val="20"/>
          <w:szCs w:val="20"/>
          <w:lang w:val="en-GB" w:eastAsia="en-US"/>
        </w:rPr>
      </w:pPr>
      <w:r w:rsidRPr="00560599">
        <w:rPr>
          <w:rFonts w:ascii="Times New Roman" w:hAnsi="Times New Roman" w:cs="Times New Roman"/>
          <w:b/>
          <w:sz w:val="20"/>
          <w:szCs w:val="20"/>
          <w:lang w:val="en-GB" w:eastAsia="en-US"/>
        </w:rPr>
        <w:t>Proposal</w:t>
      </w:r>
      <w:r>
        <w:rPr>
          <w:rFonts w:ascii="Times New Roman" w:hAnsi="Times New Roman" w:cs="Times New Roman"/>
          <w:b/>
          <w:sz w:val="20"/>
          <w:szCs w:val="20"/>
          <w:lang w:val="en-GB" w:eastAsia="en-US"/>
        </w:rPr>
        <w:t xml:space="preserve"> 2</w:t>
      </w:r>
      <w:r w:rsidRPr="00560599">
        <w:rPr>
          <w:rFonts w:ascii="Times New Roman" w:hAnsi="Times New Roman" w:cs="Times New Roman"/>
          <w:b/>
          <w:sz w:val="20"/>
          <w:szCs w:val="20"/>
          <w:lang w:val="en-GB" w:eastAsia="en-US"/>
        </w:rPr>
        <w:t>: Support UE capacity indication of its full Tx power capability.</w:t>
      </w:r>
    </w:p>
    <w:p w:rsidR="002C764B" w:rsidRPr="00553335" w:rsidRDefault="002C764B" w:rsidP="002C764B">
      <w:pPr>
        <w:rPr>
          <w:rFonts w:ascii="Times New Roman" w:hAnsi="Times New Roman" w:cs="Times New Roman"/>
          <w:b/>
          <w:sz w:val="20"/>
          <w:szCs w:val="20"/>
          <w:lang w:val="en-GB" w:eastAsia="en-US"/>
        </w:rPr>
      </w:pPr>
      <w:r>
        <w:rPr>
          <w:rFonts w:ascii="Times New Roman" w:hAnsi="Times New Roman" w:cs="Times New Roman"/>
          <w:b/>
          <w:sz w:val="20"/>
          <w:szCs w:val="20"/>
          <w:lang w:val="en-GB" w:eastAsia="en-US"/>
        </w:rPr>
        <w:t>Proposal 3</w:t>
      </w:r>
      <w:r w:rsidRPr="00553335">
        <w:rPr>
          <w:rFonts w:ascii="Times New Roman" w:hAnsi="Times New Roman" w:cs="Times New Roman"/>
          <w:b/>
          <w:sz w:val="20"/>
          <w:szCs w:val="20"/>
          <w:lang w:val="en-GB" w:eastAsia="en-US"/>
        </w:rPr>
        <w:t>: Clarification on the uplink power control on the number of “configured” antenna ports is needed</w:t>
      </w:r>
      <w:r>
        <w:rPr>
          <w:rFonts w:ascii="Times New Roman" w:hAnsi="Times New Roman" w:cs="Times New Roman"/>
          <w:b/>
          <w:sz w:val="20"/>
          <w:szCs w:val="20"/>
          <w:lang w:val="en-GB" w:eastAsia="en-US"/>
        </w:rPr>
        <w:t>.</w:t>
      </w:r>
    </w:p>
    <w:p w:rsidR="002C764B" w:rsidRPr="00DE3890" w:rsidRDefault="002C764B" w:rsidP="002C764B">
      <w:pPr>
        <w:jc w:val="both"/>
        <w:rPr>
          <w:rFonts w:ascii="Times New Roman" w:hAnsi="Times New Roman" w:cs="Times New Roman"/>
          <w:b/>
          <w:sz w:val="20"/>
          <w:szCs w:val="20"/>
          <w:lang w:val="en-GB" w:eastAsia="en-US"/>
        </w:rPr>
      </w:pPr>
      <w:r w:rsidRPr="00DE3890">
        <w:rPr>
          <w:rFonts w:ascii="Times New Roman" w:hAnsi="Times New Roman" w:cs="Times New Roman"/>
          <w:b/>
          <w:sz w:val="20"/>
          <w:szCs w:val="20"/>
          <w:lang w:val="en-GB" w:eastAsia="en-US"/>
        </w:rPr>
        <w:t>Proposal 4: Align uplink codebook scaling factor definition for both Rel-15 UL codebooks and Rel-16 UL codebooks.</w:t>
      </w:r>
    </w:p>
    <w:p w:rsidR="002C764B" w:rsidRPr="00DE3890" w:rsidRDefault="002C764B" w:rsidP="002C764B">
      <w:pPr>
        <w:jc w:val="both"/>
        <w:rPr>
          <w:rFonts w:ascii="Times New Roman" w:hAnsi="Times New Roman" w:cs="Times New Roman"/>
          <w:b/>
          <w:sz w:val="20"/>
          <w:szCs w:val="20"/>
        </w:rPr>
      </w:pPr>
      <w:r w:rsidRPr="00DE3890">
        <w:rPr>
          <w:rFonts w:ascii="Times New Roman" w:hAnsi="Times New Roman" w:cs="Times New Roman"/>
          <w:b/>
          <w:sz w:val="20"/>
          <w:szCs w:val="20"/>
        </w:rPr>
        <w:t>Proposal 5: Further study potential UL performance impact of Option 5.</w:t>
      </w:r>
    </w:p>
    <w:p w:rsidR="00553335" w:rsidRDefault="00553335" w:rsidP="002B7F6C">
      <w:pPr>
        <w:jc w:val="both"/>
        <w:rPr>
          <w:rFonts w:ascii="Times New Roman" w:hAnsi="Times New Roman" w:cs="Times New Roman"/>
          <w:sz w:val="20"/>
          <w:szCs w:val="20"/>
          <w:lang w:val="en-GB" w:eastAsia="en-US"/>
        </w:rPr>
      </w:pPr>
    </w:p>
    <w:p w:rsidR="00453A60" w:rsidRPr="00791982" w:rsidRDefault="00453A60" w:rsidP="00B12B1E">
      <w:pPr>
        <w:pStyle w:val="Heading1"/>
        <w:jc w:val="both"/>
      </w:pPr>
      <w:r w:rsidRPr="00E86042">
        <w:t>References</w:t>
      </w:r>
    </w:p>
    <w:p w:rsidR="00D556A1" w:rsidRDefault="00D556A1" w:rsidP="00B12B1E">
      <w:pPr>
        <w:ind w:left="540" w:hanging="540"/>
        <w:jc w:val="both"/>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RAN1 #94bis meeting, Chair’s notes, October, 2018</w:t>
      </w:r>
    </w:p>
    <w:p w:rsidR="00E97ABD" w:rsidRDefault="00E97ABD"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RAN1 #95 meeting, Chair’s notes, November, 2018</w:t>
      </w:r>
    </w:p>
    <w:p w:rsidR="00453A60" w:rsidRDefault="00453A60" w:rsidP="00B12B1E">
      <w:pPr>
        <w:ind w:left="540" w:hanging="540"/>
        <w:jc w:val="both"/>
        <w:rPr>
          <w:rFonts w:ascii="Times New Roman" w:hAnsi="Times New Roman" w:cs="Times New Roman"/>
          <w:sz w:val="20"/>
          <w:szCs w:val="20"/>
        </w:rPr>
      </w:pPr>
      <w:r w:rsidRPr="00C40A08">
        <w:rPr>
          <w:rFonts w:ascii="Times New Roman" w:hAnsi="Times New Roman" w:cs="Times New Roman"/>
          <w:sz w:val="20"/>
          <w:szCs w:val="20"/>
        </w:rPr>
        <w:t>[</w:t>
      </w:r>
      <w:r w:rsidR="00E97ABD">
        <w:rPr>
          <w:rFonts w:ascii="Times New Roman" w:hAnsi="Times New Roman" w:cs="Times New Roman"/>
          <w:sz w:val="20"/>
          <w:szCs w:val="20"/>
        </w:rPr>
        <w:t>3</w:t>
      </w:r>
      <w:r w:rsidRPr="00C40A08">
        <w:rPr>
          <w:rFonts w:ascii="Times New Roman" w:hAnsi="Times New Roman" w:cs="Times New Roman"/>
          <w:sz w:val="20"/>
          <w:szCs w:val="20"/>
        </w:rPr>
        <w:t>]</w:t>
      </w:r>
      <w:r w:rsidRPr="00C40A08">
        <w:rPr>
          <w:rFonts w:ascii="Times New Roman" w:hAnsi="Times New Roman" w:cs="Times New Roman"/>
          <w:sz w:val="20"/>
          <w:szCs w:val="20"/>
        </w:rPr>
        <w:tab/>
      </w:r>
      <w:r w:rsidR="00577EEA">
        <w:rPr>
          <w:rFonts w:ascii="Times New Roman" w:hAnsi="Times New Roman" w:cs="Times New Roman"/>
          <w:sz w:val="20"/>
          <w:szCs w:val="20"/>
        </w:rPr>
        <w:t>RP-182067, Revised WID: enhancements on MIMO for NR, RAN #81, Sept, 2018</w:t>
      </w:r>
    </w:p>
    <w:p w:rsidR="00577EEA" w:rsidRDefault="00577EEA" w:rsidP="00B12B1E">
      <w:pPr>
        <w:ind w:left="540" w:hanging="540"/>
        <w:jc w:val="both"/>
        <w:rPr>
          <w:rFonts w:ascii="Times New Roman" w:hAnsi="Times New Roman" w:cs="Times New Roman"/>
          <w:sz w:val="20"/>
          <w:szCs w:val="20"/>
        </w:rPr>
      </w:pPr>
    </w:p>
    <w:p w:rsidR="00B47610" w:rsidRDefault="00B47610" w:rsidP="00B47610">
      <w:pPr>
        <w:jc w:val="both"/>
        <w:rPr>
          <w:rFonts w:ascii="Times New Roman" w:hAnsi="Times New Roman" w:cs="Times New Roman"/>
          <w:sz w:val="20"/>
          <w:szCs w:val="20"/>
        </w:rPr>
      </w:pPr>
    </w:p>
    <w:sectPr w:rsidR="00B4761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1E35" w:rsidRDefault="00B11E35">
      <w:r>
        <w:separator/>
      </w:r>
    </w:p>
  </w:endnote>
  <w:endnote w:type="continuationSeparator" w:id="0">
    <w:p w:rsidR="00B11E35" w:rsidRDefault="00B11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1E35" w:rsidRDefault="00B11E35">
      <w:r>
        <w:separator/>
      </w:r>
    </w:p>
  </w:footnote>
  <w:footnote w:type="continuationSeparator" w:id="0">
    <w:p w:rsidR="00B11E35" w:rsidRDefault="00B11E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6pt;height:9.6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12236B"/>
    <w:multiLevelType w:val="hybridMultilevel"/>
    <w:tmpl w:val="9C76F73E"/>
    <w:lvl w:ilvl="0" w:tplc="64265C0C">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051AF"/>
    <w:multiLevelType w:val="hybridMultilevel"/>
    <w:tmpl w:val="D6B681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362B0"/>
    <w:multiLevelType w:val="hybridMultilevel"/>
    <w:tmpl w:val="2E66552E"/>
    <w:lvl w:ilvl="0" w:tplc="4B381A74">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E31BF"/>
    <w:multiLevelType w:val="hybridMultilevel"/>
    <w:tmpl w:val="2A1AA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23735"/>
    <w:multiLevelType w:val="hybridMultilevel"/>
    <w:tmpl w:val="23EC7148"/>
    <w:lvl w:ilvl="0" w:tplc="B2D06CB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07DDB"/>
    <w:multiLevelType w:val="hybridMultilevel"/>
    <w:tmpl w:val="7288384E"/>
    <w:lvl w:ilvl="0" w:tplc="ED7076B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81206B6"/>
    <w:multiLevelType w:val="hybridMultilevel"/>
    <w:tmpl w:val="8E608BAE"/>
    <w:lvl w:ilvl="0" w:tplc="743C9DD6">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3D5660"/>
    <w:multiLevelType w:val="hybridMultilevel"/>
    <w:tmpl w:val="F8E624D6"/>
    <w:lvl w:ilvl="0" w:tplc="D5222232">
      <w:numFmt w:val="bullet"/>
      <w:lvlText w:val="-"/>
      <w:lvlJc w:val="left"/>
      <w:pPr>
        <w:ind w:left="450" w:hanging="360"/>
      </w:pPr>
      <w:rPr>
        <w:rFonts w:ascii="Calibri" w:eastAsia="Malgun Gothic" w:hAnsi="Calibri" w:cs="Times New Roman" w:hint="default"/>
      </w:rPr>
    </w:lvl>
    <w:lvl w:ilvl="1" w:tplc="D5222232">
      <w:numFmt w:val="bullet"/>
      <w:lvlText w:val="-"/>
      <w:lvlJc w:val="left"/>
      <w:pPr>
        <w:ind w:left="1170" w:hanging="360"/>
      </w:pPr>
      <w:rPr>
        <w:rFonts w:ascii="Calibri" w:eastAsia="Malgun Gothic" w:hAnsi="Calibri" w:cs="Times New Roman"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21" w15:restartNumberingAfterBreak="0">
    <w:nsid w:val="3DE131E7"/>
    <w:multiLevelType w:val="hybridMultilevel"/>
    <w:tmpl w:val="2A40466A"/>
    <w:lvl w:ilvl="0" w:tplc="DDDAA3E8">
      <w:start w:val="1"/>
      <w:numFmt w:val="bullet"/>
      <w:lvlText w:val="•"/>
      <w:lvlJc w:val="left"/>
      <w:pPr>
        <w:tabs>
          <w:tab w:val="num" w:pos="720"/>
        </w:tabs>
        <w:ind w:left="720" w:hanging="360"/>
      </w:pPr>
      <w:rPr>
        <w:rFonts w:ascii="Arial" w:hAnsi="Arial" w:hint="default"/>
      </w:rPr>
    </w:lvl>
    <w:lvl w:ilvl="1" w:tplc="82E2BC68">
      <w:numFmt w:val="bullet"/>
      <w:lvlText w:val="–"/>
      <w:lvlJc w:val="left"/>
      <w:pPr>
        <w:tabs>
          <w:tab w:val="num" w:pos="1440"/>
        </w:tabs>
        <w:ind w:left="1440" w:hanging="360"/>
      </w:pPr>
      <w:rPr>
        <w:rFonts w:ascii="Arial" w:hAnsi="Arial" w:hint="default"/>
      </w:rPr>
    </w:lvl>
    <w:lvl w:ilvl="2" w:tplc="8ED61166">
      <w:numFmt w:val="bullet"/>
      <w:lvlText w:val="•"/>
      <w:lvlJc w:val="left"/>
      <w:pPr>
        <w:tabs>
          <w:tab w:val="num" w:pos="2160"/>
        </w:tabs>
        <w:ind w:left="2160" w:hanging="360"/>
      </w:pPr>
      <w:rPr>
        <w:rFonts w:ascii="Arial" w:hAnsi="Arial" w:hint="default"/>
      </w:rPr>
    </w:lvl>
    <w:lvl w:ilvl="3" w:tplc="BB60C586">
      <w:start w:val="1"/>
      <w:numFmt w:val="bullet"/>
      <w:lvlText w:val="•"/>
      <w:lvlJc w:val="left"/>
      <w:pPr>
        <w:tabs>
          <w:tab w:val="num" w:pos="2880"/>
        </w:tabs>
        <w:ind w:left="2880" w:hanging="360"/>
      </w:pPr>
      <w:rPr>
        <w:rFonts w:ascii="Arial" w:hAnsi="Arial" w:hint="default"/>
      </w:rPr>
    </w:lvl>
    <w:lvl w:ilvl="4" w:tplc="4E0A474C" w:tentative="1">
      <w:start w:val="1"/>
      <w:numFmt w:val="bullet"/>
      <w:lvlText w:val="•"/>
      <w:lvlJc w:val="left"/>
      <w:pPr>
        <w:tabs>
          <w:tab w:val="num" w:pos="3600"/>
        </w:tabs>
        <w:ind w:left="3600" w:hanging="360"/>
      </w:pPr>
      <w:rPr>
        <w:rFonts w:ascii="Arial" w:hAnsi="Arial" w:hint="default"/>
      </w:rPr>
    </w:lvl>
    <w:lvl w:ilvl="5" w:tplc="A5425B70" w:tentative="1">
      <w:start w:val="1"/>
      <w:numFmt w:val="bullet"/>
      <w:lvlText w:val="•"/>
      <w:lvlJc w:val="left"/>
      <w:pPr>
        <w:tabs>
          <w:tab w:val="num" w:pos="4320"/>
        </w:tabs>
        <w:ind w:left="4320" w:hanging="360"/>
      </w:pPr>
      <w:rPr>
        <w:rFonts w:ascii="Arial" w:hAnsi="Arial" w:hint="default"/>
      </w:rPr>
    </w:lvl>
    <w:lvl w:ilvl="6" w:tplc="3E42CB02" w:tentative="1">
      <w:start w:val="1"/>
      <w:numFmt w:val="bullet"/>
      <w:lvlText w:val="•"/>
      <w:lvlJc w:val="left"/>
      <w:pPr>
        <w:tabs>
          <w:tab w:val="num" w:pos="5040"/>
        </w:tabs>
        <w:ind w:left="5040" w:hanging="360"/>
      </w:pPr>
      <w:rPr>
        <w:rFonts w:ascii="Arial" w:hAnsi="Arial" w:hint="default"/>
      </w:rPr>
    </w:lvl>
    <w:lvl w:ilvl="7" w:tplc="A740E0D6" w:tentative="1">
      <w:start w:val="1"/>
      <w:numFmt w:val="bullet"/>
      <w:lvlText w:val="•"/>
      <w:lvlJc w:val="left"/>
      <w:pPr>
        <w:tabs>
          <w:tab w:val="num" w:pos="5760"/>
        </w:tabs>
        <w:ind w:left="5760" w:hanging="360"/>
      </w:pPr>
      <w:rPr>
        <w:rFonts w:ascii="Arial" w:hAnsi="Arial" w:hint="default"/>
      </w:rPr>
    </w:lvl>
    <w:lvl w:ilvl="8" w:tplc="EC3442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475B6C"/>
    <w:multiLevelType w:val="hybridMultilevel"/>
    <w:tmpl w:val="FECA3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C96A3F"/>
    <w:multiLevelType w:val="hybridMultilevel"/>
    <w:tmpl w:val="CD8ABF36"/>
    <w:lvl w:ilvl="0" w:tplc="49A8FEF0">
      <w:start w:val="18"/>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E163DC"/>
    <w:multiLevelType w:val="hybridMultilevel"/>
    <w:tmpl w:val="C5364B1C"/>
    <w:lvl w:ilvl="0" w:tplc="11F40666">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723146"/>
    <w:multiLevelType w:val="hybridMultilevel"/>
    <w:tmpl w:val="9A96FDF0"/>
    <w:lvl w:ilvl="0" w:tplc="CB90EB68">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582B7C"/>
    <w:multiLevelType w:val="hybridMultilevel"/>
    <w:tmpl w:val="13529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9B253E"/>
    <w:multiLevelType w:val="hybridMultilevel"/>
    <w:tmpl w:val="E08C1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DB5D87"/>
    <w:multiLevelType w:val="hybridMultilevel"/>
    <w:tmpl w:val="94A64402"/>
    <w:lvl w:ilvl="0" w:tplc="0D945FBE">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4"/>
  </w:num>
  <w:num w:numId="2">
    <w:abstractNumId w:val="8"/>
  </w:num>
  <w:num w:numId="3">
    <w:abstractNumId w:val="12"/>
  </w:num>
  <w:num w:numId="4">
    <w:abstractNumId w:val="18"/>
  </w:num>
  <w:num w:numId="5">
    <w:abstractNumId w:val="33"/>
  </w:num>
  <w:num w:numId="6">
    <w:abstractNumId w:val="13"/>
  </w:num>
  <w:num w:numId="7">
    <w:abstractNumId w:val="31"/>
  </w:num>
  <w:num w:numId="8">
    <w:abstractNumId w:val="32"/>
  </w:num>
  <w:num w:numId="9">
    <w:abstractNumId w:val="0"/>
  </w:num>
  <w:num w:numId="10">
    <w:abstractNumId w:val="19"/>
  </w:num>
  <w:num w:numId="11">
    <w:abstractNumId w:val="5"/>
  </w:num>
  <w:num w:numId="12">
    <w:abstractNumId w:val="22"/>
  </w:num>
  <w:num w:numId="13">
    <w:abstractNumId w:val="30"/>
  </w:num>
  <w:num w:numId="14">
    <w:abstractNumId w:val="24"/>
  </w:num>
  <w:num w:numId="15">
    <w:abstractNumId w:val="21"/>
  </w:num>
  <w:num w:numId="16">
    <w:abstractNumId w:val="4"/>
  </w:num>
  <w:num w:numId="17">
    <w:abstractNumId w:val="2"/>
  </w:num>
  <w:num w:numId="18">
    <w:abstractNumId w:val="7"/>
  </w:num>
  <w:num w:numId="19">
    <w:abstractNumId w:val="29"/>
  </w:num>
  <w:num w:numId="20">
    <w:abstractNumId w:val="16"/>
  </w:num>
  <w:num w:numId="21">
    <w:abstractNumId w:val="17"/>
  </w:num>
  <w:num w:numId="22">
    <w:abstractNumId w:val="3"/>
  </w:num>
  <w:num w:numId="23">
    <w:abstractNumId w:val="27"/>
  </w:num>
  <w:num w:numId="24">
    <w:abstractNumId w:val="26"/>
  </w:num>
  <w:num w:numId="25">
    <w:abstractNumId w:val="23"/>
  </w:num>
  <w:num w:numId="26">
    <w:abstractNumId w:val="34"/>
  </w:num>
  <w:num w:numId="27">
    <w:abstractNumId w:val="11"/>
  </w:num>
  <w:num w:numId="28">
    <w:abstractNumId w:val="20"/>
  </w:num>
  <w:num w:numId="29">
    <w:abstractNumId w:val="25"/>
  </w:num>
  <w:num w:numId="30">
    <w:abstractNumId w:val="10"/>
  </w:num>
  <w:num w:numId="31">
    <w:abstractNumId w:val="9"/>
  </w:num>
  <w:num w:numId="32">
    <w:abstractNumId w:val="15"/>
  </w:num>
  <w:num w:numId="33">
    <w:abstractNumId w:val="1"/>
  </w:num>
  <w:num w:numId="34">
    <w:abstractNumId w:val="28"/>
  </w:num>
  <w:num w:numId="3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D9"/>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5D0"/>
    <w:rsid w:val="00031AD4"/>
    <w:rsid w:val="00031C8B"/>
    <w:rsid w:val="00032497"/>
    <w:rsid w:val="00032523"/>
    <w:rsid w:val="000332E5"/>
    <w:rsid w:val="0003396B"/>
    <w:rsid w:val="0003525C"/>
    <w:rsid w:val="00036747"/>
    <w:rsid w:val="00036CB2"/>
    <w:rsid w:val="000374FD"/>
    <w:rsid w:val="000403A2"/>
    <w:rsid w:val="00040C6B"/>
    <w:rsid w:val="00041E94"/>
    <w:rsid w:val="00042225"/>
    <w:rsid w:val="000427FB"/>
    <w:rsid w:val="000438B8"/>
    <w:rsid w:val="00043CB2"/>
    <w:rsid w:val="00043E81"/>
    <w:rsid w:val="00043F52"/>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5C9"/>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53F"/>
    <w:rsid w:val="00074659"/>
    <w:rsid w:val="00074AE4"/>
    <w:rsid w:val="0007526D"/>
    <w:rsid w:val="000755B4"/>
    <w:rsid w:val="00075E55"/>
    <w:rsid w:val="0007612E"/>
    <w:rsid w:val="00076DB1"/>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745"/>
    <w:rsid w:val="00093F86"/>
    <w:rsid w:val="0009401C"/>
    <w:rsid w:val="000945F8"/>
    <w:rsid w:val="00095576"/>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6AE2"/>
    <w:rsid w:val="000C7659"/>
    <w:rsid w:val="000D019D"/>
    <w:rsid w:val="000D0254"/>
    <w:rsid w:val="000D0276"/>
    <w:rsid w:val="000D056B"/>
    <w:rsid w:val="000D16C3"/>
    <w:rsid w:val="000D1E5F"/>
    <w:rsid w:val="000D24B2"/>
    <w:rsid w:val="000D26AC"/>
    <w:rsid w:val="000D273D"/>
    <w:rsid w:val="000D27B2"/>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880"/>
    <w:rsid w:val="00133AC7"/>
    <w:rsid w:val="0013602C"/>
    <w:rsid w:val="001365B7"/>
    <w:rsid w:val="00137143"/>
    <w:rsid w:val="001372EA"/>
    <w:rsid w:val="00137B0E"/>
    <w:rsid w:val="00137D78"/>
    <w:rsid w:val="00140063"/>
    <w:rsid w:val="00140456"/>
    <w:rsid w:val="00140807"/>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6751"/>
    <w:rsid w:val="00166EAD"/>
    <w:rsid w:val="001670EA"/>
    <w:rsid w:val="00167108"/>
    <w:rsid w:val="00167347"/>
    <w:rsid w:val="001674A0"/>
    <w:rsid w:val="0017004F"/>
    <w:rsid w:val="001707D2"/>
    <w:rsid w:val="00170A4B"/>
    <w:rsid w:val="00170A88"/>
    <w:rsid w:val="00170B3C"/>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900A2"/>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63B"/>
    <w:rsid w:val="001D36C0"/>
    <w:rsid w:val="001D3B95"/>
    <w:rsid w:val="001D41AD"/>
    <w:rsid w:val="001D6678"/>
    <w:rsid w:val="001D7B4A"/>
    <w:rsid w:val="001E065E"/>
    <w:rsid w:val="001E2449"/>
    <w:rsid w:val="001E249B"/>
    <w:rsid w:val="001E2641"/>
    <w:rsid w:val="001E26E9"/>
    <w:rsid w:val="001E3C32"/>
    <w:rsid w:val="001E3D9E"/>
    <w:rsid w:val="001E3DBD"/>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360"/>
    <w:rsid w:val="001F264F"/>
    <w:rsid w:val="001F30EF"/>
    <w:rsid w:val="001F3136"/>
    <w:rsid w:val="001F3625"/>
    <w:rsid w:val="001F3FB3"/>
    <w:rsid w:val="001F4259"/>
    <w:rsid w:val="001F4660"/>
    <w:rsid w:val="001F4898"/>
    <w:rsid w:val="001F5019"/>
    <w:rsid w:val="001F50D7"/>
    <w:rsid w:val="001F62A4"/>
    <w:rsid w:val="001F6DC7"/>
    <w:rsid w:val="0020061F"/>
    <w:rsid w:val="00200870"/>
    <w:rsid w:val="00202151"/>
    <w:rsid w:val="002023B9"/>
    <w:rsid w:val="002026A7"/>
    <w:rsid w:val="00202AEC"/>
    <w:rsid w:val="00203461"/>
    <w:rsid w:val="002036D3"/>
    <w:rsid w:val="0020418C"/>
    <w:rsid w:val="00204B3A"/>
    <w:rsid w:val="00204BEC"/>
    <w:rsid w:val="00205969"/>
    <w:rsid w:val="00206164"/>
    <w:rsid w:val="00206773"/>
    <w:rsid w:val="002070DF"/>
    <w:rsid w:val="00207194"/>
    <w:rsid w:val="00207806"/>
    <w:rsid w:val="002101E0"/>
    <w:rsid w:val="002103E3"/>
    <w:rsid w:val="00210C30"/>
    <w:rsid w:val="00210C32"/>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53AE"/>
    <w:rsid w:val="002669FB"/>
    <w:rsid w:val="00266F6D"/>
    <w:rsid w:val="002674A5"/>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21A"/>
    <w:rsid w:val="00285488"/>
    <w:rsid w:val="00285510"/>
    <w:rsid w:val="00285C0D"/>
    <w:rsid w:val="00285D5C"/>
    <w:rsid w:val="002860D9"/>
    <w:rsid w:val="00286212"/>
    <w:rsid w:val="00286612"/>
    <w:rsid w:val="00286C86"/>
    <w:rsid w:val="00286E9E"/>
    <w:rsid w:val="00286FE0"/>
    <w:rsid w:val="002873A2"/>
    <w:rsid w:val="00287709"/>
    <w:rsid w:val="00287F64"/>
    <w:rsid w:val="00291165"/>
    <w:rsid w:val="002912A3"/>
    <w:rsid w:val="002914AA"/>
    <w:rsid w:val="002932A6"/>
    <w:rsid w:val="002937B8"/>
    <w:rsid w:val="00294C4F"/>
    <w:rsid w:val="00296976"/>
    <w:rsid w:val="00296D6D"/>
    <w:rsid w:val="00296F3E"/>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139E"/>
    <w:rsid w:val="002C180A"/>
    <w:rsid w:val="002C39FE"/>
    <w:rsid w:val="002C3A16"/>
    <w:rsid w:val="002C4EA6"/>
    <w:rsid w:val="002C5280"/>
    <w:rsid w:val="002C55A6"/>
    <w:rsid w:val="002C5D11"/>
    <w:rsid w:val="002C6255"/>
    <w:rsid w:val="002C6E3E"/>
    <w:rsid w:val="002C764B"/>
    <w:rsid w:val="002D0F79"/>
    <w:rsid w:val="002D1214"/>
    <w:rsid w:val="002D2B0D"/>
    <w:rsid w:val="002D2B82"/>
    <w:rsid w:val="002D2F36"/>
    <w:rsid w:val="002D32CC"/>
    <w:rsid w:val="002D365F"/>
    <w:rsid w:val="002D36B6"/>
    <w:rsid w:val="002D398F"/>
    <w:rsid w:val="002D3BF5"/>
    <w:rsid w:val="002D3F30"/>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968"/>
    <w:rsid w:val="002F3CD5"/>
    <w:rsid w:val="002F411A"/>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CEC"/>
    <w:rsid w:val="00313A59"/>
    <w:rsid w:val="00313A5B"/>
    <w:rsid w:val="00313CB0"/>
    <w:rsid w:val="00313F96"/>
    <w:rsid w:val="00313FD2"/>
    <w:rsid w:val="003151C8"/>
    <w:rsid w:val="003163A9"/>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6DAB"/>
    <w:rsid w:val="00327DEB"/>
    <w:rsid w:val="003302A3"/>
    <w:rsid w:val="003302DF"/>
    <w:rsid w:val="00330AFE"/>
    <w:rsid w:val="003315AB"/>
    <w:rsid w:val="00331C86"/>
    <w:rsid w:val="00332CA2"/>
    <w:rsid w:val="003344D2"/>
    <w:rsid w:val="00335235"/>
    <w:rsid w:val="00335B31"/>
    <w:rsid w:val="00335C2D"/>
    <w:rsid w:val="00340328"/>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1FB"/>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B3"/>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DD5"/>
    <w:rsid w:val="003900F3"/>
    <w:rsid w:val="0039015E"/>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67C"/>
    <w:rsid w:val="003E05FF"/>
    <w:rsid w:val="003E1325"/>
    <w:rsid w:val="003E2708"/>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3A7"/>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E4E"/>
    <w:rsid w:val="004567B7"/>
    <w:rsid w:val="00456D13"/>
    <w:rsid w:val="00457671"/>
    <w:rsid w:val="00457A67"/>
    <w:rsid w:val="0046048D"/>
    <w:rsid w:val="0046080B"/>
    <w:rsid w:val="00460FCA"/>
    <w:rsid w:val="00461210"/>
    <w:rsid w:val="00461E37"/>
    <w:rsid w:val="0046285A"/>
    <w:rsid w:val="00462F68"/>
    <w:rsid w:val="004632B6"/>
    <w:rsid w:val="00463B13"/>
    <w:rsid w:val="00464589"/>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5F22"/>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5B59"/>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1CBE"/>
    <w:rsid w:val="004C20B0"/>
    <w:rsid w:val="004C3507"/>
    <w:rsid w:val="004C3A83"/>
    <w:rsid w:val="004C473C"/>
    <w:rsid w:val="004C4B8F"/>
    <w:rsid w:val="004C4F58"/>
    <w:rsid w:val="004C5555"/>
    <w:rsid w:val="004C5E0E"/>
    <w:rsid w:val="004C6BED"/>
    <w:rsid w:val="004C7072"/>
    <w:rsid w:val="004C72E1"/>
    <w:rsid w:val="004C795A"/>
    <w:rsid w:val="004D006C"/>
    <w:rsid w:val="004D02C1"/>
    <w:rsid w:val="004D09C7"/>
    <w:rsid w:val="004D0A0D"/>
    <w:rsid w:val="004D0E0F"/>
    <w:rsid w:val="004D183A"/>
    <w:rsid w:val="004D18A0"/>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2BD"/>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4572"/>
    <w:rsid w:val="0052500C"/>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335"/>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0599"/>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EEA"/>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6F51"/>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261"/>
    <w:rsid w:val="005C2684"/>
    <w:rsid w:val="005C2EAB"/>
    <w:rsid w:val="005C2FE5"/>
    <w:rsid w:val="005C492F"/>
    <w:rsid w:val="005C50BD"/>
    <w:rsid w:val="005C55F6"/>
    <w:rsid w:val="005C5A5E"/>
    <w:rsid w:val="005C6471"/>
    <w:rsid w:val="005C76DF"/>
    <w:rsid w:val="005C7C25"/>
    <w:rsid w:val="005D08ED"/>
    <w:rsid w:val="005D1092"/>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0F36"/>
    <w:rsid w:val="00601116"/>
    <w:rsid w:val="00601227"/>
    <w:rsid w:val="00601B65"/>
    <w:rsid w:val="00601BD4"/>
    <w:rsid w:val="00602E4E"/>
    <w:rsid w:val="00602ED7"/>
    <w:rsid w:val="0060346C"/>
    <w:rsid w:val="006038A6"/>
    <w:rsid w:val="00603E9F"/>
    <w:rsid w:val="00604129"/>
    <w:rsid w:val="00604258"/>
    <w:rsid w:val="0060483B"/>
    <w:rsid w:val="006049A8"/>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321"/>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1FCC"/>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6DDB"/>
    <w:rsid w:val="00687270"/>
    <w:rsid w:val="0068783A"/>
    <w:rsid w:val="006905B1"/>
    <w:rsid w:val="006907DB"/>
    <w:rsid w:val="00690C7E"/>
    <w:rsid w:val="00690E94"/>
    <w:rsid w:val="00691E2A"/>
    <w:rsid w:val="00692561"/>
    <w:rsid w:val="006928F3"/>
    <w:rsid w:val="00692B08"/>
    <w:rsid w:val="00693F7D"/>
    <w:rsid w:val="00694270"/>
    <w:rsid w:val="006944F3"/>
    <w:rsid w:val="0069496A"/>
    <w:rsid w:val="00694C3E"/>
    <w:rsid w:val="006950E8"/>
    <w:rsid w:val="00695F8B"/>
    <w:rsid w:val="00696093"/>
    <w:rsid w:val="006973F6"/>
    <w:rsid w:val="006974AC"/>
    <w:rsid w:val="006975A7"/>
    <w:rsid w:val="006A0065"/>
    <w:rsid w:val="006A0D77"/>
    <w:rsid w:val="006A0DF4"/>
    <w:rsid w:val="006A196A"/>
    <w:rsid w:val="006A216A"/>
    <w:rsid w:val="006A2BA8"/>
    <w:rsid w:val="006A2EEE"/>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16E"/>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34FE"/>
    <w:rsid w:val="00733BDE"/>
    <w:rsid w:val="00733CC8"/>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6B50"/>
    <w:rsid w:val="00757052"/>
    <w:rsid w:val="007573D8"/>
    <w:rsid w:val="00757AED"/>
    <w:rsid w:val="00757E6B"/>
    <w:rsid w:val="007602E1"/>
    <w:rsid w:val="00760478"/>
    <w:rsid w:val="00760F56"/>
    <w:rsid w:val="007613F5"/>
    <w:rsid w:val="00761485"/>
    <w:rsid w:val="0076209A"/>
    <w:rsid w:val="00762498"/>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CC7"/>
    <w:rsid w:val="00780D9D"/>
    <w:rsid w:val="00781026"/>
    <w:rsid w:val="00781C4F"/>
    <w:rsid w:val="00781E6B"/>
    <w:rsid w:val="00782217"/>
    <w:rsid w:val="00782B81"/>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0C71"/>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5CAD"/>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521E"/>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58A"/>
    <w:rsid w:val="00895922"/>
    <w:rsid w:val="00896937"/>
    <w:rsid w:val="00896CB5"/>
    <w:rsid w:val="00896D4C"/>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17"/>
    <w:rsid w:val="008A66DC"/>
    <w:rsid w:val="008A68C6"/>
    <w:rsid w:val="008A7340"/>
    <w:rsid w:val="008B016F"/>
    <w:rsid w:val="008B02FA"/>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5EF3"/>
    <w:rsid w:val="008C62C8"/>
    <w:rsid w:val="008C6EF2"/>
    <w:rsid w:val="008D0543"/>
    <w:rsid w:val="008D0E2E"/>
    <w:rsid w:val="008D1EA2"/>
    <w:rsid w:val="008D23F5"/>
    <w:rsid w:val="008D2731"/>
    <w:rsid w:val="008D2946"/>
    <w:rsid w:val="008D29AE"/>
    <w:rsid w:val="008D2CCE"/>
    <w:rsid w:val="008D3C06"/>
    <w:rsid w:val="008D4596"/>
    <w:rsid w:val="008D51B2"/>
    <w:rsid w:val="008D5F08"/>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869"/>
    <w:rsid w:val="00905D35"/>
    <w:rsid w:val="00905F83"/>
    <w:rsid w:val="00906721"/>
    <w:rsid w:val="009068FB"/>
    <w:rsid w:val="00906C4E"/>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130"/>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2638"/>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540"/>
    <w:rsid w:val="0099279D"/>
    <w:rsid w:val="00992E50"/>
    <w:rsid w:val="00993836"/>
    <w:rsid w:val="009947DB"/>
    <w:rsid w:val="00995FB5"/>
    <w:rsid w:val="009963DE"/>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7ABB"/>
    <w:rsid w:val="009C2C91"/>
    <w:rsid w:val="009C2DD2"/>
    <w:rsid w:val="009C3DB4"/>
    <w:rsid w:val="009C3FCB"/>
    <w:rsid w:val="009C4B78"/>
    <w:rsid w:val="009C4CBA"/>
    <w:rsid w:val="009C4CF1"/>
    <w:rsid w:val="009C51D5"/>
    <w:rsid w:val="009C60ED"/>
    <w:rsid w:val="009C6335"/>
    <w:rsid w:val="009C652A"/>
    <w:rsid w:val="009C73D2"/>
    <w:rsid w:val="009D0220"/>
    <w:rsid w:val="009D072E"/>
    <w:rsid w:val="009D14D0"/>
    <w:rsid w:val="009D1A9E"/>
    <w:rsid w:val="009D227F"/>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1FE5"/>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8E"/>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4AC6"/>
    <w:rsid w:val="00A452A4"/>
    <w:rsid w:val="00A454EB"/>
    <w:rsid w:val="00A45E85"/>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F9"/>
    <w:rsid w:val="00A54F4E"/>
    <w:rsid w:val="00A5592F"/>
    <w:rsid w:val="00A55D1A"/>
    <w:rsid w:val="00A55D30"/>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695"/>
    <w:rsid w:val="00A70DDB"/>
    <w:rsid w:val="00A70F4A"/>
    <w:rsid w:val="00A71AFD"/>
    <w:rsid w:val="00A72295"/>
    <w:rsid w:val="00A72A16"/>
    <w:rsid w:val="00A72BE1"/>
    <w:rsid w:val="00A72D1C"/>
    <w:rsid w:val="00A72E57"/>
    <w:rsid w:val="00A73042"/>
    <w:rsid w:val="00A7382C"/>
    <w:rsid w:val="00A738A6"/>
    <w:rsid w:val="00A74BDC"/>
    <w:rsid w:val="00A74C53"/>
    <w:rsid w:val="00A74EBA"/>
    <w:rsid w:val="00A74F8A"/>
    <w:rsid w:val="00A75000"/>
    <w:rsid w:val="00A750BA"/>
    <w:rsid w:val="00A768B5"/>
    <w:rsid w:val="00A769DE"/>
    <w:rsid w:val="00A76A0B"/>
    <w:rsid w:val="00A774F9"/>
    <w:rsid w:val="00A7774C"/>
    <w:rsid w:val="00A77B1B"/>
    <w:rsid w:val="00A77BE1"/>
    <w:rsid w:val="00A8025E"/>
    <w:rsid w:val="00A80701"/>
    <w:rsid w:val="00A81F18"/>
    <w:rsid w:val="00A8240F"/>
    <w:rsid w:val="00A830EA"/>
    <w:rsid w:val="00A83B05"/>
    <w:rsid w:val="00A848FA"/>
    <w:rsid w:val="00A85244"/>
    <w:rsid w:val="00A854EF"/>
    <w:rsid w:val="00A860F6"/>
    <w:rsid w:val="00A86A82"/>
    <w:rsid w:val="00A86EE0"/>
    <w:rsid w:val="00A8748B"/>
    <w:rsid w:val="00A90025"/>
    <w:rsid w:val="00A90C07"/>
    <w:rsid w:val="00A91294"/>
    <w:rsid w:val="00A917E8"/>
    <w:rsid w:val="00A9188B"/>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0786"/>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51"/>
    <w:rsid w:val="00AF2095"/>
    <w:rsid w:val="00AF3073"/>
    <w:rsid w:val="00AF3233"/>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66AE"/>
    <w:rsid w:val="00B078B4"/>
    <w:rsid w:val="00B109C2"/>
    <w:rsid w:val="00B10BA1"/>
    <w:rsid w:val="00B11E35"/>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49B"/>
    <w:rsid w:val="00B229D4"/>
    <w:rsid w:val="00B23A83"/>
    <w:rsid w:val="00B24246"/>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47610"/>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4E9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7A2"/>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60C"/>
    <w:rsid w:val="00BD3AE1"/>
    <w:rsid w:val="00BD3EC0"/>
    <w:rsid w:val="00BD420A"/>
    <w:rsid w:val="00BD423F"/>
    <w:rsid w:val="00BD4A29"/>
    <w:rsid w:val="00BD4C57"/>
    <w:rsid w:val="00BD4FAC"/>
    <w:rsid w:val="00BD51DE"/>
    <w:rsid w:val="00BD5F84"/>
    <w:rsid w:val="00BD7B51"/>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258"/>
    <w:rsid w:val="00C1675B"/>
    <w:rsid w:val="00C16C4F"/>
    <w:rsid w:val="00C16CA0"/>
    <w:rsid w:val="00C17CE1"/>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37368"/>
    <w:rsid w:val="00C40A08"/>
    <w:rsid w:val="00C41E21"/>
    <w:rsid w:val="00C41E8B"/>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4F3A"/>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69A7"/>
    <w:rsid w:val="00C8712C"/>
    <w:rsid w:val="00C87310"/>
    <w:rsid w:val="00C87AC4"/>
    <w:rsid w:val="00C90463"/>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6FA"/>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70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877"/>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6A1"/>
    <w:rsid w:val="00D5577E"/>
    <w:rsid w:val="00D56CE0"/>
    <w:rsid w:val="00D574B4"/>
    <w:rsid w:val="00D574BF"/>
    <w:rsid w:val="00D5790C"/>
    <w:rsid w:val="00D60BA3"/>
    <w:rsid w:val="00D60C0C"/>
    <w:rsid w:val="00D6196C"/>
    <w:rsid w:val="00D61E61"/>
    <w:rsid w:val="00D62439"/>
    <w:rsid w:val="00D62D0A"/>
    <w:rsid w:val="00D63597"/>
    <w:rsid w:val="00D63ABC"/>
    <w:rsid w:val="00D6443E"/>
    <w:rsid w:val="00D64472"/>
    <w:rsid w:val="00D64935"/>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0CC8"/>
    <w:rsid w:val="00DB1971"/>
    <w:rsid w:val="00DB1D3F"/>
    <w:rsid w:val="00DB1D8E"/>
    <w:rsid w:val="00DB2C1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38E"/>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890"/>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F40"/>
    <w:rsid w:val="00E05017"/>
    <w:rsid w:val="00E053E3"/>
    <w:rsid w:val="00E0576C"/>
    <w:rsid w:val="00E05CAD"/>
    <w:rsid w:val="00E06B86"/>
    <w:rsid w:val="00E07351"/>
    <w:rsid w:val="00E074BE"/>
    <w:rsid w:val="00E100B8"/>
    <w:rsid w:val="00E113D3"/>
    <w:rsid w:val="00E11788"/>
    <w:rsid w:val="00E11882"/>
    <w:rsid w:val="00E11A19"/>
    <w:rsid w:val="00E1359E"/>
    <w:rsid w:val="00E13A07"/>
    <w:rsid w:val="00E13CA8"/>
    <w:rsid w:val="00E13CB7"/>
    <w:rsid w:val="00E142A4"/>
    <w:rsid w:val="00E154BD"/>
    <w:rsid w:val="00E155C9"/>
    <w:rsid w:val="00E1576F"/>
    <w:rsid w:val="00E15A59"/>
    <w:rsid w:val="00E16258"/>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0F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0045"/>
    <w:rsid w:val="00E71E56"/>
    <w:rsid w:val="00E723A7"/>
    <w:rsid w:val="00E729DE"/>
    <w:rsid w:val="00E7338E"/>
    <w:rsid w:val="00E73EAD"/>
    <w:rsid w:val="00E74212"/>
    <w:rsid w:val="00E744E6"/>
    <w:rsid w:val="00E748A8"/>
    <w:rsid w:val="00E74DCB"/>
    <w:rsid w:val="00E74FAF"/>
    <w:rsid w:val="00E74FD1"/>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97ABD"/>
    <w:rsid w:val="00EA017E"/>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88"/>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2B0F"/>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3763"/>
    <w:rsid w:val="00F14A1A"/>
    <w:rsid w:val="00F15435"/>
    <w:rsid w:val="00F15774"/>
    <w:rsid w:val="00F162CB"/>
    <w:rsid w:val="00F17208"/>
    <w:rsid w:val="00F174DB"/>
    <w:rsid w:val="00F17E89"/>
    <w:rsid w:val="00F2078F"/>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6353"/>
    <w:rsid w:val="00F76C9A"/>
    <w:rsid w:val="00F77622"/>
    <w:rsid w:val="00F803D4"/>
    <w:rsid w:val="00F80605"/>
    <w:rsid w:val="00F80A0F"/>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339F"/>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C7FF0"/>
    <w:rsid w:val="00FD0411"/>
    <w:rsid w:val="00FD053E"/>
    <w:rsid w:val="00FD06C1"/>
    <w:rsid w:val="00FD077B"/>
    <w:rsid w:val="00FD0A05"/>
    <w:rsid w:val="00FD175D"/>
    <w:rsid w:val="00FD1880"/>
    <w:rsid w:val="00FD21CB"/>
    <w:rsid w:val="00FD27CB"/>
    <w:rsid w:val="00FD3CFA"/>
    <w:rsid w:val="00FD3FE1"/>
    <w:rsid w:val="00FD4D36"/>
    <w:rsid w:val="00FD69BA"/>
    <w:rsid w:val="00FD6C26"/>
    <w:rsid w:val="00FD7526"/>
    <w:rsid w:val="00FD75E0"/>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3E39AA"/>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18A0"/>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D18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18A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9"/>
      </w:numPr>
      <w:tabs>
        <w:tab w:val="left" w:pos="1440"/>
      </w:tabs>
      <w:spacing w:line="240" w:lineRule="auto"/>
    </w:pPr>
    <w:rPr>
      <w:rFonts w:ascii="Times" w:eastAsia="Batang" w:hAnsi="Times" w:cs="Times New Roman"/>
      <w:szCs w:val="20"/>
      <w:lang w:eastAsia="en-US"/>
    </w:rPr>
  </w:style>
  <w:style w:type="character" w:customStyle="1" w:styleId="RAN1bullet2Char">
    <w:name w:val="RAN1 bullet2 Char"/>
    <w:link w:val="RAN1bullet2"/>
    <w:rsid w:val="00AA7104"/>
    <w:rPr>
      <w:rFonts w:ascii="Times" w:eastAsia="Batang" w:hAnsi="Times"/>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qFormat/>
    <w:locked/>
    <w:rsid w:val="00022EB3"/>
    <w:rPr>
      <w:rFonts w:ascii="Arial" w:eastAsiaTheme="minorEastAsia" w:hAnsi="Arial" w:cstheme="minorBidi"/>
      <w:sz w:val="18"/>
      <w:szCs w:val="22"/>
    </w:rPr>
  </w:style>
  <w:style w:type="character" w:customStyle="1" w:styleId="THChar">
    <w:name w:val="TH Char"/>
    <w:link w:val="TH"/>
    <w:qFormat/>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2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val="en-GB"/>
    </w:rPr>
  </w:style>
  <w:style w:type="character" w:customStyle="1" w:styleId="Heading4Char">
    <w:name w:val="Heading 4 Char"/>
    <w:link w:val="Heading4"/>
    <w:rsid w:val="004C1CBE"/>
    <w:rPr>
      <w:rFonts w:ascii="Arial" w:hAnsi="Arial"/>
      <w:sz w:val="24"/>
      <w:lang w:val="en-GB" w:eastAsia="en-US"/>
    </w:rPr>
  </w:style>
  <w:style w:type="character" w:customStyle="1" w:styleId="B1Char1">
    <w:name w:val="B1 Char1"/>
    <w:qFormat/>
    <w:rsid w:val="00A70695"/>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7839781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04702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270307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938621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0.wmf"/><Relationship Id="rId39" Type="http://schemas.openxmlformats.org/officeDocument/2006/relationships/oleObject" Target="embeddings/oleObject12.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4.wmf"/><Relationship Id="rId42" Type="http://schemas.openxmlformats.org/officeDocument/2006/relationships/image" Target="media/image19.wmf"/><Relationship Id="rId7"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1.bin"/><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oleObject" Target="embeddings/oleObject8.bin"/><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7.wmf"/><Relationship Id="rId40" Type="http://schemas.openxmlformats.org/officeDocument/2006/relationships/image" Target="media/image18.wmf"/><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1.wmf"/><Relationship Id="rId36" Type="http://schemas.openxmlformats.org/officeDocument/2006/relationships/image" Target="media/image16.wmf"/><Relationship Id="rId10" Type="http://schemas.openxmlformats.org/officeDocument/2006/relationships/footnotes" Target="footnotes.xml"/><Relationship Id="rId19" Type="http://schemas.openxmlformats.org/officeDocument/2006/relationships/image" Target="media/image6.wmf"/><Relationship Id="rId31" Type="http://schemas.openxmlformats.org/officeDocument/2006/relationships/oleObject" Target="embeddings/oleObject9.bin"/><Relationship Id="rId44" Type="http://schemas.openxmlformats.org/officeDocument/2006/relationships/oleObject" Target="embeddings/oleObject1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8.wmf"/><Relationship Id="rId27" Type="http://schemas.openxmlformats.org/officeDocument/2006/relationships/oleObject" Target="embeddings/oleObject7.bin"/><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4.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2.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5.xml><?xml version="1.0" encoding="utf-8"?>
<ds:datastoreItem xmlns:ds="http://schemas.openxmlformats.org/officeDocument/2006/customXml" ds:itemID="{0E2A711C-0740-42D0-AEA2-9E873B1DF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815</TotalTime>
  <Pages>6</Pages>
  <Words>2052</Words>
  <Characters>11699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Jun Tan</cp:lastModifiedBy>
  <cp:revision>43</cp:revision>
  <dcterms:created xsi:type="dcterms:W3CDTF">2018-08-10T05:23:00Z</dcterms:created>
  <dcterms:modified xsi:type="dcterms:W3CDTF">2019-01-11T16:59:00Z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