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6329F" w14:textId="54FEFF10" w:rsidR="00BC15CB" w:rsidRPr="00AB2C58" w:rsidRDefault="00BC15CB" w:rsidP="00BC15CB">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3GPP TSG RAN WG1 Meeting AH1901</w:t>
      </w:r>
      <w:r w:rsidRPr="00AB2C58">
        <w:rPr>
          <w:rFonts w:ascii="Arial" w:hAnsi="Arial" w:cs="Arial" w:hint="eastAsia"/>
          <w:b/>
          <w:bCs/>
          <w:sz w:val="24"/>
          <w:lang w:val="en-US"/>
        </w:rPr>
        <w:t xml:space="preserve">                                       </w:t>
      </w:r>
      <w:r>
        <w:rPr>
          <w:rFonts w:ascii="Arial" w:hAnsi="Arial" w:cs="Arial"/>
          <w:b/>
          <w:bCs/>
          <w:sz w:val="24"/>
          <w:lang w:val="en-US"/>
        </w:rPr>
        <w:t xml:space="preserve">                         R1-</w:t>
      </w:r>
      <w:r w:rsidRPr="00C733D4">
        <w:t xml:space="preserve"> </w:t>
      </w:r>
      <w:r w:rsidR="00FF4B93">
        <w:rPr>
          <w:rFonts w:ascii="Arial" w:hAnsi="Arial" w:cs="Arial"/>
          <w:b/>
          <w:bCs/>
          <w:sz w:val="24"/>
          <w:lang w:val="en-US"/>
        </w:rPr>
        <w:t>1900357</w:t>
      </w:r>
    </w:p>
    <w:p w14:paraId="5C30B535" w14:textId="77777777" w:rsidR="00BC15CB" w:rsidRDefault="00BC15CB" w:rsidP="00BC15CB">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Taipei, Taiwan,</w:t>
      </w:r>
      <w:r w:rsidRPr="00AC056A">
        <w:rPr>
          <w:rFonts w:ascii="Arial" w:hAnsi="Arial" w:cs="Arial"/>
          <w:b/>
          <w:bCs/>
          <w:sz w:val="24"/>
          <w:lang w:val="en-US"/>
        </w:rPr>
        <w:t xml:space="preserve"> </w:t>
      </w:r>
      <w:r>
        <w:rPr>
          <w:rFonts w:ascii="Arial" w:hAnsi="Arial" w:cs="Arial"/>
          <w:b/>
          <w:bCs/>
          <w:sz w:val="24"/>
          <w:lang w:val="en-US"/>
        </w:rPr>
        <w:t>January 21s</w:t>
      </w:r>
      <w:r w:rsidRPr="00AC056A">
        <w:rPr>
          <w:rFonts w:ascii="Arial" w:hAnsi="Arial" w:cs="Arial"/>
          <w:b/>
          <w:bCs/>
          <w:sz w:val="24"/>
          <w:lang w:val="en-US"/>
        </w:rPr>
        <w:t xml:space="preserve">t – </w:t>
      </w:r>
      <w:r>
        <w:rPr>
          <w:rFonts w:ascii="Arial" w:hAnsi="Arial" w:cs="Arial"/>
          <w:b/>
          <w:bCs/>
          <w:sz w:val="24"/>
          <w:lang w:val="en-US"/>
        </w:rPr>
        <w:t>25</w:t>
      </w:r>
      <w:r w:rsidRPr="00AC056A">
        <w:rPr>
          <w:rFonts w:ascii="Arial" w:hAnsi="Arial" w:cs="Arial"/>
          <w:b/>
          <w:bCs/>
          <w:sz w:val="24"/>
          <w:lang w:val="en-US"/>
        </w:rPr>
        <w:t>th, 201</w:t>
      </w:r>
      <w:r>
        <w:rPr>
          <w:rFonts w:ascii="Arial" w:hAnsi="Arial" w:cs="Arial"/>
          <w:b/>
          <w:bCs/>
          <w:sz w:val="24"/>
          <w:lang w:val="en-US"/>
        </w:rPr>
        <w:t>9</w:t>
      </w:r>
      <w:r w:rsidRPr="003246E3">
        <w:rPr>
          <w:rFonts w:cs="Arial" w:hint="eastAsia"/>
          <w:i/>
          <w:color w:val="FF0000"/>
          <w:kern w:val="2"/>
          <w:lang w:val="en-US"/>
        </w:rPr>
        <w:t xml:space="preserve"> </w:t>
      </w:r>
      <w:r>
        <w:rPr>
          <w:rFonts w:cs="Arial"/>
          <w:i/>
          <w:color w:val="FF0000"/>
          <w:kern w:val="2"/>
          <w:lang w:val="en-US"/>
        </w:rPr>
        <w:t xml:space="preserve">                                         </w:t>
      </w:r>
      <w:r>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00FEDEAC"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C13D3">
        <w:rPr>
          <w:rFonts w:ascii="Arial" w:hAnsi="Arial" w:cs="Arial"/>
          <w:b/>
          <w:sz w:val="24"/>
          <w:lang w:val="en-US"/>
        </w:rPr>
        <w:t xml:space="preserve">NR V2X </w:t>
      </w:r>
      <w:proofErr w:type="spellStart"/>
      <w:r w:rsidR="00B84C0F">
        <w:rPr>
          <w:rFonts w:ascii="Arial" w:hAnsi="Arial" w:cs="Arial"/>
          <w:b/>
          <w:sz w:val="24"/>
          <w:lang w:val="en-US"/>
        </w:rPr>
        <w:t>Uu</w:t>
      </w:r>
      <w:proofErr w:type="spellEnd"/>
      <w:r w:rsidR="00B84C0F">
        <w:rPr>
          <w:rFonts w:ascii="Arial" w:hAnsi="Arial" w:cs="Arial"/>
          <w:b/>
          <w:sz w:val="24"/>
          <w:lang w:val="en-US"/>
        </w:rPr>
        <w:t>-based</w:t>
      </w:r>
      <w:r w:rsidR="00AF07F4">
        <w:rPr>
          <w:rFonts w:ascii="Arial" w:hAnsi="Arial" w:cs="Arial"/>
          <w:b/>
          <w:sz w:val="24"/>
          <w:lang w:val="en-US"/>
        </w:rPr>
        <w:t xml:space="preserve"> </w:t>
      </w:r>
      <w:r w:rsidR="005817AC">
        <w:rPr>
          <w:rFonts w:ascii="Arial" w:hAnsi="Arial" w:cs="Arial"/>
          <w:b/>
          <w:sz w:val="24"/>
          <w:lang w:val="en-US"/>
        </w:rPr>
        <w:t>Resource Allocation</w:t>
      </w:r>
    </w:p>
    <w:p w14:paraId="4CA7C7B8" w14:textId="2A2E5645"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BC15CB">
        <w:rPr>
          <w:rFonts w:ascii="Arial" w:hAnsi="Arial" w:cs="Arial"/>
          <w:b/>
          <w:sz w:val="24"/>
          <w:lang w:val="en-US"/>
        </w:rPr>
        <w:t>7.2.4.3</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1E06D332"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resource allocation</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D7DB567" w14:textId="4C736865" w:rsidR="00D12ADD" w:rsidRDefault="00D12ADD" w:rsidP="00D12ADD">
            <w:pPr>
              <w:pStyle w:val="3GPPNormalText"/>
            </w:pPr>
            <w:r>
              <w:t>This study item includes the following objectives, considering in-network coverage, out-of-network coverage, and partial network coverage:</w:t>
            </w:r>
          </w:p>
          <w:p w14:paraId="38EF636D" w14:textId="77777777" w:rsidR="0070115C" w:rsidRPr="0070115C" w:rsidRDefault="0070115C" w:rsidP="0070115C">
            <w:pPr>
              <w:pStyle w:val="3GPPNormalText"/>
              <w:rPr>
                <w:b/>
              </w:rPr>
            </w:pPr>
            <w:r w:rsidRPr="0070115C">
              <w:rPr>
                <w:b/>
              </w:rPr>
              <w:t xml:space="preserve">3: </w:t>
            </w:r>
            <w:proofErr w:type="spellStart"/>
            <w:r w:rsidRPr="0070115C">
              <w:rPr>
                <w:b/>
              </w:rPr>
              <w:t>Uu</w:t>
            </w:r>
            <w:proofErr w:type="spellEnd"/>
            <w:r w:rsidRPr="0070115C">
              <w:rPr>
                <w:b/>
              </w:rPr>
              <w:t>-based sidelink resource allocation/configuration (LTE V2X Mode3-like and Mode4-like) [RAN1, RAN2]:</w:t>
            </w:r>
          </w:p>
          <w:p w14:paraId="52C61713" w14:textId="77777777" w:rsidR="0070115C" w:rsidRDefault="0070115C" w:rsidP="0070115C">
            <w:pPr>
              <w:pStyle w:val="3GPPNormalText"/>
            </w:pPr>
            <w:r>
              <w:t></w:t>
            </w:r>
            <w:r>
              <w:tab/>
              <w:t xml:space="preserve">Identify necessary enhancements of LTE </w:t>
            </w:r>
            <w:proofErr w:type="spellStart"/>
            <w:r>
              <w:t>Uu</w:t>
            </w:r>
            <w:proofErr w:type="spellEnd"/>
            <w:r>
              <w:t xml:space="preserve"> and NR </w:t>
            </w:r>
            <w:proofErr w:type="spellStart"/>
            <w:r>
              <w:t>Uu</w:t>
            </w:r>
            <w:proofErr w:type="spellEnd"/>
            <w:r>
              <w:t xml:space="preserve"> to control NR sidelink from the cellular network </w:t>
            </w:r>
          </w:p>
          <w:p w14:paraId="66933CE5" w14:textId="6285496A" w:rsidR="00635D54" w:rsidRDefault="0070115C" w:rsidP="00DB30F4">
            <w:pPr>
              <w:pStyle w:val="3GPPNormalText"/>
            </w:pPr>
            <w:r>
              <w:t></w:t>
            </w:r>
            <w:r>
              <w:tab/>
              <w:t xml:space="preserve">Identify necessary enhancements of NR </w:t>
            </w:r>
            <w:proofErr w:type="spellStart"/>
            <w:r>
              <w:t>Uu</w:t>
            </w:r>
            <w:proofErr w:type="spellEnd"/>
            <w:r>
              <w:t xml:space="preserve"> to control LTE sidelink from the cellular network</w:t>
            </w:r>
          </w:p>
        </w:tc>
      </w:tr>
    </w:tbl>
    <w:p w14:paraId="20DBBA13" w14:textId="690051F9" w:rsidR="00514A1F" w:rsidRDefault="00514A1F" w:rsidP="00EB2390">
      <w:pPr>
        <w:pStyle w:val="3GPPNormalText"/>
      </w:pPr>
    </w:p>
    <w:p w14:paraId="47FE8A77" w14:textId="096213CC" w:rsidR="00272C6C" w:rsidRDefault="00272C6C" w:rsidP="00272C6C">
      <w:pPr>
        <w:pStyle w:val="3GPPNormalText"/>
      </w:pPr>
      <w:r>
        <w:t>In the previous meeting in RAN1#9</w:t>
      </w:r>
      <w:r w:rsidR="0070115C">
        <w:t>5</w:t>
      </w:r>
      <w:r>
        <w:t>, the following agreements were made</w:t>
      </w:r>
      <w:r w:rsidR="00900FE6">
        <w:t xml:space="preserve"> [2]</w:t>
      </w:r>
      <w:r>
        <w:t>:</w:t>
      </w:r>
    </w:p>
    <w:p w14:paraId="600C3DD3" w14:textId="77777777" w:rsidR="0070115C" w:rsidRPr="0070115C" w:rsidRDefault="0070115C" w:rsidP="0070115C">
      <w:pPr>
        <w:pStyle w:val="NoSpacing"/>
        <w:rPr>
          <w:rFonts w:ascii="Times New Roman" w:hAnsi="Times New Roman" w:cs="Times New Roman"/>
        </w:rPr>
      </w:pPr>
      <w:r w:rsidRPr="0070115C">
        <w:rPr>
          <w:rFonts w:ascii="Times New Roman" w:hAnsi="Times New Roman" w:cs="Times New Roman"/>
        </w:rPr>
        <w:t xml:space="preserve">The following NR sidelink resource allocation techniques by NR </w:t>
      </w:r>
      <w:proofErr w:type="spellStart"/>
      <w:r w:rsidRPr="0070115C">
        <w:rPr>
          <w:rFonts w:ascii="Times New Roman" w:hAnsi="Times New Roman" w:cs="Times New Roman"/>
        </w:rPr>
        <w:t>Uu</w:t>
      </w:r>
      <w:proofErr w:type="spellEnd"/>
      <w:r w:rsidRPr="0070115C">
        <w:rPr>
          <w:rFonts w:ascii="Times New Roman" w:hAnsi="Times New Roman" w:cs="Times New Roman"/>
        </w:rPr>
        <w:t xml:space="preserve"> for mode-1 are supported:</w:t>
      </w:r>
    </w:p>
    <w:p w14:paraId="50ACC0E3" w14:textId="77777777" w:rsidR="0070115C" w:rsidRPr="0070115C" w:rsidRDefault="0070115C" w:rsidP="0070115C">
      <w:pPr>
        <w:pStyle w:val="NoSpacing"/>
        <w:numPr>
          <w:ilvl w:val="0"/>
          <w:numId w:val="25"/>
        </w:numPr>
        <w:ind w:left="360"/>
        <w:rPr>
          <w:rFonts w:ascii="Times New Roman" w:hAnsi="Times New Roman" w:cs="Times New Roman"/>
        </w:rPr>
      </w:pPr>
      <w:r w:rsidRPr="0070115C">
        <w:rPr>
          <w:rFonts w:ascii="Times New Roman" w:hAnsi="Times New Roman" w:cs="Times New Roman"/>
        </w:rPr>
        <w:t>Dynamic resource allocation</w:t>
      </w:r>
    </w:p>
    <w:p w14:paraId="0E709A43" w14:textId="77777777" w:rsidR="0070115C" w:rsidRPr="0070115C" w:rsidRDefault="0070115C" w:rsidP="0070115C">
      <w:pPr>
        <w:pStyle w:val="NoSpacing"/>
        <w:numPr>
          <w:ilvl w:val="0"/>
          <w:numId w:val="25"/>
        </w:numPr>
        <w:ind w:left="360"/>
        <w:rPr>
          <w:rFonts w:ascii="Times New Roman" w:hAnsi="Times New Roman" w:cs="Times New Roman"/>
        </w:rPr>
      </w:pPr>
      <w:r w:rsidRPr="0070115C">
        <w:rPr>
          <w:rFonts w:ascii="Times New Roman" w:hAnsi="Times New Roman" w:cs="Times New Roman"/>
        </w:rPr>
        <w:t xml:space="preserve">Configured grant. </w:t>
      </w:r>
    </w:p>
    <w:p w14:paraId="10DAAEFF" w14:textId="77777777" w:rsidR="0070115C" w:rsidRPr="0070115C" w:rsidRDefault="0070115C" w:rsidP="00B84C0F">
      <w:pPr>
        <w:pStyle w:val="NoSpacing"/>
        <w:numPr>
          <w:ilvl w:val="1"/>
          <w:numId w:val="25"/>
        </w:numPr>
        <w:ind w:left="720"/>
        <w:rPr>
          <w:rFonts w:ascii="Times New Roman" w:hAnsi="Times New Roman" w:cs="Times New Roman"/>
        </w:rPr>
      </w:pPr>
      <w:r w:rsidRPr="0070115C">
        <w:rPr>
          <w:rFonts w:ascii="Times New Roman" w:hAnsi="Times New Roman" w:cs="Times New Roman"/>
        </w:rPr>
        <w:t xml:space="preserve">FFS whether type-1 and/or type-2 </w:t>
      </w:r>
    </w:p>
    <w:p w14:paraId="30781805" w14:textId="77777777" w:rsidR="0070115C" w:rsidRPr="0070115C" w:rsidRDefault="0070115C" w:rsidP="0070115C">
      <w:pPr>
        <w:pStyle w:val="NoSpacing"/>
        <w:numPr>
          <w:ilvl w:val="0"/>
          <w:numId w:val="25"/>
        </w:numPr>
        <w:ind w:left="360"/>
        <w:rPr>
          <w:rFonts w:ascii="Times New Roman" w:hAnsi="Times New Roman" w:cs="Times New Roman"/>
        </w:rPr>
      </w:pPr>
      <w:r w:rsidRPr="0070115C">
        <w:rPr>
          <w:rFonts w:ascii="Times New Roman" w:hAnsi="Times New Roman" w:cs="Times New Roman"/>
        </w:rPr>
        <w:t xml:space="preserve">In continuing evaluating NR </w:t>
      </w:r>
      <w:proofErr w:type="spellStart"/>
      <w:r w:rsidRPr="0070115C">
        <w:rPr>
          <w:rFonts w:ascii="Times New Roman" w:hAnsi="Times New Roman" w:cs="Times New Roman"/>
        </w:rPr>
        <w:t>Uu</w:t>
      </w:r>
      <w:proofErr w:type="spellEnd"/>
      <w:r w:rsidRPr="0070115C">
        <w:rPr>
          <w:rFonts w:ascii="Times New Roman" w:hAnsi="Times New Roman" w:cs="Times New Roman"/>
        </w:rPr>
        <w:t xml:space="preserve"> scheduling of LTE sidelink mode-3, consider at least:</w:t>
      </w:r>
    </w:p>
    <w:p w14:paraId="0A3E582E" w14:textId="77777777" w:rsidR="0070115C" w:rsidRPr="0070115C" w:rsidRDefault="0070115C" w:rsidP="0070115C">
      <w:pPr>
        <w:pStyle w:val="NoSpacing"/>
        <w:numPr>
          <w:ilvl w:val="1"/>
          <w:numId w:val="25"/>
        </w:numPr>
        <w:ind w:left="720"/>
        <w:rPr>
          <w:rFonts w:ascii="Times New Roman" w:hAnsi="Times New Roman" w:cs="Times New Roman"/>
        </w:rPr>
      </w:pPr>
      <w:r w:rsidRPr="0070115C">
        <w:rPr>
          <w:rFonts w:ascii="Times New Roman" w:hAnsi="Times New Roman" w:cs="Times New Roman"/>
        </w:rPr>
        <w:t xml:space="preserve">What will be required on the UE side to support such feature </w:t>
      </w:r>
    </w:p>
    <w:p w14:paraId="14C98074" w14:textId="77777777" w:rsidR="0070115C" w:rsidRPr="0070115C" w:rsidRDefault="0070115C" w:rsidP="0070115C">
      <w:pPr>
        <w:pStyle w:val="NoSpacing"/>
        <w:numPr>
          <w:ilvl w:val="1"/>
          <w:numId w:val="25"/>
        </w:numPr>
        <w:ind w:left="720"/>
        <w:rPr>
          <w:rFonts w:ascii="Times New Roman" w:hAnsi="Times New Roman" w:cs="Times New Roman"/>
        </w:rPr>
      </w:pPr>
      <w:r w:rsidRPr="0070115C">
        <w:rPr>
          <w:rFonts w:ascii="Times New Roman" w:hAnsi="Times New Roman" w:cs="Times New Roman"/>
        </w:rPr>
        <w:t>DCI design (e.g., whether DCI 5A can be reused)</w:t>
      </w:r>
    </w:p>
    <w:p w14:paraId="1151AE45" w14:textId="77777777" w:rsidR="0070115C" w:rsidRPr="0070115C" w:rsidRDefault="0070115C" w:rsidP="0070115C">
      <w:pPr>
        <w:pStyle w:val="NoSpacing"/>
        <w:numPr>
          <w:ilvl w:val="1"/>
          <w:numId w:val="25"/>
        </w:numPr>
        <w:ind w:left="720"/>
        <w:rPr>
          <w:rFonts w:ascii="Times New Roman" w:hAnsi="Times New Roman" w:cs="Times New Roman"/>
        </w:rPr>
      </w:pPr>
      <w:r w:rsidRPr="0070115C">
        <w:rPr>
          <w:rFonts w:ascii="Times New Roman" w:hAnsi="Times New Roman" w:cs="Times New Roman"/>
        </w:rPr>
        <w:t>Deployment scenarios where it is beneficial</w:t>
      </w:r>
    </w:p>
    <w:p w14:paraId="748121BD" w14:textId="77777777" w:rsidR="00272C6C" w:rsidRPr="0070115C" w:rsidRDefault="00272C6C" w:rsidP="00EB2390">
      <w:pPr>
        <w:pStyle w:val="3GPPNormalText"/>
        <w:rPr>
          <w:lang w:val="en-GB"/>
        </w:rPr>
      </w:pPr>
    </w:p>
    <w:p w14:paraId="7CFC388A" w14:textId="6588157D" w:rsidR="00AF07F4" w:rsidRDefault="0070115C" w:rsidP="00AF07F4">
      <w:pPr>
        <w:pStyle w:val="Heading1"/>
        <w:rPr>
          <w:lang w:val="en-US"/>
        </w:rPr>
      </w:pPr>
      <w:bookmarkStart w:id="0" w:name="OLE_LINK15"/>
      <w:bookmarkStart w:id="1" w:name="OLE_LINK16"/>
      <w:bookmarkStart w:id="2" w:name="_Ref494465620"/>
      <w:r>
        <w:rPr>
          <w:lang w:val="en-US"/>
        </w:rPr>
        <w:t xml:space="preserve">NR </w:t>
      </w:r>
      <w:proofErr w:type="spellStart"/>
      <w:r>
        <w:rPr>
          <w:lang w:val="en-US"/>
        </w:rPr>
        <w:t>Uu</w:t>
      </w:r>
      <w:proofErr w:type="spellEnd"/>
      <w:r>
        <w:rPr>
          <w:lang w:val="en-US"/>
        </w:rPr>
        <w:t xml:space="preserve"> to Control NR Sidelink</w:t>
      </w:r>
    </w:p>
    <w:p w14:paraId="75C833DB" w14:textId="402576EE" w:rsidR="003761AF" w:rsidRDefault="003761AF" w:rsidP="003761AF">
      <w:pPr>
        <w:pStyle w:val="Heading2"/>
        <w:tabs>
          <w:tab w:val="clear" w:pos="1002"/>
          <w:tab w:val="num" w:pos="540"/>
        </w:tabs>
        <w:ind w:left="540"/>
      </w:pPr>
      <w:r>
        <w:t>NR Flexible Slot Structure for Shared NR Sidelink Carriers</w:t>
      </w:r>
    </w:p>
    <w:p w14:paraId="6862324F" w14:textId="40BE4705" w:rsidR="003761AF" w:rsidRPr="003761AF" w:rsidRDefault="00724D81" w:rsidP="003761AF">
      <w:pPr>
        <w:jc w:val="both"/>
        <w:rPr>
          <w:sz w:val="22"/>
          <w:szCs w:val="22"/>
        </w:rPr>
      </w:pPr>
      <w:r>
        <w:rPr>
          <w:sz w:val="22"/>
          <w:szCs w:val="22"/>
        </w:rPr>
        <w:t xml:space="preserve">This section delves into the details of flexible slot structures of NR Release 15 with regards to NR sidelink for shared carriers, in the context of </w:t>
      </w:r>
      <w:r w:rsidRPr="00724D81">
        <w:rPr>
          <w:sz w:val="22"/>
          <w:szCs w:val="22"/>
        </w:rPr>
        <w:t xml:space="preserve">which resources </w:t>
      </w:r>
      <w:r>
        <w:rPr>
          <w:sz w:val="22"/>
          <w:szCs w:val="22"/>
        </w:rPr>
        <w:t xml:space="preserve">are </w:t>
      </w:r>
      <w:r w:rsidRPr="00724D81">
        <w:rPr>
          <w:sz w:val="22"/>
          <w:szCs w:val="22"/>
        </w:rPr>
        <w:t>to be use</w:t>
      </w:r>
      <w:r>
        <w:rPr>
          <w:sz w:val="22"/>
          <w:szCs w:val="22"/>
        </w:rPr>
        <w:t xml:space="preserve">d for NR sidelink transmissions. </w:t>
      </w:r>
      <w:r w:rsidR="003761AF" w:rsidRPr="003761AF">
        <w:rPr>
          <w:sz w:val="22"/>
          <w:szCs w:val="22"/>
        </w:rPr>
        <w:t xml:space="preserve">In our companion contribution </w:t>
      </w:r>
      <w:r w:rsidR="003761AF" w:rsidRPr="003761AF">
        <w:rPr>
          <w:sz w:val="22"/>
          <w:szCs w:val="22"/>
          <w:lang w:val="en-US"/>
        </w:rPr>
        <w:t>[</w:t>
      </w:r>
      <w:r w:rsidR="00397AEB">
        <w:rPr>
          <w:sz w:val="22"/>
          <w:szCs w:val="22"/>
          <w:lang w:val="en-US"/>
        </w:rPr>
        <w:t>3</w:t>
      </w:r>
      <w:r w:rsidR="003761AF" w:rsidRPr="003761AF">
        <w:rPr>
          <w:sz w:val="22"/>
          <w:szCs w:val="22"/>
          <w:lang w:val="en-US"/>
        </w:rPr>
        <w:t>]</w:t>
      </w:r>
      <w:r>
        <w:rPr>
          <w:sz w:val="22"/>
          <w:szCs w:val="22"/>
          <w:lang w:val="en-US"/>
        </w:rPr>
        <w:t>,</w:t>
      </w:r>
      <w:r w:rsidR="003761AF" w:rsidRPr="003761AF">
        <w:rPr>
          <w:sz w:val="22"/>
          <w:szCs w:val="22"/>
          <w:lang w:val="en-US"/>
        </w:rPr>
        <w:t xml:space="preserve"> we </w:t>
      </w:r>
      <w:r>
        <w:rPr>
          <w:sz w:val="22"/>
          <w:szCs w:val="22"/>
          <w:lang w:val="en-US"/>
        </w:rPr>
        <w:t>have</w:t>
      </w:r>
      <w:r w:rsidR="003761AF" w:rsidRPr="003761AF">
        <w:rPr>
          <w:sz w:val="22"/>
          <w:szCs w:val="22"/>
          <w:lang w:val="en-US"/>
        </w:rPr>
        <w:t xml:space="preserve"> discuss</w:t>
      </w:r>
      <w:r>
        <w:rPr>
          <w:sz w:val="22"/>
          <w:szCs w:val="22"/>
          <w:lang w:val="en-US"/>
        </w:rPr>
        <w:t>ed the</w:t>
      </w:r>
      <w:r w:rsidR="003761AF" w:rsidRPr="003761AF">
        <w:rPr>
          <w:sz w:val="22"/>
          <w:szCs w:val="22"/>
          <w:lang w:val="en-US"/>
        </w:rPr>
        <w:t xml:space="preserve"> </w:t>
      </w:r>
      <w:r w:rsidR="003761AF" w:rsidRPr="003761AF">
        <w:rPr>
          <w:sz w:val="22"/>
          <w:szCs w:val="22"/>
        </w:rPr>
        <w:t>NR flexible slot structure concerning dedicated sidelink carriers.</w:t>
      </w:r>
    </w:p>
    <w:p w14:paraId="1A30FFA1" w14:textId="1C6617D9" w:rsidR="003761AF" w:rsidRPr="003761AF" w:rsidRDefault="003761AF" w:rsidP="003761AF">
      <w:pPr>
        <w:jc w:val="both"/>
        <w:rPr>
          <w:sz w:val="22"/>
          <w:szCs w:val="22"/>
        </w:rPr>
      </w:pPr>
      <w:r w:rsidRPr="003761AF">
        <w:rPr>
          <w:sz w:val="22"/>
          <w:szCs w:val="22"/>
        </w:rPr>
        <w:t>The flexible slot structure in NR Rel</w:t>
      </w:r>
      <w:r w:rsidR="009A292C">
        <w:rPr>
          <w:sz w:val="22"/>
          <w:szCs w:val="22"/>
        </w:rPr>
        <w:t xml:space="preserve">ease </w:t>
      </w:r>
      <w:r w:rsidRPr="003761AF">
        <w:rPr>
          <w:sz w:val="22"/>
          <w:szCs w:val="22"/>
        </w:rPr>
        <w:t>15 defines different slot formats as a combination of symbols which are classified as downlink (D), uplink (U) and/or flexible (F or X). In a slot in a downlink frame, the UE shall assume that downlink transmissions only occur in 'downlink' or 'flexible' symbols whereas in a slot in an uplink frame, the UE shall only transmit in 'uplink' or 'flexible' symbols [</w:t>
      </w:r>
      <w:r w:rsidR="00397AEB">
        <w:rPr>
          <w:sz w:val="22"/>
          <w:szCs w:val="22"/>
        </w:rPr>
        <w:t>4</w:t>
      </w:r>
      <w:r w:rsidRPr="003761AF">
        <w:rPr>
          <w:sz w:val="22"/>
          <w:szCs w:val="22"/>
        </w:rPr>
        <w:t>]. Cell-specific slot formats can be combined with device- or group-specific slot formats [</w:t>
      </w:r>
      <w:r w:rsidR="00397AEB">
        <w:rPr>
          <w:sz w:val="22"/>
          <w:szCs w:val="22"/>
        </w:rPr>
        <w:t>5</w:t>
      </w:r>
      <w:r w:rsidRPr="003761AF">
        <w:rPr>
          <w:sz w:val="22"/>
          <w:szCs w:val="22"/>
        </w:rPr>
        <w:t xml:space="preserve">]. In NR </w:t>
      </w:r>
      <w:proofErr w:type="spellStart"/>
      <w:r w:rsidRPr="003761AF">
        <w:rPr>
          <w:sz w:val="22"/>
          <w:szCs w:val="22"/>
        </w:rPr>
        <w:t>Uu</w:t>
      </w:r>
      <w:proofErr w:type="spellEnd"/>
      <w:r w:rsidRPr="003761AF">
        <w:rPr>
          <w:sz w:val="22"/>
          <w:szCs w:val="22"/>
        </w:rPr>
        <w:t xml:space="preserve">, this facilitates flexible slot configurations for uplink and downlink </w:t>
      </w:r>
      <w:r w:rsidRPr="003761AF">
        <w:rPr>
          <w:sz w:val="22"/>
          <w:szCs w:val="22"/>
        </w:rPr>
        <w:lastRenderedPageBreak/>
        <w:t xml:space="preserve">in TDD fashion, i.e. dynamic scheduling of the transmission direction even within one slot. This way a flexible accommodation to different traffic requirements, e.g. for </w:t>
      </w:r>
      <w:proofErr w:type="spellStart"/>
      <w:r w:rsidRPr="003761AF">
        <w:rPr>
          <w:sz w:val="22"/>
          <w:szCs w:val="22"/>
        </w:rPr>
        <w:t>eMBB</w:t>
      </w:r>
      <w:proofErr w:type="spellEnd"/>
      <w:r w:rsidRPr="003761AF">
        <w:rPr>
          <w:sz w:val="22"/>
          <w:szCs w:val="22"/>
        </w:rPr>
        <w:t xml:space="preserve"> or URLLC scenarios, can be achieved. </w:t>
      </w:r>
    </w:p>
    <w:p w14:paraId="64CB91C9" w14:textId="4A7E3868" w:rsidR="003761AF" w:rsidRPr="003761AF" w:rsidRDefault="003761AF" w:rsidP="003761AF">
      <w:pPr>
        <w:jc w:val="both"/>
        <w:rPr>
          <w:sz w:val="22"/>
          <w:szCs w:val="22"/>
        </w:rPr>
      </w:pPr>
      <w:r w:rsidRPr="003761AF">
        <w:rPr>
          <w:b/>
          <w:sz w:val="22"/>
          <w:szCs w:val="22"/>
        </w:rPr>
        <w:t>Observation</w:t>
      </w:r>
      <w:r w:rsidR="001277B8">
        <w:rPr>
          <w:b/>
          <w:sz w:val="22"/>
          <w:szCs w:val="22"/>
        </w:rPr>
        <w:t xml:space="preserve"> 1</w:t>
      </w:r>
      <w:r w:rsidRPr="003761AF">
        <w:rPr>
          <w:b/>
          <w:sz w:val="22"/>
          <w:szCs w:val="22"/>
        </w:rPr>
        <w:t>: NR flexible slot structure facilitates accommodation of a diverse range of traffic requirements (</w:t>
      </w:r>
      <w:proofErr w:type="spellStart"/>
      <w:r w:rsidRPr="003761AF">
        <w:rPr>
          <w:b/>
          <w:sz w:val="22"/>
          <w:szCs w:val="22"/>
        </w:rPr>
        <w:t>eMBB</w:t>
      </w:r>
      <w:proofErr w:type="spellEnd"/>
      <w:r w:rsidRPr="003761AF">
        <w:rPr>
          <w:b/>
          <w:sz w:val="22"/>
          <w:szCs w:val="22"/>
        </w:rPr>
        <w:t>, URLLC).</w:t>
      </w:r>
    </w:p>
    <w:p w14:paraId="70A4C51A" w14:textId="77777777" w:rsidR="003761AF" w:rsidRPr="003761AF" w:rsidRDefault="003761AF" w:rsidP="003761AF">
      <w:pPr>
        <w:jc w:val="both"/>
        <w:rPr>
          <w:sz w:val="22"/>
          <w:szCs w:val="22"/>
        </w:rPr>
      </w:pPr>
      <w:r w:rsidRPr="003761AF">
        <w:rPr>
          <w:sz w:val="22"/>
          <w:szCs w:val="22"/>
        </w:rPr>
        <w:t>The adoption of the NR flexible slot format for the physical layer structure of shared NR sidelink carriers would capitalize on these provisions also for NR V2X communications. This way accommodation of the diverse range of traffic requirements for the advanced NR V2X use cases regarding transmission rates, latency and reliability could be achieved.</w:t>
      </w:r>
    </w:p>
    <w:p w14:paraId="7C2A64A9" w14:textId="541A8606" w:rsidR="003761AF" w:rsidRPr="003761AF" w:rsidRDefault="003761AF" w:rsidP="003761AF">
      <w:pPr>
        <w:jc w:val="both"/>
        <w:rPr>
          <w:b/>
          <w:sz w:val="22"/>
          <w:szCs w:val="22"/>
        </w:rPr>
      </w:pPr>
      <w:r w:rsidRPr="003761AF">
        <w:rPr>
          <w:b/>
          <w:sz w:val="22"/>
          <w:szCs w:val="22"/>
        </w:rPr>
        <w:t>Proposal</w:t>
      </w:r>
      <w:r w:rsidR="001277B8">
        <w:rPr>
          <w:b/>
          <w:sz w:val="22"/>
          <w:szCs w:val="22"/>
        </w:rPr>
        <w:t xml:space="preserve"> 1</w:t>
      </w:r>
      <w:r w:rsidRPr="003761AF">
        <w:rPr>
          <w:b/>
          <w:sz w:val="22"/>
          <w:szCs w:val="22"/>
        </w:rPr>
        <w:t>: Adopt the NR flexible slot format for NR sidelink in a shared carrier.</w:t>
      </w:r>
    </w:p>
    <w:p w14:paraId="0164AF18" w14:textId="77777777" w:rsidR="003761AF" w:rsidRPr="003761AF" w:rsidRDefault="003761AF" w:rsidP="003761AF">
      <w:pPr>
        <w:jc w:val="both"/>
        <w:rPr>
          <w:sz w:val="22"/>
          <w:szCs w:val="22"/>
        </w:rPr>
      </w:pPr>
      <w:r w:rsidRPr="003761AF">
        <w:rPr>
          <w:sz w:val="22"/>
          <w:szCs w:val="22"/>
          <w:lang w:val="en-US"/>
        </w:rPr>
        <w:t xml:space="preserve">When a UE is using a shared carrier for sidelink communication, interference to other cellular communication (e.g. downlink transmissions from the BS) should be avoided. NR flexible slot formats can be group or device specific and are dynamic. Flexible F slots can be used either for downlink or uplink, e.g. while one group/device is using a specific symbol for downlink, another group/device may use the same symbol for uplink. </w:t>
      </w:r>
      <w:r w:rsidRPr="003761AF">
        <w:rPr>
          <w:sz w:val="22"/>
          <w:szCs w:val="22"/>
        </w:rPr>
        <w:t xml:space="preserve">Therefore, using flexible slots/symbols (‘F’/‘X’) for SL communication bears the risk of interfering with transmission to/from other UEs (potentially non-sidelink UEs). </w:t>
      </w:r>
    </w:p>
    <w:p w14:paraId="436A61D1" w14:textId="5D0CF55D" w:rsidR="003761AF" w:rsidRDefault="003761AF" w:rsidP="001277B8">
      <w:pPr>
        <w:jc w:val="both"/>
        <w:rPr>
          <w:b/>
          <w:sz w:val="22"/>
          <w:szCs w:val="22"/>
        </w:rPr>
      </w:pPr>
      <w:r w:rsidRPr="003761AF">
        <w:rPr>
          <w:b/>
          <w:sz w:val="22"/>
          <w:szCs w:val="22"/>
        </w:rPr>
        <w:t>Observation</w:t>
      </w:r>
      <w:r w:rsidR="001277B8">
        <w:rPr>
          <w:b/>
          <w:sz w:val="22"/>
          <w:szCs w:val="22"/>
        </w:rPr>
        <w:t xml:space="preserve"> 2</w:t>
      </w:r>
      <w:r w:rsidRPr="003761AF">
        <w:rPr>
          <w:b/>
          <w:sz w:val="22"/>
          <w:szCs w:val="22"/>
        </w:rPr>
        <w:t xml:space="preserve">: Usage of flexible slots/symbols (F/X) for sidelink communication in a shared carrier may create interference. </w:t>
      </w:r>
    </w:p>
    <w:p w14:paraId="552DD111" w14:textId="385BDB6B" w:rsidR="00FF4B93" w:rsidRPr="003761AF" w:rsidRDefault="00FF4B93" w:rsidP="001277B8">
      <w:pPr>
        <w:jc w:val="both"/>
        <w:rPr>
          <w:sz w:val="22"/>
          <w:szCs w:val="22"/>
        </w:rPr>
      </w:pPr>
      <w:r w:rsidRPr="003761AF">
        <w:rPr>
          <w:sz w:val="22"/>
          <w:szCs w:val="22"/>
        </w:rPr>
        <w:t>Based on this observation dedicated resources (symbols or slots) for sidelink communication in a shared carrier should be studied. When adopting the NR flexible slot format for NR sidelink in a shared carrier, a dedicated classifier ‘sidelink’ (S) should be introduced for OFDM symbols in addition to the existing classifiers for ‘uplink’ (U), ‘downlink’ (D) and ‘flexible’ (F/X). Enhancing the NR flexible slot format with dedicated signalling for sidelink would facilitate both slot-based and symbol-based sharing of resources in a shared carrier.</w:t>
      </w:r>
    </w:p>
    <w:p w14:paraId="633754AF" w14:textId="3EC642EA" w:rsidR="003761AF" w:rsidRPr="003761AF" w:rsidRDefault="001277B8" w:rsidP="003761AF">
      <w:pPr>
        <w:jc w:val="center"/>
        <w:rPr>
          <w:sz w:val="22"/>
          <w:szCs w:val="22"/>
        </w:rPr>
      </w:pPr>
      <w:r>
        <w:rPr>
          <w:noProof/>
          <w:sz w:val="22"/>
          <w:szCs w:val="22"/>
          <w:lang w:val="en-US"/>
        </w:rPr>
        <w:drawing>
          <wp:inline distT="0" distB="0" distL="0" distR="0" wp14:anchorId="5701E43F" wp14:editId="6D717A81">
            <wp:extent cx="5758724" cy="38166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exibleSlot.png"/>
                    <pic:cNvPicPr/>
                  </pic:nvPicPr>
                  <pic:blipFill>
                    <a:blip r:embed="rId14">
                      <a:extLst>
                        <a:ext uri="{28A0092B-C50C-407E-A947-70E740481C1C}">
                          <a14:useLocalDpi xmlns:a14="http://schemas.microsoft.com/office/drawing/2010/main" val="0"/>
                        </a:ext>
                      </a:extLst>
                    </a:blip>
                    <a:stretch>
                      <a:fillRect/>
                    </a:stretch>
                  </pic:blipFill>
                  <pic:spPr>
                    <a:xfrm>
                      <a:off x="0" y="0"/>
                      <a:ext cx="5834223" cy="3866663"/>
                    </a:xfrm>
                    <a:prstGeom prst="rect">
                      <a:avLst/>
                    </a:prstGeom>
                  </pic:spPr>
                </pic:pic>
              </a:graphicData>
            </a:graphic>
          </wp:inline>
        </w:drawing>
      </w:r>
    </w:p>
    <w:p w14:paraId="36A3F731" w14:textId="68C515DB" w:rsidR="001277B8" w:rsidRPr="00FF4B93" w:rsidRDefault="00FF4B93" w:rsidP="00FF4B93">
      <w:pPr>
        <w:jc w:val="center"/>
        <w:rPr>
          <w:b/>
          <w:sz w:val="22"/>
          <w:szCs w:val="22"/>
          <w:lang w:val="en-US"/>
        </w:rPr>
      </w:pPr>
      <w:r w:rsidRPr="00FF4B93">
        <w:rPr>
          <w:b/>
          <w:i/>
          <w:sz w:val="22"/>
          <w:szCs w:val="22"/>
        </w:rPr>
        <w:t>Figure 1</w:t>
      </w:r>
      <w:r w:rsidR="003761AF" w:rsidRPr="00FF4B93">
        <w:rPr>
          <w:b/>
          <w:i/>
          <w:sz w:val="22"/>
          <w:szCs w:val="22"/>
        </w:rPr>
        <w:t>:</w:t>
      </w:r>
      <w:r w:rsidR="003761AF" w:rsidRPr="003761AF">
        <w:rPr>
          <w:i/>
          <w:sz w:val="22"/>
          <w:szCs w:val="22"/>
        </w:rPr>
        <w:t xml:space="preserve"> </w:t>
      </w:r>
      <w:r w:rsidR="003761AF" w:rsidRPr="003761AF">
        <w:rPr>
          <w:i/>
          <w:sz w:val="22"/>
          <w:szCs w:val="22"/>
          <w:lang w:val="en-US"/>
        </w:rPr>
        <w:t>Examples for possible flexible slot formats for NR sidelink in a shared carrier</w:t>
      </w:r>
    </w:p>
    <w:p w14:paraId="436ECC2A" w14:textId="08CAD16F" w:rsidR="001277B8" w:rsidRPr="003761AF" w:rsidRDefault="001277B8" w:rsidP="001277B8">
      <w:pPr>
        <w:jc w:val="both"/>
        <w:rPr>
          <w:sz w:val="22"/>
          <w:szCs w:val="22"/>
          <w:lang w:val="en-US"/>
        </w:rPr>
      </w:pPr>
      <w:r w:rsidRPr="003761AF">
        <w:rPr>
          <w:sz w:val="22"/>
          <w:szCs w:val="22"/>
          <w:lang w:val="en-US"/>
        </w:rPr>
        <w:lastRenderedPageBreak/>
        <w:t xml:space="preserve">In Figure </w:t>
      </w:r>
      <w:r w:rsidR="00FF4B93">
        <w:rPr>
          <w:sz w:val="22"/>
          <w:szCs w:val="22"/>
          <w:lang w:val="en-US"/>
        </w:rPr>
        <w:t>1</w:t>
      </w:r>
      <w:r w:rsidRPr="003761AF">
        <w:rPr>
          <w:sz w:val="22"/>
          <w:szCs w:val="22"/>
          <w:lang w:val="en-US"/>
        </w:rPr>
        <w:t xml:space="preserve">, examples a) to h) depict possible slot formats for a shared sidelink carrier. Example </w:t>
      </w:r>
      <w:r w:rsidR="00FF4B93">
        <w:rPr>
          <w:sz w:val="22"/>
          <w:szCs w:val="22"/>
          <w:lang w:val="en-US"/>
        </w:rPr>
        <w:t>1</w:t>
      </w:r>
      <w:r w:rsidRPr="003761AF">
        <w:rPr>
          <w:sz w:val="22"/>
          <w:szCs w:val="22"/>
          <w:lang w:val="en-US"/>
        </w:rPr>
        <w:t xml:space="preserve">a) shows a slot format where all symbols are classified as ‘sidelink’/’S’. This slot format could be used when multiplexing sidelink resources on a shared </w:t>
      </w:r>
      <w:r w:rsidR="00FF4B93">
        <w:rPr>
          <w:sz w:val="22"/>
          <w:szCs w:val="22"/>
          <w:lang w:val="en-US"/>
        </w:rPr>
        <w:t>carrier on slot level. Example 1</w:t>
      </w:r>
      <w:r w:rsidRPr="003761AF">
        <w:rPr>
          <w:sz w:val="22"/>
          <w:szCs w:val="22"/>
          <w:lang w:val="en-US"/>
        </w:rPr>
        <w:t xml:space="preserve">b) has </w:t>
      </w:r>
      <w:r w:rsidR="00FF4B93">
        <w:rPr>
          <w:sz w:val="22"/>
          <w:szCs w:val="22"/>
          <w:lang w:val="en-US"/>
        </w:rPr>
        <w:t>‘</w:t>
      </w:r>
      <w:r w:rsidRPr="003761AF">
        <w:rPr>
          <w:sz w:val="22"/>
          <w:szCs w:val="22"/>
          <w:lang w:val="en-US"/>
        </w:rPr>
        <w:t>flexible</w:t>
      </w:r>
      <w:r w:rsidR="00FF4B93">
        <w:rPr>
          <w:sz w:val="22"/>
          <w:szCs w:val="22"/>
          <w:lang w:val="en-US"/>
        </w:rPr>
        <w:t>’</w:t>
      </w:r>
      <w:r w:rsidRPr="003761AF">
        <w:rPr>
          <w:sz w:val="22"/>
          <w:szCs w:val="22"/>
          <w:lang w:val="en-US"/>
        </w:rPr>
        <w:t>/</w:t>
      </w:r>
      <w:r w:rsidR="00FF4B93">
        <w:rPr>
          <w:sz w:val="22"/>
          <w:szCs w:val="22"/>
          <w:lang w:val="en-US"/>
        </w:rPr>
        <w:t>’</w:t>
      </w:r>
      <w:r w:rsidRPr="003761AF">
        <w:rPr>
          <w:sz w:val="22"/>
          <w:szCs w:val="22"/>
          <w:lang w:val="en-US"/>
        </w:rPr>
        <w:t>F</w:t>
      </w:r>
      <w:r w:rsidR="00FF4B93">
        <w:rPr>
          <w:sz w:val="22"/>
          <w:szCs w:val="22"/>
          <w:lang w:val="en-US"/>
        </w:rPr>
        <w:t>’</w:t>
      </w:r>
      <w:r w:rsidRPr="003761AF">
        <w:rPr>
          <w:sz w:val="22"/>
          <w:szCs w:val="22"/>
          <w:lang w:val="en-US"/>
        </w:rPr>
        <w:t xml:space="preserve"> symbols at the start and end of the slot. The ‘flexible’/’F’ symbols could be used e.g. as guard symbols when switching between transmission and reception on the shar</w:t>
      </w:r>
      <w:r w:rsidR="00FF4B93">
        <w:rPr>
          <w:sz w:val="22"/>
          <w:szCs w:val="22"/>
          <w:lang w:val="en-US"/>
        </w:rPr>
        <w:t>ed sidelink carrier.  Examples 1</w:t>
      </w:r>
      <w:r w:rsidRPr="003761AF">
        <w:rPr>
          <w:sz w:val="22"/>
          <w:szCs w:val="22"/>
          <w:lang w:val="en-US"/>
        </w:rPr>
        <w:t xml:space="preserve">c) and </w:t>
      </w:r>
      <w:r w:rsidR="00FF4B93">
        <w:rPr>
          <w:sz w:val="22"/>
          <w:szCs w:val="22"/>
          <w:lang w:val="en-US"/>
        </w:rPr>
        <w:t>1</w:t>
      </w:r>
      <w:r w:rsidRPr="003761AF">
        <w:rPr>
          <w:sz w:val="22"/>
          <w:szCs w:val="22"/>
          <w:lang w:val="en-US"/>
        </w:rPr>
        <w:t>d) show a slot format where all possible slot format indicators D, U, F and S are mul</w:t>
      </w:r>
      <w:r w:rsidR="00FF4B93">
        <w:rPr>
          <w:sz w:val="22"/>
          <w:szCs w:val="22"/>
          <w:lang w:val="en-US"/>
        </w:rPr>
        <w:t>tiplexed in one slot. Examples 1</w:t>
      </w:r>
      <w:r w:rsidRPr="003761AF">
        <w:rPr>
          <w:sz w:val="22"/>
          <w:szCs w:val="22"/>
          <w:lang w:val="en-US"/>
        </w:rPr>
        <w:t>e) shows multiplexing of D and S slots with flexible F symbol(s) betwe</w:t>
      </w:r>
      <w:r w:rsidR="00FF4B93">
        <w:rPr>
          <w:sz w:val="22"/>
          <w:szCs w:val="22"/>
          <w:lang w:val="en-US"/>
        </w:rPr>
        <w:t>en D and S, whereas in example 1</w:t>
      </w:r>
      <w:r w:rsidRPr="003761AF">
        <w:rPr>
          <w:sz w:val="22"/>
          <w:szCs w:val="22"/>
          <w:lang w:val="en-US"/>
        </w:rPr>
        <w:t>f) all symbols are assig</w:t>
      </w:r>
      <w:r w:rsidR="00FF4B93">
        <w:rPr>
          <w:sz w:val="22"/>
          <w:szCs w:val="22"/>
          <w:lang w:val="en-US"/>
        </w:rPr>
        <w:t>ned for only D and S. Examples 1</w:t>
      </w:r>
      <w:r w:rsidRPr="003761AF">
        <w:rPr>
          <w:sz w:val="22"/>
          <w:szCs w:val="22"/>
          <w:lang w:val="en-US"/>
        </w:rPr>
        <w:t>g) shows multiplexing of S and U symbols with flexible F symbol(s) betwe</w:t>
      </w:r>
      <w:r w:rsidR="00FF4B93">
        <w:rPr>
          <w:sz w:val="22"/>
          <w:szCs w:val="22"/>
          <w:lang w:val="en-US"/>
        </w:rPr>
        <w:t>en S and U, whereas in example 1</w:t>
      </w:r>
      <w:r w:rsidRPr="003761AF">
        <w:rPr>
          <w:sz w:val="22"/>
          <w:szCs w:val="22"/>
          <w:lang w:val="en-US"/>
        </w:rPr>
        <w:t>h) all symbols are assigned for S and U symbols.</w:t>
      </w:r>
    </w:p>
    <w:p w14:paraId="0C9B3051" w14:textId="672F4463" w:rsidR="001277B8" w:rsidRPr="003761AF" w:rsidRDefault="001277B8" w:rsidP="001277B8">
      <w:pPr>
        <w:jc w:val="both"/>
        <w:rPr>
          <w:b/>
          <w:sz w:val="22"/>
          <w:szCs w:val="22"/>
        </w:rPr>
      </w:pPr>
      <w:r w:rsidRPr="003761AF">
        <w:rPr>
          <w:b/>
          <w:sz w:val="22"/>
          <w:szCs w:val="22"/>
        </w:rPr>
        <w:t>Proposal</w:t>
      </w:r>
      <w:r>
        <w:rPr>
          <w:b/>
          <w:sz w:val="22"/>
          <w:szCs w:val="22"/>
        </w:rPr>
        <w:t xml:space="preserve"> 2</w:t>
      </w:r>
      <w:r w:rsidRPr="003761AF">
        <w:rPr>
          <w:b/>
          <w:sz w:val="22"/>
          <w:szCs w:val="22"/>
        </w:rPr>
        <w:t>: Study dedicated slot format indication (e.g. ‘sidelink’/’S’) for OFDM symbols/slots in a shared sidelink carrier and related flexible slot formats.</w:t>
      </w:r>
    </w:p>
    <w:p w14:paraId="0FCD2B9E" w14:textId="3CDF39B4" w:rsidR="001277B8" w:rsidRPr="001277B8" w:rsidRDefault="001277B8" w:rsidP="00E77C99">
      <w:pPr>
        <w:jc w:val="both"/>
        <w:rPr>
          <w:sz w:val="22"/>
          <w:szCs w:val="22"/>
        </w:rPr>
      </w:pPr>
    </w:p>
    <w:p w14:paraId="2DEF75C7" w14:textId="355C006A" w:rsidR="00402355" w:rsidRDefault="0070115C" w:rsidP="00AF07F4">
      <w:pPr>
        <w:pStyle w:val="Heading2"/>
        <w:tabs>
          <w:tab w:val="clear" w:pos="1002"/>
          <w:tab w:val="num" w:pos="540"/>
        </w:tabs>
        <w:ind w:left="540"/>
      </w:pPr>
      <w:r>
        <w:t>Mode 1/Mode 2 Resource Sharing</w:t>
      </w:r>
    </w:p>
    <w:p w14:paraId="3C2C8207" w14:textId="7A3F4FA8" w:rsidR="002459A8" w:rsidRDefault="002459A8" w:rsidP="00AF07F4">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7F5F83CA" w14:textId="7FEDC773" w:rsidR="002459A8" w:rsidRDefault="002459A8" w:rsidP="002459A8">
      <w:pPr>
        <w:jc w:val="both"/>
        <w:rPr>
          <w:sz w:val="22"/>
          <w:szCs w:val="22"/>
          <w:lang w:val="en-US"/>
        </w:rPr>
      </w:pPr>
      <w:r>
        <w:rPr>
          <w:sz w:val="22"/>
          <w:szCs w:val="22"/>
          <w:lang w:val="en-US"/>
        </w:rPr>
        <w:t xml:space="preserve">In the case of a </w:t>
      </w:r>
      <w:r w:rsidR="0034735D">
        <w:rPr>
          <w:sz w:val="22"/>
          <w:szCs w:val="22"/>
          <w:lang w:val="en-US"/>
        </w:rPr>
        <w:t>M</w:t>
      </w:r>
      <w:r>
        <w:rPr>
          <w:sz w:val="22"/>
          <w:szCs w:val="22"/>
          <w:lang w:val="en-US"/>
        </w:rPr>
        <w:t xml:space="preserve">ode 2 UE, since the UE itself has to identify available resources, it can sense the previous </w:t>
      </w:r>
      <w:r w:rsidR="004602AA">
        <w:rPr>
          <w:sz w:val="22"/>
          <w:szCs w:val="22"/>
          <w:lang w:val="en-US"/>
        </w:rPr>
        <w:t>time slots</w:t>
      </w:r>
      <w:r>
        <w:rPr>
          <w:sz w:val="22"/>
          <w:szCs w:val="22"/>
          <w:lang w:val="en-US"/>
        </w:rPr>
        <w:t xml:space="preserve"> and select the available resources. It can also sense the presence of a </w:t>
      </w:r>
      <w:r w:rsidR="0034735D">
        <w:rPr>
          <w:sz w:val="22"/>
          <w:szCs w:val="22"/>
          <w:lang w:val="en-US"/>
        </w:rPr>
        <w:t>M</w:t>
      </w:r>
      <w:r>
        <w:rPr>
          <w:sz w:val="22"/>
          <w:szCs w:val="22"/>
          <w:lang w:val="en-US"/>
        </w:rPr>
        <w:t xml:space="preserve">ode 1 UE as well in the previous </w:t>
      </w:r>
      <w:r w:rsidR="004602AA">
        <w:rPr>
          <w:sz w:val="22"/>
          <w:szCs w:val="22"/>
          <w:lang w:val="en-US"/>
        </w:rPr>
        <w:t>time slots</w:t>
      </w:r>
      <w:r>
        <w:rPr>
          <w:sz w:val="22"/>
          <w:szCs w:val="22"/>
          <w:lang w:val="en-US"/>
        </w:rPr>
        <w:t xml:space="preserve">, and can avoid using those </w:t>
      </w:r>
      <w:r w:rsidR="004602AA">
        <w:rPr>
          <w:sz w:val="22"/>
          <w:szCs w:val="22"/>
          <w:lang w:val="en-US"/>
        </w:rPr>
        <w:t xml:space="preserve">time slots </w:t>
      </w:r>
      <w:r>
        <w:rPr>
          <w:sz w:val="22"/>
          <w:szCs w:val="22"/>
          <w:lang w:val="en-US"/>
        </w:rPr>
        <w:t xml:space="preserve">that are frequented by </w:t>
      </w:r>
      <w:r w:rsidR="0034735D">
        <w:rPr>
          <w:sz w:val="22"/>
          <w:szCs w:val="22"/>
          <w:lang w:val="en-US"/>
        </w:rPr>
        <w:t>M</w:t>
      </w:r>
      <w:r>
        <w:rPr>
          <w:sz w:val="22"/>
          <w:szCs w:val="22"/>
          <w:lang w:val="en-US"/>
        </w:rPr>
        <w:t xml:space="preserve">ode 1 UEs. It has to be kept in mind that the sensing and the subsequent elimination of resources that are occupied by other UEs work only when sensing for repeated SPS transmissions. One shot (OS) transmissions in either </w:t>
      </w:r>
      <w:r w:rsidR="0034735D">
        <w:rPr>
          <w:sz w:val="22"/>
          <w:szCs w:val="22"/>
          <w:lang w:val="en-US"/>
        </w:rPr>
        <w:t>M</w:t>
      </w:r>
      <w:r>
        <w:rPr>
          <w:sz w:val="22"/>
          <w:szCs w:val="22"/>
          <w:lang w:val="en-US"/>
        </w:rPr>
        <w:t xml:space="preserve">ode 1 or </w:t>
      </w:r>
      <w:r w:rsidR="0034735D">
        <w:rPr>
          <w:sz w:val="22"/>
          <w:szCs w:val="22"/>
          <w:lang w:val="en-US"/>
        </w:rPr>
        <w:t>M</w:t>
      </w:r>
      <w:r>
        <w:rPr>
          <w:sz w:val="22"/>
          <w:szCs w:val="22"/>
          <w:lang w:val="en-US"/>
        </w:rPr>
        <w:t xml:space="preserve">ode </w:t>
      </w:r>
      <w:r w:rsidR="0034735D">
        <w:rPr>
          <w:sz w:val="22"/>
          <w:szCs w:val="22"/>
          <w:lang w:val="en-US"/>
        </w:rPr>
        <w:t>2</w:t>
      </w:r>
      <w:r>
        <w:rPr>
          <w:sz w:val="22"/>
          <w:szCs w:val="22"/>
          <w:lang w:val="en-US"/>
        </w:rPr>
        <w:t xml:space="preserve"> cannot be predicted and hence this information will not prove useful when the </w:t>
      </w:r>
      <w:r w:rsidR="0034735D">
        <w:rPr>
          <w:sz w:val="22"/>
          <w:szCs w:val="22"/>
          <w:lang w:val="en-US"/>
        </w:rPr>
        <w:t>M</w:t>
      </w:r>
      <w:r>
        <w:rPr>
          <w:sz w:val="22"/>
          <w:szCs w:val="22"/>
          <w:lang w:val="en-US"/>
        </w:rPr>
        <w:t xml:space="preserve">ode 2 UE senses the previous </w:t>
      </w:r>
      <w:r w:rsidR="004602AA">
        <w:rPr>
          <w:sz w:val="22"/>
          <w:szCs w:val="22"/>
          <w:lang w:val="en-US"/>
        </w:rPr>
        <w:t>time slots</w:t>
      </w:r>
      <w:r>
        <w:rPr>
          <w:sz w:val="22"/>
          <w:szCs w:val="22"/>
          <w:lang w:val="en-US"/>
        </w:rPr>
        <w:t>.</w:t>
      </w:r>
    </w:p>
    <w:p w14:paraId="0E4FC80F" w14:textId="4A410472" w:rsidR="002459A8" w:rsidRDefault="002459A8" w:rsidP="002459A8">
      <w:pPr>
        <w:jc w:val="both"/>
        <w:rPr>
          <w:sz w:val="22"/>
          <w:szCs w:val="22"/>
          <w:lang w:val="en-US"/>
        </w:rPr>
      </w:pPr>
      <w:r>
        <w:rPr>
          <w:sz w:val="22"/>
          <w:szCs w:val="22"/>
          <w:lang w:val="en-US"/>
        </w:rPr>
        <w:t xml:space="preserve">In the case of </w:t>
      </w:r>
      <w:r w:rsidR="0034735D">
        <w:rPr>
          <w:sz w:val="22"/>
          <w:szCs w:val="22"/>
          <w:lang w:val="en-US"/>
        </w:rPr>
        <w:t>M</w:t>
      </w:r>
      <w:r>
        <w:rPr>
          <w:sz w:val="22"/>
          <w:szCs w:val="22"/>
          <w:lang w:val="en-US"/>
        </w:rPr>
        <w:t>ode 1 UEs, the gNB carries out the scheduling of the UEs and provides them with the exact resources in which they are to transmit. The problem with this metho</w:t>
      </w:r>
      <w:r w:rsidR="004602AA">
        <w:rPr>
          <w:sz w:val="22"/>
          <w:szCs w:val="22"/>
          <w:lang w:val="en-US"/>
        </w:rPr>
        <w:t>d in a shared pool is that the g</w:t>
      </w:r>
      <w:r>
        <w:rPr>
          <w:sz w:val="22"/>
          <w:szCs w:val="22"/>
          <w:lang w:val="en-US"/>
        </w:rPr>
        <w:t>NB has</w:t>
      </w:r>
      <w:r w:rsidR="004602AA">
        <w:rPr>
          <w:sz w:val="22"/>
          <w:szCs w:val="22"/>
          <w:lang w:val="en-US"/>
        </w:rPr>
        <w:t xml:space="preserve"> no information about the </w:t>
      </w:r>
      <w:r w:rsidR="0034735D">
        <w:rPr>
          <w:sz w:val="22"/>
          <w:szCs w:val="22"/>
          <w:lang w:val="en-US"/>
        </w:rPr>
        <w:t>M</w:t>
      </w:r>
      <w:r w:rsidR="004602AA">
        <w:rPr>
          <w:sz w:val="22"/>
          <w:szCs w:val="22"/>
          <w:lang w:val="en-US"/>
        </w:rPr>
        <w:t>ode 2</w:t>
      </w:r>
      <w:r>
        <w:rPr>
          <w:sz w:val="22"/>
          <w:szCs w:val="22"/>
          <w:lang w:val="en-US"/>
        </w:rPr>
        <w:t xml:space="preserve"> UEs which are simultaneously competing for resources within the same pool.</w:t>
      </w:r>
    </w:p>
    <w:p w14:paraId="53600B5B" w14:textId="7D4E8A59" w:rsidR="004602AA" w:rsidRDefault="004602AA" w:rsidP="004602AA">
      <w:pPr>
        <w:jc w:val="both"/>
        <w:rPr>
          <w:sz w:val="22"/>
          <w:szCs w:val="22"/>
          <w:lang w:val="en-US"/>
        </w:rPr>
      </w:pPr>
      <w:r>
        <w:rPr>
          <w:sz w:val="22"/>
          <w:szCs w:val="22"/>
          <w:lang w:val="en-US"/>
        </w:rPr>
        <w:t xml:space="preserve">The gNB would benefit immensely from any sort of occupancy reporting which would enable it to not select resources already being used by </w:t>
      </w:r>
      <w:r w:rsidR="0034735D">
        <w:rPr>
          <w:sz w:val="22"/>
          <w:szCs w:val="22"/>
          <w:lang w:val="en-US"/>
        </w:rPr>
        <w:t>M</w:t>
      </w:r>
      <w:r>
        <w:rPr>
          <w:sz w:val="22"/>
          <w:szCs w:val="22"/>
          <w:lang w:val="en-US"/>
        </w:rPr>
        <w:t>ode 2 UEs. In order to facilitate this, we propose that occupancy reports can be sent by a Mode 1 UE back to the eNB.</w:t>
      </w:r>
    </w:p>
    <w:p w14:paraId="491E8426" w14:textId="77777777" w:rsidR="00FF4B93" w:rsidRDefault="00FF4B93" w:rsidP="004602AA">
      <w:pPr>
        <w:jc w:val="both"/>
        <w:rPr>
          <w:sz w:val="22"/>
          <w:szCs w:val="22"/>
          <w:lang w:val="en-US"/>
        </w:rPr>
      </w:pPr>
    </w:p>
    <w:p w14:paraId="32D40E2F" w14:textId="76170310" w:rsidR="004602AA" w:rsidRDefault="004602AA" w:rsidP="004602AA">
      <w:pPr>
        <w:pStyle w:val="Heading3"/>
        <w:rPr>
          <w:lang w:val="en-US"/>
        </w:rPr>
      </w:pPr>
      <w:r>
        <w:rPr>
          <w:lang w:val="en-US"/>
        </w:rPr>
        <w:t>Occupancy Reports</w:t>
      </w:r>
    </w:p>
    <w:p w14:paraId="2D409279" w14:textId="6151F842" w:rsidR="004602AA" w:rsidRDefault="004602AA" w:rsidP="004602AA">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67990E73" w14:textId="0238EBA7" w:rsidR="004602AA" w:rsidRDefault="004602AA" w:rsidP="004602AA">
      <w:pPr>
        <w:jc w:val="both"/>
        <w:rPr>
          <w:sz w:val="22"/>
          <w:szCs w:val="22"/>
          <w:lang w:val="en-US"/>
        </w:rPr>
      </w:pPr>
      <w:r>
        <w:rPr>
          <w:sz w:val="22"/>
          <w:szCs w:val="22"/>
          <w:lang w:val="en-US"/>
        </w:rPr>
        <w:t xml:space="preserve">These occupancy reports could be enhanced CBR reports, where Mode 1 UEs </w:t>
      </w:r>
      <w:r w:rsidRPr="004602AA">
        <w:rPr>
          <w:sz w:val="22"/>
          <w:szCs w:val="22"/>
          <w:lang w:val="en-US"/>
        </w:rPr>
        <w:t xml:space="preserve">could provide the CBR values of each of the </w:t>
      </w:r>
      <w:r w:rsidR="00253F72">
        <w:rPr>
          <w:sz w:val="22"/>
          <w:szCs w:val="22"/>
          <w:lang w:val="en-US"/>
        </w:rPr>
        <w:t>time slots</w:t>
      </w:r>
      <w:r w:rsidRPr="004602AA">
        <w:rPr>
          <w:sz w:val="22"/>
          <w:szCs w:val="22"/>
          <w:lang w:val="en-US"/>
        </w:rPr>
        <w:t xml:space="preserve"> in a given res</w:t>
      </w:r>
      <w:r w:rsidR="00253F72">
        <w:rPr>
          <w:sz w:val="22"/>
          <w:szCs w:val="22"/>
          <w:lang w:val="en-US"/>
        </w:rPr>
        <w:t>ource pool, thereby giving the g</w:t>
      </w:r>
      <w:r w:rsidRPr="004602AA">
        <w:rPr>
          <w:sz w:val="22"/>
          <w:szCs w:val="22"/>
          <w:lang w:val="en-US"/>
        </w:rPr>
        <w:t xml:space="preserve">NB information regarding the occupancy state of each </w:t>
      </w:r>
      <w:r w:rsidR="00253F72">
        <w:rPr>
          <w:sz w:val="22"/>
          <w:szCs w:val="22"/>
          <w:lang w:val="en-US"/>
        </w:rPr>
        <w:t>time slot.</w:t>
      </w:r>
    </w:p>
    <w:p w14:paraId="19D3428C" w14:textId="77777777" w:rsidR="00253F72" w:rsidRDefault="00253F72" w:rsidP="004602AA">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w:t>
      </w:r>
      <w:r w:rsidRPr="00253F72">
        <w:rPr>
          <w:sz w:val="22"/>
          <w:szCs w:val="22"/>
          <w:lang w:val="en-US"/>
        </w:rPr>
        <w:lastRenderedPageBreak/>
        <w:t xml:space="preserve">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5CB50BCE" w14:textId="38675B13" w:rsidR="00253F72" w:rsidRDefault="00253F72" w:rsidP="004602AA">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5DC078FD" w14:textId="70822D0B" w:rsidR="00253F72" w:rsidRDefault="00253F72" w:rsidP="00253F72">
      <w:pPr>
        <w:pStyle w:val="3GPPNormalText"/>
        <w:rPr>
          <w:b/>
        </w:rPr>
      </w:pPr>
      <w:r w:rsidRPr="00E6311E">
        <w:rPr>
          <w:b/>
        </w:rPr>
        <w:t>O</w:t>
      </w:r>
      <w:r w:rsidR="00B0415A">
        <w:rPr>
          <w:b/>
        </w:rPr>
        <w:t>bservation 3</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4BFEA01B" w14:textId="29A37E7D" w:rsidR="00DF7336" w:rsidRDefault="00DF7336" w:rsidP="00253F72">
      <w:pPr>
        <w:pStyle w:val="3GPPNormalText"/>
        <w:rPr>
          <w:b/>
          <w:noProof/>
        </w:rPr>
      </w:pPr>
    </w:p>
    <w:p w14:paraId="6AD7226F" w14:textId="3A3CDD32" w:rsidR="00DF7336" w:rsidRDefault="00DF7336" w:rsidP="00DF7336">
      <w:pPr>
        <w:pStyle w:val="3GPPNormalText"/>
        <w:jc w:val="center"/>
        <w:rPr>
          <w:b/>
        </w:rPr>
      </w:pPr>
      <w:r>
        <w:rPr>
          <w:b/>
          <w:noProof/>
        </w:rPr>
        <w:drawing>
          <wp:inline distT="0" distB="0" distL="0" distR="0" wp14:anchorId="27013811" wp14:editId="42BDD13A">
            <wp:extent cx="5398770" cy="3609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5">
                      <a:extLst>
                        <a:ext uri="{28A0092B-C50C-407E-A947-70E740481C1C}">
                          <a14:useLocalDpi xmlns:a14="http://schemas.microsoft.com/office/drawing/2010/main" val="0"/>
                        </a:ext>
                      </a:extLst>
                    </a:blip>
                    <a:srcRect l="14741" b="24058"/>
                    <a:stretch/>
                  </pic:blipFill>
                  <pic:spPr bwMode="auto">
                    <a:xfrm>
                      <a:off x="0" y="0"/>
                      <a:ext cx="5398770" cy="3609975"/>
                    </a:xfrm>
                    <a:prstGeom prst="rect">
                      <a:avLst/>
                    </a:prstGeom>
                    <a:ln>
                      <a:noFill/>
                    </a:ln>
                    <a:extLst>
                      <a:ext uri="{53640926-AAD7-44D8-BBD7-CCE9431645EC}">
                        <a14:shadowObscured xmlns:a14="http://schemas.microsoft.com/office/drawing/2010/main"/>
                      </a:ext>
                    </a:extLst>
                  </pic:spPr>
                </pic:pic>
              </a:graphicData>
            </a:graphic>
          </wp:inline>
        </w:drawing>
      </w:r>
    </w:p>
    <w:p w14:paraId="17A02813" w14:textId="77777777" w:rsidR="00D90F9F" w:rsidRDefault="00D90F9F" w:rsidP="00D90F9F">
      <w:pPr>
        <w:pStyle w:val="3GPPNormalText"/>
        <w:jc w:val="center"/>
        <w:rPr>
          <w:b/>
          <w:i/>
        </w:rPr>
      </w:pPr>
    </w:p>
    <w:p w14:paraId="78898E70" w14:textId="47C7F3C6" w:rsidR="00D90F9F" w:rsidRDefault="00D90F9F" w:rsidP="00D90F9F">
      <w:pPr>
        <w:pStyle w:val="3GPPNormalText"/>
        <w:jc w:val="center"/>
        <w:rPr>
          <w:i/>
        </w:rPr>
      </w:pPr>
      <w:r w:rsidRPr="00153BE6">
        <w:rPr>
          <w:b/>
          <w:i/>
        </w:rPr>
        <w:t xml:space="preserve">Figure </w:t>
      </w:r>
      <w:r w:rsidR="00FF4B93">
        <w:rPr>
          <w:b/>
          <w:i/>
        </w:rPr>
        <w:t>2</w:t>
      </w:r>
      <w:r w:rsidRPr="00153BE6">
        <w:rPr>
          <w:i/>
        </w:rPr>
        <w:t xml:space="preserve">: </w:t>
      </w:r>
      <w:r>
        <w:rPr>
          <w:i/>
        </w:rPr>
        <w:t>Reporting by Mode 1 UEs in Resource Sharing Scenario</w:t>
      </w:r>
    </w:p>
    <w:p w14:paraId="2B30934D" w14:textId="77777777" w:rsidR="00B0415A" w:rsidRPr="00D90F9F" w:rsidRDefault="00B0415A" w:rsidP="00D90F9F">
      <w:pPr>
        <w:pStyle w:val="3GPPNormalText"/>
        <w:jc w:val="center"/>
        <w:rPr>
          <w:i/>
        </w:rPr>
      </w:pPr>
    </w:p>
    <w:p w14:paraId="02547516" w14:textId="337D3E15" w:rsidR="00253F72" w:rsidRDefault="00253F72" w:rsidP="00253F72">
      <w:pPr>
        <w:pStyle w:val="Heading3"/>
        <w:rPr>
          <w:lang w:val="en-US"/>
        </w:rPr>
      </w:pPr>
      <w:r>
        <w:rPr>
          <w:lang w:val="en-US"/>
        </w:rPr>
        <w:t>Overhead due to Reporting</w:t>
      </w:r>
    </w:p>
    <w:p w14:paraId="70055D12" w14:textId="6EDC0BC6" w:rsidR="00253F72" w:rsidRPr="00253F72" w:rsidRDefault="00253F72" w:rsidP="00253F72">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signalling involved and the size of the report as well</w:t>
      </w:r>
      <w:r w:rsidRPr="00253F72">
        <w:rPr>
          <w:sz w:val="22"/>
          <w:szCs w:val="22"/>
          <w:lang w:val="en-US"/>
        </w:rPr>
        <w:t xml:space="preserve">. </w:t>
      </w:r>
    </w:p>
    <w:p w14:paraId="18D0711B" w14:textId="67ADA26D" w:rsidR="00253F72" w:rsidRPr="00253F72" w:rsidRDefault="00253F72" w:rsidP="00253F72">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g</w:t>
      </w:r>
      <w:r w:rsidR="00FF4B93">
        <w:rPr>
          <w:sz w:val="22"/>
          <w:szCs w:val="22"/>
          <w:lang w:val="en-US"/>
        </w:rPr>
        <w:t>NB, as seen in Figure 2</w:t>
      </w:r>
      <w:r w:rsidRPr="00253F72">
        <w:rPr>
          <w:sz w:val="22"/>
          <w:szCs w:val="22"/>
          <w:lang w:val="en-US"/>
        </w:rPr>
        <w:t>.</w:t>
      </w:r>
    </w:p>
    <w:p w14:paraId="69DFD00C" w14:textId="7612431B" w:rsidR="002459A8" w:rsidRDefault="00253F72" w:rsidP="00AF07F4">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w:t>
      </w:r>
      <w:r w:rsidR="00DD796C">
        <w:rPr>
          <w:sz w:val="22"/>
          <w:szCs w:val="22"/>
          <w:lang w:val="en-US"/>
        </w:rPr>
        <w:t>ease</w:t>
      </w:r>
      <w:r w:rsidRPr="00253F72">
        <w:rPr>
          <w:sz w:val="22"/>
          <w:szCs w:val="22"/>
          <w:lang w:val="en-US"/>
        </w:rPr>
        <w:t xml:space="preserve"> 14. This will reduce the overhead caused by all the UEs transmitting the report.</w:t>
      </w:r>
      <w:bookmarkStart w:id="3" w:name="_GoBack"/>
      <w:bookmarkEnd w:id="3"/>
    </w:p>
    <w:p w14:paraId="70338E18" w14:textId="1A1C274A" w:rsidR="00D90F9F" w:rsidRPr="002459A8" w:rsidRDefault="00D90F9F" w:rsidP="00AF07F4">
      <w:pPr>
        <w:jc w:val="both"/>
        <w:rPr>
          <w:sz w:val="22"/>
          <w:szCs w:val="22"/>
          <w:lang w:val="en-US"/>
        </w:rPr>
      </w:pPr>
      <w:r>
        <w:rPr>
          <w:sz w:val="22"/>
          <w:szCs w:val="22"/>
          <w:lang w:val="en-US"/>
        </w:rPr>
        <w:lastRenderedPageBreak/>
        <w:t>The size of the report being sent to the gNB can also be studied in order to ensure it does not cause any untoward overhead issues.</w:t>
      </w:r>
    </w:p>
    <w:p w14:paraId="6A334876" w14:textId="40757E62" w:rsidR="00B84C0F" w:rsidRPr="004D4AC7" w:rsidRDefault="00B84C0F" w:rsidP="00B84C0F">
      <w:pPr>
        <w:pStyle w:val="3GPPNormalText"/>
        <w:rPr>
          <w:b/>
        </w:rPr>
      </w:pPr>
      <w:r w:rsidRPr="00E6311E">
        <w:rPr>
          <w:b/>
        </w:rPr>
        <w:t>O</w:t>
      </w:r>
      <w:r>
        <w:rPr>
          <w:b/>
        </w:rPr>
        <w:t xml:space="preserve">bservation </w:t>
      </w:r>
      <w:r w:rsidR="00B0415A">
        <w:rPr>
          <w:b/>
        </w:rPr>
        <w:t>4</w:t>
      </w:r>
      <w:r w:rsidRPr="00E6311E">
        <w:rPr>
          <w:b/>
        </w:rPr>
        <w:t xml:space="preserve">: </w:t>
      </w:r>
      <w:r w:rsidR="00D90F9F">
        <w:rPr>
          <w:b/>
        </w:rPr>
        <w:t>The impact of the overhead caused by reporting can be mitigated by having only a subset of Mode 1 UEs carrying out the reporting.</w:t>
      </w:r>
    </w:p>
    <w:p w14:paraId="4C6FBF2B" w14:textId="1084FCF5" w:rsidR="00B84C0F" w:rsidRDefault="00B84C0F" w:rsidP="00B84C0F">
      <w:pPr>
        <w:jc w:val="both"/>
        <w:rPr>
          <w:b/>
          <w:sz w:val="22"/>
          <w:szCs w:val="22"/>
        </w:rPr>
      </w:pPr>
      <w:r>
        <w:rPr>
          <w:b/>
          <w:sz w:val="22"/>
          <w:szCs w:val="22"/>
        </w:rPr>
        <w:t xml:space="preserve">Proposal </w:t>
      </w:r>
      <w:r w:rsidR="001277B8">
        <w:rPr>
          <w:b/>
          <w:sz w:val="22"/>
          <w:szCs w:val="22"/>
        </w:rPr>
        <w:t>3</w:t>
      </w:r>
      <w:r w:rsidRPr="008F7F19">
        <w:rPr>
          <w:b/>
          <w:sz w:val="22"/>
          <w:szCs w:val="22"/>
        </w:rPr>
        <w:t>:</w:t>
      </w:r>
      <w:r w:rsidR="00D90F9F">
        <w:rPr>
          <w:b/>
          <w:sz w:val="22"/>
          <w:szCs w:val="22"/>
        </w:rPr>
        <w:t xml:space="preserve"> We propose to study the benefits of </w:t>
      </w:r>
      <w:r w:rsidR="00D90F9F" w:rsidRPr="00D90F9F">
        <w:rPr>
          <w:b/>
          <w:sz w:val="22"/>
          <w:szCs w:val="22"/>
        </w:rPr>
        <w:t>Mode 1 NR V2X UEs support</w:t>
      </w:r>
      <w:r w:rsidR="00D90F9F">
        <w:rPr>
          <w:b/>
          <w:sz w:val="22"/>
          <w:szCs w:val="22"/>
        </w:rPr>
        <w:t>ing</w:t>
      </w:r>
      <w:r w:rsidR="00D90F9F" w:rsidRPr="00D90F9F">
        <w:rPr>
          <w:b/>
          <w:sz w:val="22"/>
          <w:szCs w:val="22"/>
        </w:rPr>
        <w:t xml:space="preserve"> the sensing and reporting of the congestion status of resources to the gNB.</w:t>
      </w:r>
    </w:p>
    <w:p w14:paraId="23D3D6FD" w14:textId="77777777" w:rsidR="00B0415A" w:rsidRPr="006837E8" w:rsidRDefault="00B0415A" w:rsidP="006837E8"/>
    <w:p w14:paraId="370547F5" w14:textId="77777777" w:rsidR="00AF07F4" w:rsidRDefault="00AF07F4" w:rsidP="00AF07F4">
      <w:pPr>
        <w:pStyle w:val="Heading1"/>
        <w:rPr>
          <w:lang w:val="en-US"/>
        </w:rPr>
      </w:pPr>
      <w:bookmarkStart w:id="4" w:name="OLE_LINK13"/>
      <w:bookmarkStart w:id="5" w:name="OLE_LINK14"/>
      <w:bookmarkEnd w:id="0"/>
      <w:bookmarkEnd w:id="1"/>
      <w:r>
        <w:rPr>
          <w:lang w:val="en-US"/>
        </w:rPr>
        <w:t>Conclusion</w:t>
      </w:r>
    </w:p>
    <w:bookmarkEnd w:id="4"/>
    <w:bookmarkEnd w:id="5"/>
    <w:p w14:paraId="50C400BB" w14:textId="1669D57F" w:rsidR="0020412E" w:rsidRPr="0020412E" w:rsidRDefault="0020412E" w:rsidP="0020412E">
      <w:pPr>
        <w:jc w:val="both"/>
        <w:rPr>
          <w:sz w:val="22"/>
          <w:szCs w:val="22"/>
          <w:lang w:val="en-US"/>
        </w:rPr>
      </w:pPr>
      <w:r>
        <w:rPr>
          <w:sz w:val="22"/>
          <w:szCs w:val="22"/>
          <w:lang w:val="en-US"/>
        </w:rPr>
        <w:t>Based on our analysis carried out in this contribution, we have the following observations:</w:t>
      </w:r>
    </w:p>
    <w:p w14:paraId="6E00A14C" w14:textId="77777777" w:rsidR="00FF4B93" w:rsidRPr="003761AF" w:rsidRDefault="00FF4B93" w:rsidP="00FF4B93">
      <w:pPr>
        <w:jc w:val="both"/>
        <w:rPr>
          <w:sz w:val="22"/>
          <w:szCs w:val="22"/>
        </w:rPr>
      </w:pPr>
      <w:r w:rsidRPr="003761AF">
        <w:rPr>
          <w:b/>
          <w:sz w:val="22"/>
          <w:szCs w:val="22"/>
        </w:rPr>
        <w:t>Observation</w:t>
      </w:r>
      <w:r>
        <w:rPr>
          <w:b/>
          <w:sz w:val="22"/>
          <w:szCs w:val="22"/>
        </w:rPr>
        <w:t xml:space="preserve"> 1</w:t>
      </w:r>
      <w:r w:rsidRPr="003761AF">
        <w:rPr>
          <w:b/>
          <w:sz w:val="22"/>
          <w:szCs w:val="22"/>
        </w:rPr>
        <w:t>: NR flexible slot structure facilitates accommodation of a diverse range of traffic requirements (</w:t>
      </w:r>
      <w:proofErr w:type="spellStart"/>
      <w:r w:rsidRPr="003761AF">
        <w:rPr>
          <w:b/>
          <w:sz w:val="22"/>
          <w:szCs w:val="22"/>
        </w:rPr>
        <w:t>eMBB</w:t>
      </w:r>
      <w:proofErr w:type="spellEnd"/>
      <w:r w:rsidRPr="003761AF">
        <w:rPr>
          <w:b/>
          <w:sz w:val="22"/>
          <w:szCs w:val="22"/>
        </w:rPr>
        <w:t>, URLLC).</w:t>
      </w:r>
    </w:p>
    <w:p w14:paraId="2938E35C" w14:textId="77777777" w:rsidR="00FF4B93" w:rsidRPr="003761AF" w:rsidRDefault="00FF4B93" w:rsidP="00FF4B93">
      <w:pPr>
        <w:jc w:val="both"/>
        <w:rPr>
          <w:sz w:val="22"/>
          <w:szCs w:val="22"/>
        </w:rPr>
      </w:pPr>
      <w:r w:rsidRPr="003761AF">
        <w:rPr>
          <w:b/>
          <w:sz w:val="22"/>
          <w:szCs w:val="22"/>
        </w:rPr>
        <w:t>Observation</w:t>
      </w:r>
      <w:r>
        <w:rPr>
          <w:b/>
          <w:sz w:val="22"/>
          <w:szCs w:val="22"/>
        </w:rPr>
        <w:t xml:space="preserve"> 2</w:t>
      </w:r>
      <w:r w:rsidRPr="003761AF">
        <w:rPr>
          <w:b/>
          <w:sz w:val="22"/>
          <w:szCs w:val="22"/>
        </w:rPr>
        <w:t xml:space="preserve">: Usage of flexible slots/symbols (F/X) for sidelink communication in a shared carrier may create interference. </w:t>
      </w:r>
    </w:p>
    <w:p w14:paraId="067718EB" w14:textId="77777777" w:rsidR="00FF4B93" w:rsidRDefault="00FF4B93" w:rsidP="00FF4B93">
      <w:pPr>
        <w:pStyle w:val="3GPPNormalText"/>
        <w:rPr>
          <w:b/>
        </w:rPr>
      </w:pPr>
      <w:r w:rsidRPr="00E6311E">
        <w:rPr>
          <w:b/>
        </w:rPr>
        <w:t>O</w:t>
      </w:r>
      <w:r>
        <w:rPr>
          <w:b/>
        </w:rPr>
        <w:t>bservation 3</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22039057" w14:textId="77777777" w:rsidR="00FF4B93" w:rsidRPr="004D4AC7" w:rsidRDefault="00FF4B93" w:rsidP="00FF4B93">
      <w:pPr>
        <w:pStyle w:val="3GPPNormalText"/>
        <w:rPr>
          <w:b/>
        </w:rPr>
      </w:pPr>
      <w:r w:rsidRPr="00E6311E">
        <w:rPr>
          <w:b/>
        </w:rPr>
        <w:t>O</w:t>
      </w:r>
      <w:r>
        <w:rPr>
          <w:b/>
        </w:rPr>
        <w:t>bservation 4</w:t>
      </w:r>
      <w:r w:rsidRPr="00E6311E">
        <w:rPr>
          <w:b/>
        </w:rPr>
        <w:t xml:space="preserve">: </w:t>
      </w:r>
      <w:r>
        <w:rPr>
          <w:b/>
        </w:rPr>
        <w:t>The impact of the overhead caused by reporting can be mitigated by having only a subset of Mode 1 UEs carrying out the reporting.</w:t>
      </w:r>
    </w:p>
    <w:p w14:paraId="69A7FC03" w14:textId="0FFCDF65" w:rsidR="0020412E" w:rsidRPr="0020412E" w:rsidRDefault="0020412E" w:rsidP="0020412E">
      <w:pPr>
        <w:jc w:val="both"/>
        <w:rPr>
          <w:sz w:val="22"/>
          <w:szCs w:val="22"/>
          <w:lang w:val="en-US"/>
        </w:rPr>
      </w:pPr>
      <w:r w:rsidRPr="00553068">
        <w:rPr>
          <w:sz w:val="22"/>
          <w:szCs w:val="22"/>
          <w:lang w:val="en-US"/>
        </w:rPr>
        <w:t>Based on these observations, we propose the following:</w:t>
      </w:r>
    </w:p>
    <w:p w14:paraId="5E03CED2" w14:textId="77777777" w:rsidR="00FF4B93" w:rsidRPr="003761AF" w:rsidRDefault="00FF4B93" w:rsidP="00FF4B93">
      <w:pPr>
        <w:jc w:val="both"/>
        <w:rPr>
          <w:b/>
          <w:sz w:val="22"/>
          <w:szCs w:val="22"/>
        </w:rPr>
      </w:pPr>
      <w:r w:rsidRPr="003761AF">
        <w:rPr>
          <w:b/>
          <w:sz w:val="22"/>
          <w:szCs w:val="22"/>
        </w:rPr>
        <w:t>Proposal</w:t>
      </w:r>
      <w:r>
        <w:rPr>
          <w:b/>
          <w:sz w:val="22"/>
          <w:szCs w:val="22"/>
        </w:rPr>
        <w:t xml:space="preserve"> 1</w:t>
      </w:r>
      <w:r w:rsidRPr="003761AF">
        <w:rPr>
          <w:b/>
          <w:sz w:val="22"/>
          <w:szCs w:val="22"/>
        </w:rPr>
        <w:t>: Adopt the NR flexible slot format for NR sidelink in a shared carrier.</w:t>
      </w:r>
    </w:p>
    <w:p w14:paraId="53223072" w14:textId="77777777" w:rsidR="00FF4B93" w:rsidRPr="003761AF" w:rsidRDefault="00FF4B93" w:rsidP="00FF4B93">
      <w:pPr>
        <w:jc w:val="both"/>
        <w:rPr>
          <w:b/>
          <w:sz w:val="22"/>
          <w:szCs w:val="22"/>
        </w:rPr>
      </w:pPr>
      <w:r w:rsidRPr="003761AF">
        <w:rPr>
          <w:b/>
          <w:sz w:val="22"/>
          <w:szCs w:val="22"/>
        </w:rPr>
        <w:t>Proposal</w:t>
      </w:r>
      <w:r>
        <w:rPr>
          <w:b/>
          <w:sz w:val="22"/>
          <w:szCs w:val="22"/>
        </w:rPr>
        <w:t xml:space="preserve"> 2</w:t>
      </w:r>
      <w:r w:rsidRPr="003761AF">
        <w:rPr>
          <w:b/>
          <w:sz w:val="22"/>
          <w:szCs w:val="22"/>
        </w:rPr>
        <w:t>: Study dedicated slot format indication (e.g. ‘sidelink’/’S’) for OFDM symbols/slots in a shared sidelink carrier and related flexible slot formats.</w:t>
      </w:r>
    </w:p>
    <w:p w14:paraId="61A95D4E" w14:textId="77777777" w:rsidR="00FF4B93" w:rsidRDefault="00FF4B93" w:rsidP="00FF4B93">
      <w:pPr>
        <w:jc w:val="both"/>
        <w:rPr>
          <w:b/>
          <w:sz w:val="22"/>
          <w:szCs w:val="22"/>
        </w:rPr>
      </w:pPr>
      <w:r>
        <w:rPr>
          <w:b/>
          <w:sz w:val="22"/>
          <w:szCs w:val="22"/>
        </w:rPr>
        <w:t>Proposal 3</w:t>
      </w:r>
      <w:r w:rsidRPr="008F7F19">
        <w:rPr>
          <w:b/>
          <w:sz w:val="22"/>
          <w:szCs w:val="22"/>
        </w:rPr>
        <w:t>:</w:t>
      </w:r>
      <w:r>
        <w:rPr>
          <w:b/>
          <w:sz w:val="22"/>
          <w:szCs w:val="22"/>
        </w:rPr>
        <w:t xml:space="preserve"> We propose to study the benefits of </w:t>
      </w:r>
      <w:r w:rsidRPr="00D90F9F">
        <w:rPr>
          <w:b/>
          <w:sz w:val="22"/>
          <w:szCs w:val="22"/>
        </w:rPr>
        <w:t>Mode 1 NR V2X UEs support</w:t>
      </w:r>
      <w:r>
        <w:rPr>
          <w:b/>
          <w:sz w:val="22"/>
          <w:szCs w:val="22"/>
        </w:rPr>
        <w:t>ing</w:t>
      </w:r>
      <w:r w:rsidRPr="00D90F9F">
        <w:rPr>
          <w:b/>
          <w:sz w:val="22"/>
          <w:szCs w:val="22"/>
        </w:rPr>
        <w:t xml:space="preserve"> the sensing and reporting of the congestion status of resources to the gNB.</w:t>
      </w:r>
    </w:p>
    <w:p w14:paraId="226EDEAE" w14:textId="41B300A5" w:rsidR="00654C74" w:rsidRPr="00FF4B93" w:rsidRDefault="00654C74" w:rsidP="00654C74">
      <w:pPr>
        <w:pStyle w:val="3GPPNormalText"/>
        <w:rPr>
          <w:b/>
          <w:lang w:val="en-GB"/>
        </w:rPr>
      </w:pPr>
    </w:p>
    <w:p w14:paraId="443F05AB" w14:textId="77777777" w:rsidR="00AF07F4" w:rsidRPr="007564C3" w:rsidRDefault="00AF07F4" w:rsidP="00AF07F4">
      <w:pPr>
        <w:pStyle w:val="Heading1"/>
        <w:rPr>
          <w:rFonts w:cs="Arial"/>
        </w:rPr>
      </w:pPr>
      <w:r w:rsidRPr="00707A9A">
        <w:rPr>
          <w:lang w:val="en-US"/>
        </w:rPr>
        <w:t>References</w:t>
      </w:r>
    </w:p>
    <w:p w14:paraId="40C94D35" w14:textId="6A0083FE" w:rsidR="00AF07F4" w:rsidRPr="006C0A89" w:rsidRDefault="00AF07F4" w:rsidP="00AF07F4">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bookmarkEnd w:id="2"/>
    </w:p>
    <w:p w14:paraId="16DE0E71" w14:textId="77777777" w:rsidR="006C0A89" w:rsidRDefault="006C0A89" w:rsidP="006C0A89">
      <w:pPr>
        <w:widowControl w:val="0"/>
        <w:numPr>
          <w:ilvl w:val="0"/>
          <w:numId w:val="2"/>
        </w:numPr>
        <w:overflowPunct/>
        <w:autoSpaceDE/>
        <w:adjustRightInd/>
        <w:spacing w:after="120"/>
        <w:jc w:val="both"/>
        <w:textAlignment w:val="auto"/>
        <w:rPr>
          <w:iCs/>
          <w:lang w:val="en-US"/>
        </w:rPr>
      </w:pPr>
      <w:r w:rsidRPr="00326891">
        <w:rPr>
          <w:iCs/>
          <w:lang w:val="en-US"/>
        </w:rPr>
        <w:t>Draf</w:t>
      </w:r>
      <w:r>
        <w:rPr>
          <w:iCs/>
          <w:lang w:val="en-US"/>
        </w:rPr>
        <w:t>t Report of 3GPP TSG RAN WG1 #95</w:t>
      </w:r>
      <w:r w:rsidRPr="00326891">
        <w:rPr>
          <w:iCs/>
          <w:lang w:val="en-US"/>
        </w:rPr>
        <w:t xml:space="preserve"> v0.1.0</w:t>
      </w:r>
      <w:r>
        <w:rPr>
          <w:iCs/>
          <w:lang w:val="en-US"/>
        </w:rPr>
        <w:t>, MCC Support, 3GPP RAN1#95, November 2018.</w:t>
      </w:r>
    </w:p>
    <w:p w14:paraId="6A2AA885" w14:textId="77777777" w:rsidR="006C0A89" w:rsidRDefault="006C0A89" w:rsidP="006C0A89">
      <w:pPr>
        <w:widowControl w:val="0"/>
        <w:numPr>
          <w:ilvl w:val="0"/>
          <w:numId w:val="2"/>
        </w:numPr>
        <w:overflowPunct/>
        <w:autoSpaceDE/>
        <w:adjustRightInd/>
        <w:spacing w:after="120"/>
        <w:jc w:val="both"/>
        <w:textAlignment w:val="auto"/>
        <w:rPr>
          <w:iCs/>
          <w:lang w:val="en-US"/>
        </w:rPr>
      </w:pPr>
      <w:r>
        <w:rPr>
          <w:iCs/>
          <w:lang w:val="en-US"/>
        </w:rPr>
        <w:t>R1-1900354</w:t>
      </w:r>
      <w:r w:rsidRPr="00DE703C">
        <w:rPr>
          <w:iCs/>
          <w:lang w:val="en-US"/>
        </w:rPr>
        <w:t>, “</w:t>
      </w:r>
      <w:r>
        <w:rPr>
          <w:iCs/>
          <w:lang w:val="en-US"/>
        </w:rPr>
        <w:t>Analysis and Design of V2X Resource Entities</w:t>
      </w:r>
      <w:r w:rsidRPr="00DE703C">
        <w:rPr>
          <w:iCs/>
          <w:lang w:val="en-US"/>
        </w:rPr>
        <w:t>”, Fraunhofer HHI, Fraunhofer IIS, 3GPP RAN1</w:t>
      </w:r>
      <w:r>
        <w:rPr>
          <w:iCs/>
          <w:lang w:val="en-US"/>
        </w:rPr>
        <w:t xml:space="preserve"> AH1901</w:t>
      </w:r>
      <w:r w:rsidRPr="00DE703C">
        <w:rPr>
          <w:iCs/>
          <w:lang w:val="en-US"/>
        </w:rPr>
        <w:t xml:space="preserve">, </w:t>
      </w:r>
      <w:r>
        <w:rPr>
          <w:iCs/>
          <w:lang w:val="en-US"/>
        </w:rPr>
        <w:t>January 2019</w:t>
      </w:r>
      <w:r w:rsidRPr="00DE703C">
        <w:rPr>
          <w:iCs/>
          <w:lang w:val="en-US"/>
        </w:rPr>
        <w:t>.</w:t>
      </w:r>
    </w:p>
    <w:p w14:paraId="49FBEE35" w14:textId="6DEA1ADB" w:rsidR="006C0A89" w:rsidRPr="004536FA" w:rsidRDefault="006C0A89" w:rsidP="006C0A89">
      <w:pPr>
        <w:widowControl w:val="0"/>
        <w:numPr>
          <w:ilvl w:val="0"/>
          <w:numId w:val="2"/>
        </w:numPr>
        <w:overflowPunct/>
        <w:autoSpaceDE/>
        <w:adjustRightInd/>
        <w:spacing w:after="120"/>
        <w:jc w:val="both"/>
        <w:textAlignment w:val="auto"/>
        <w:rPr>
          <w:rFonts w:eastAsia="Batang"/>
          <w:lang w:val="en-US" w:eastAsia="de-DE"/>
        </w:rPr>
      </w:pPr>
      <w:bookmarkStart w:id="6" w:name="_Ref527625339"/>
      <w:r w:rsidRPr="004536FA">
        <w:rPr>
          <w:rFonts w:eastAsia="Batang"/>
          <w:lang w:val="en-US" w:eastAsia="de-DE"/>
        </w:rPr>
        <w:t>TS 38.211, “NR; Physical channels and modulation</w:t>
      </w:r>
      <w:r>
        <w:rPr>
          <w:rFonts w:eastAsia="Batang"/>
          <w:lang w:val="en-US" w:eastAsia="de-DE"/>
        </w:rPr>
        <w:t>”,</w:t>
      </w:r>
      <w:r w:rsidRPr="004536FA">
        <w:rPr>
          <w:rFonts w:eastAsia="Batang"/>
          <w:lang w:val="en-US" w:eastAsia="de-DE"/>
        </w:rPr>
        <w:t xml:space="preserve"> </w:t>
      </w:r>
      <w:r>
        <w:rPr>
          <w:rFonts w:eastAsia="Batang"/>
          <w:lang w:val="en-US" w:eastAsia="de-DE"/>
        </w:rPr>
        <w:t>Release 15</w:t>
      </w:r>
      <w:r w:rsidRPr="004536FA">
        <w:rPr>
          <w:rFonts w:eastAsia="Batang"/>
          <w:lang w:val="en-US" w:eastAsia="de-DE"/>
        </w:rPr>
        <w:t>, V15.3.0</w:t>
      </w:r>
      <w:r>
        <w:rPr>
          <w:rFonts w:eastAsia="Batang"/>
          <w:lang w:val="en-US" w:eastAsia="de-DE"/>
        </w:rPr>
        <w:t>, September, 2018.</w:t>
      </w:r>
      <w:bookmarkEnd w:id="6"/>
    </w:p>
    <w:p w14:paraId="2D3D63C4" w14:textId="4A253BD5" w:rsidR="006C0A89" w:rsidRPr="00FF4B93" w:rsidRDefault="006C0A89" w:rsidP="00FF4B93">
      <w:pPr>
        <w:widowControl w:val="0"/>
        <w:numPr>
          <w:ilvl w:val="0"/>
          <w:numId w:val="2"/>
        </w:numPr>
        <w:overflowPunct/>
        <w:autoSpaceDE/>
        <w:adjustRightInd/>
        <w:spacing w:after="120"/>
        <w:jc w:val="both"/>
        <w:textAlignment w:val="auto"/>
        <w:rPr>
          <w:rFonts w:eastAsia="Batang"/>
          <w:lang w:val="en-US" w:eastAsia="de-DE"/>
        </w:rPr>
      </w:pPr>
      <w:r w:rsidRPr="004536FA">
        <w:rPr>
          <w:rFonts w:eastAsia="Batang"/>
          <w:lang w:val="en-US" w:eastAsia="de-DE"/>
        </w:rPr>
        <w:t>TS 38.213, “NR; Physical layer procedures for control</w:t>
      </w:r>
      <w:r>
        <w:rPr>
          <w:rFonts w:eastAsia="Batang"/>
          <w:lang w:val="en-US" w:eastAsia="de-DE"/>
        </w:rPr>
        <w:t>”, Release 15, V15.3.0, September, 2018.</w:t>
      </w:r>
    </w:p>
    <w:sectPr w:rsidR="006C0A89" w:rsidRPr="00FF4B93"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17D53D" w16cid:durableId="1FC207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3EA2" w14:textId="77777777" w:rsidR="007E31F5" w:rsidRDefault="007E31F5">
      <w:r>
        <w:separator/>
      </w:r>
    </w:p>
  </w:endnote>
  <w:endnote w:type="continuationSeparator" w:id="0">
    <w:p w14:paraId="08533C55" w14:textId="77777777" w:rsidR="007E31F5" w:rsidRDefault="007E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C0BDD4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D796C">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D796C">
      <w:rPr>
        <w:rStyle w:val="CharChar2"/>
        <w:b/>
        <w:i/>
        <w:noProof/>
        <w:sz w:val="18"/>
      </w:rPr>
      <w:t>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F5C2D" w14:textId="77777777" w:rsidR="007E31F5" w:rsidRDefault="007E31F5">
      <w:r>
        <w:separator/>
      </w:r>
    </w:p>
  </w:footnote>
  <w:footnote w:type="continuationSeparator" w:id="0">
    <w:p w14:paraId="5A237200" w14:textId="77777777" w:rsidR="007E31F5" w:rsidRDefault="007E3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3"/>
  </w:num>
  <w:num w:numId="8">
    <w:abstractNumId w:val="10"/>
  </w:num>
  <w:num w:numId="9">
    <w:abstractNumId w:val="6"/>
  </w:num>
  <w:num w:numId="10">
    <w:abstractNumId w:val="4"/>
  </w:num>
  <w:num w:numId="11">
    <w:abstractNumId w:val="17"/>
  </w:num>
  <w:num w:numId="12">
    <w:abstractNumId w:val="20"/>
  </w:num>
  <w:num w:numId="13">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12"/>
  </w:num>
  <w:num w:numId="17">
    <w:abstractNumId w:val="11"/>
  </w:num>
  <w:num w:numId="18">
    <w:abstractNumId w:val="7"/>
  </w:num>
  <w:num w:numId="19">
    <w:abstractNumId w:val="23"/>
  </w:num>
  <w:num w:numId="20">
    <w:abstractNumId w:val="3"/>
  </w:num>
  <w:num w:numId="21">
    <w:abstractNumId w:val="15"/>
  </w:num>
  <w:num w:numId="22">
    <w:abstractNumId w:val="16"/>
  </w:num>
  <w:num w:numId="23">
    <w:abstractNumId w:val="5"/>
  </w:num>
  <w:num w:numId="24">
    <w:abstractNumId w:val="2"/>
  </w:num>
  <w:num w:numId="25">
    <w:abstractNumId w:val="22"/>
  </w:num>
  <w:num w:numId="26">
    <w:abstractNumId w:val="1"/>
  </w:num>
  <w:num w:numId="27">
    <w:abstractNumId w:val="14"/>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09"/>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24"/>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33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39A5EC"/>
  <w15:docId w15:val="{B2F3115E-4D9E-4C80-B929-E12D3473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F0EA570-BFE8-480B-A5DC-801C005AE71E}">
  <ds:schemaRefs>
    <ds:schemaRef ds:uri="http://schemas.openxmlformats.org/officeDocument/2006/bibliography"/>
  </ds:schemaRefs>
</ds:datastoreItem>
</file>

<file path=customXml/itemProps6.xml><?xml version="1.0" encoding="utf-8"?>
<ds:datastoreItem xmlns:ds="http://schemas.openxmlformats.org/officeDocument/2006/customXml" ds:itemID="{8322F1A9-0F47-428F-A9EB-BCFDE91E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2019</Words>
  <Characters>10102</Characters>
  <Application>Microsoft Office Word</Application>
  <DocSecurity>0</DocSecurity>
  <Lines>84</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12097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2019-01-11T09:48:00Z</dcterms:created>
  <dcterms:modified xsi:type="dcterms:W3CDTF">2019-01-11T17:26:00Z</dcterms:modified>
</cp:coreProperties>
</file>