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06A25" w14:textId="77777777" w:rsidR="00741BC0" w:rsidRPr="00AB2C58" w:rsidRDefault="00741BC0" w:rsidP="00741BC0">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Pr>
          <w:rFonts w:ascii="Arial" w:hAnsi="Arial" w:cs="Arial"/>
          <w:b/>
          <w:bCs/>
          <w:sz w:val="24"/>
          <w:lang w:val="en-US"/>
        </w:rPr>
        <w:t>3</w:t>
      </w:r>
      <w:r w:rsidR="00A67DD8">
        <w:rPr>
          <w:rFonts w:ascii="Arial" w:hAnsi="Arial" w:cs="Arial"/>
          <w:b/>
          <w:bCs/>
          <w:sz w:val="24"/>
          <w:lang w:val="en-US"/>
        </w:rPr>
        <w:t>GPP TSG RAN WG1 Meeting AH1901</w:t>
      </w:r>
      <w:r w:rsidRPr="00AB2C58">
        <w:rPr>
          <w:rFonts w:ascii="Arial" w:hAnsi="Arial" w:cs="Arial" w:hint="eastAsia"/>
          <w:b/>
          <w:bCs/>
          <w:sz w:val="24"/>
          <w:lang w:val="en-US"/>
        </w:rPr>
        <w:t xml:space="preserve">                                       </w:t>
      </w:r>
      <w:r>
        <w:rPr>
          <w:rFonts w:ascii="Arial" w:hAnsi="Arial" w:cs="Arial"/>
          <w:b/>
          <w:bCs/>
          <w:sz w:val="24"/>
          <w:lang w:val="en-US"/>
        </w:rPr>
        <w:t xml:space="preserve">                         R1-</w:t>
      </w:r>
      <w:r w:rsidRPr="00C733D4">
        <w:t xml:space="preserve"> </w:t>
      </w:r>
      <w:r w:rsidR="000E2E1E">
        <w:rPr>
          <w:rFonts w:ascii="Arial" w:hAnsi="Arial" w:cs="Arial"/>
          <w:b/>
          <w:bCs/>
          <w:sz w:val="24"/>
          <w:lang w:val="en-US"/>
        </w:rPr>
        <w:t>1900354</w:t>
      </w:r>
    </w:p>
    <w:p w14:paraId="1874D932" w14:textId="77777777" w:rsidR="00741BC0" w:rsidRDefault="00A67DD8" w:rsidP="00741BC0">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Taipei, Taiwan,</w:t>
      </w:r>
      <w:r w:rsidR="00741BC0" w:rsidRPr="00AC056A">
        <w:rPr>
          <w:rFonts w:ascii="Arial" w:hAnsi="Arial" w:cs="Arial"/>
          <w:b/>
          <w:bCs/>
          <w:sz w:val="24"/>
          <w:lang w:val="en-US"/>
        </w:rPr>
        <w:t xml:space="preserve"> </w:t>
      </w:r>
      <w:r>
        <w:rPr>
          <w:rFonts w:ascii="Arial" w:hAnsi="Arial" w:cs="Arial"/>
          <w:b/>
          <w:bCs/>
          <w:sz w:val="24"/>
          <w:lang w:val="en-US"/>
        </w:rPr>
        <w:t>January 21s</w:t>
      </w:r>
      <w:r w:rsidR="00741BC0" w:rsidRPr="00AC056A">
        <w:rPr>
          <w:rFonts w:ascii="Arial" w:hAnsi="Arial" w:cs="Arial"/>
          <w:b/>
          <w:bCs/>
          <w:sz w:val="24"/>
          <w:lang w:val="en-US"/>
        </w:rPr>
        <w:t xml:space="preserve">t – </w:t>
      </w:r>
      <w:r>
        <w:rPr>
          <w:rFonts w:ascii="Arial" w:hAnsi="Arial" w:cs="Arial"/>
          <w:b/>
          <w:bCs/>
          <w:sz w:val="24"/>
          <w:lang w:val="en-US"/>
        </w:rPr>
        <w:t>25</w:t>
      </w:r>
      <w:r w:rsidR="00741BC0" w:rsidRPr="00AC056A">
        <w:rPr>
          <w:rFonts w:ascii="Arial" w:hAnsi="Arial" w:cs="Arial"/>
          <w:b/>
          <w:bCs/>
          <w:sz w:val="24"/>
          <w:lang w:val="en-US"/>
        </w:rPr>
        <w:t>th, 201</w:t>
      </w:r>
      <w:r>
        <w:rPr>
          <w:rFonts w:ascii="Arial" w:hAnsi="Arial" w:cs="Arial"/>
          <w:b/>
          <w:bCs/>
          <w:sz w:val="24"/>
          <w:lang w:val="en-US"/>
        </w:rPr>
        <w:t>9</w:t>
      </w:r>
      <w:r w:rsidR="00741BC0" w:rsidRPr="003246E3">
        <w:rPr>
          <w:rFonts w:cs="Arial" w:hint="eastAsia"/>
          <w:i/>
          <w:color w:val="FF0000"/>
          <w:kern w:val="2"/>
          <w:lang w:val="en-US"/>
        </w:rPr>
        <w:t xml:space="preserve"> </w:t>
      </w:r>
      <w:r w:rsidR="00741BC0">
        <w:rPr>
          <w:rFonts w:cs="Arial"/>
          <w:i/>
          <w:color w:val="FF0000"/>
          <w:kern w:val="2"/>
          <w:lang w:val="en-US"/>
        </w:rPr>
        <w:t xml:space="preserve">                                         </w:t>
      </w:r>
      <w:r w:rsidR="00741BC0">
        <w:rPr>
          <w:rFonts w:cs="Arial"/>
          <w:i/>
          <w:color w:val="FF0000"/>
          <w:kern w:val="2"/>
          <w:lang w:val="en-US"/>
        </w:rPr>
        <w:tab/>
      </w:r>
    </w:p>
    <w:p w14:paraId="55BD1F24" w14:textId="77777777" w:rsidR="00741BC0" w:rsidRPr="00802686" w:rsidRDefault="00741BC0" w:rsidP="00741BC0">
      <w:pPr>
        <w:widowControl w:val="0"/>
        <w:tabs>
          <w:tab w:val="center" w:pos="4536"/>
          <w:tab w:val="right" w:pos="9072"/>
        </w:tabs>
        <w:overflowPunct/>
        <w:autoSpaceDE/>
        <w:adjustRightInd/>
        <w:spacing w:after="0"/>
        <w:rPr>
          <w:rFonts w:ascii="Arial" w:hAnsi="Arial" w:cs="Arial"/>
          <w:b/>
          <w:sz w:val="24"/>
          <w:lang w:val="en-US"/>
        </w:rPr>
      </w:pPr>
    </w:p>
    <w:p w14:paraId="536088F6" w14:textId="77777777" w:rsidR="00741BC0" w:rsidRPr="00802686" w:rsidRDefault="00741BC0" w:rsidP="00741BC0">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97319E3" w14:textId="77777777" w:rsidR="00741BC0" w:rsidRDefault="00741BC0" w:rsidP="00741BC0">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Analysis and Design of V2X Resource Entities</w:t>
      </w:r>
    </w:p>
    <w:p w14:paraId="0FB4EF1C" w14:textId="77777777" w:rsidR="00741BC0" w:rsidRPr="009F5E15" w:rsidRDefault="00741BC0" w:rsidP="00741BC0">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7.2.4.1.1</w:t>
      </w:r>
    </w:p>
    <w:p w14:paraId="2B45D040" w14:textId="77777777" w:rsidR="00741BC0" w:rsidRPr="009F5E15" w:rsidRDefault="00741BC0" w:rsidP="00741BC0">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3053013D" w14:textId="77777777" w:rsidR="00741BC0" w:rsidRPr="00494F90" w:rsidRDefault="00741BC0" w:rsidP="00741BC0">
      <w:pPr>
        <w:spacing w:after="0"/>
        <w:ind w:left="1988" w:hanging="1988"/>
        <w:rPr>
          <w:rFonts w:ascii="Arial" w:hAnsi="Arial" w:cs="Arial"/>
          <w:b/>
          <w:sz w:val="24"/>
          <w:lang w:val="en-US"/>
        </w:rPr>
      </w:pPr>
    </w:p>
    <w:p w14:paraId="7B6360C4" w14:textId="77777777" w:rsidR="00741BC0" w:rsidRPr="00CE7079" w:rsidRDefault="00741BC0" w:rsidP="00741BC0">
      <w:pPr>
        <w:pStyle w:val="Heading1"/>
        <w:rPr>
          <w:rFonts w:cs="Arial"/>
          <w:szCs w:val="36"/>
          <w:lang w:val="en-US"/>
        </w:rPr>
      </w:pPr>
      <w:r w:rsidRPr="00CE7079">
        <w:rPr>
          <w:rFonts w:cs="Arial"/>
          <w:szCs w:val="36"/>
          <w:lang w:val="en-US"/>
        </w:rPr>
        <w:t>Introduction</w:t>
      </w:r>
    </w:p>
    <w:p w14:paraId="2E8436B7" w14:textId="77777777" w:rsidR="00741BC0" w:rsidRDefault="00741BC0" w:rsidP="00741BC0">
      <w:pPr>
        <w:pStyle w:val="3GPPNormalText"/>
      </w:pPr>
      <w:r>
        <w:t>T</w:t>
      </w:r>
      <w:r w:rsidRPr="00414EC4">
        <w:t xml:space="preserve">he </w:t>
      </w:r>
      <w:r>
        <w:t>study</w:t>
      </w:r>
      <w:r w:rsidRPr="00414EC4">
        <w:t xml:space="preserve"> item for </w:t>
      </w:r>
      <w:r>
        <w:t>NR V2X</w:t>
      </w:r>
      <w:r w:rsidRPr="00414EC4">
        <w:t xml:space="preserve"> was approved</w:t>
      </w:r>
      <w:r>
        <w:t xml:space="preserve"> [1] in RAN#80 and the objectives were identified in relation to physical layer structures:</w:t>
      </w:r>
    </w:p>
    <w:tbl>
      <w:tblPr>
        <w:tblStyle w:val="TableGrid"/>
        <w:tblW w:w="0" w:type="auto"/>
        <w:tblLook w:val="04A0" w:firstRow="1" w:lastRow="0" w:firstColumn="1" w:lastColumn="0" w:noHBand="0" w:noVBand="1"/>
      </w:tblPr>
      <w:tblGrid>
        <w:gridCol w:w="9895"/>
      </w:tblGrid>
      <w:tr w:rsidR="00741BC0" w14:paraId="329628FB" w14:textId="77777777" w:rsidTr="0043111E">
        <w:tc>
          <w:tcPr>
            <w:tcW w:w="9895" w:type="dxa"/>
          </w:tcPr>
          <w:p w14:paraId="2133D988" w14:textId="77777777" w:rsidR="00741BC0" w:rsidRDefault="00741BC0" w:rsidP="0043111E">
            <w:pPr>
              <w:pStyle w:val="3GPPNormalText"/>
            </w:pPr>
            <w:r>
              <w:t>This study item includes the following objectives, considering in-network coverage, out-of-network coverage, and partial network coverage:</w:t>
            </w:r>
          </w:p>
          <w:p w14:paraId="5D2D0215" w14:textId="77777777" w:rsidR="00741BC0" w:rsidRPr="00CC13D3" w:rsidRDefault="00741BC0" w:rsidP="0043111E">
            <w:pPr>
              <w:pStyle w:val="3GPPNormalText"/>
            </w:pPr>
            <w:r w:rsidRPr="00CC13D3">
              <w:t>1: Sidelink design [RAN1, RAN2]:</w:t>
            </w:r>
          </w:p>
          <w:p w14:paraId="22B5CB01" w14:textId="77777777" w:rsidR="00741BC0" w:rsidRDefault="00741BC0" w:rsidP="0043111E">
            <w:pPr>
              <w:pStyle w:val="3GPPNormalText"/>
            </w:pPr>
            <w:r>
              <w:t></w:t>
            </w:r>
            <w:r>
              <w:tab/>
              <w:t xml:space="preserve">Identify technical solutions for a NR sidelink design to meet the requirements of advanced V2X services, including </w:t>
            </w:r>
          </w:p>
          <w:p w14:paraId="3339A401" w14:textId="77777777" w:rsidR="00741BC0" w:rsidRDefault="00741BC0" w:rsidP="0043111E">
            <w:pPr>
              <w:pStyle w:val="3GPPNormalText"/>
              <w:ind w:left="338"/>
            </w:pPr>
            <w:r>
              <w:t>-</w:t>
            </w:r>
            <w:r>
              <w:tab/>
              <w:t>Study the support of sidelink unicast, sidelink groupcast and sidelink broadcast</w:t>
            </w:r>
          </w:p>
          <w:p w14:paraId="45558E82" w14:textId="77777777" w:rsidR="00741BC0" w:rsidRDefault="00741BC0" w:rsidP="0043111E">
            <w:pPr>
              <w:pStyle w:val="3GPPNormalText"/>
              <w:ind w:left="338"/>
            </w:pPr>
            <w:r>
              <w:t>-</w:t>
            </w:r>
            <w:r>
              <w:tab/>
            </w:r>
            <w:r w:rsidRPr="00F50510">
              <w:rPr>
                <w:b/>
              </w:rPr>
              <w:t>Study NR sidelink physical layer structures and procedure(s)</w:t>
            </w:r>
          </w:p>
          <w:p w14:paraId="7E48EA63" w14:textId="77777777" w:rsidR="00741BC0" w:rsidRDefault="00741BC0" w:rsidP="0043111E">
            <w:pPr>
              <w:pStyle w:val="3GPPNormalText"/>
              <w:ind w:left="338"/>
            </w:pPr>
            <w:r>
              <w:t>-</w:t>
            </w:r>
            <w:r>
              <w:tab/>
              <w:t>Study sidelink synchronization mechanism</w:t>
            </w:r>
          </w:p>
          <w:p w14:paraId="4E54DE03" w14:textId="77777777" w:rsidR="00741BC0" w:rsidRPr="00CC13D3" w:rsidRDefault="00741BC0" w:rsidP="0043111E">
            <w:pPr>
              <w:pStyle w:val="3GPPNormalText"/>
              <w:ind w:left="338"/>
              <w:rPr>
                <w:b/>
              </w:rPr>
            </w:pPr>
            <w:r w:rsidRPr="00CC13D3">
              <w:rPr>
                <w:b/>
              </w:rPr>
              <w:t>-</w:t>
            </w:r>
            <w:r w:rsidRPr="00CC13D3">
              <w:rPr>
                <w:b/>
              </w:rPr>
              <w:tab/>
            </w:r>
            <w:r w:rsidRPr="00F50510">
              <w:t>Study sidelink resource allocation mechanism (also including objective 3)</w:t>
            </w:r>
          </w:p>
          <w:p w14:paraId="28D5F148" w14:textId="77777777" w:rsidR="00741BC0" w:rsidRDefault="00741BC0" w:rsidP="0043111E">
            <w:pPr>
              <w:pStyle w:val="3GPPNormalText"/>
              <w:ind w:left="338"/>
            </w:pPr>
            <w:r>
              <w:t>-</w:t>
            </w:r>
            <w:r>
              <w:tab/>
              <w:t>Study sidelink L2/L3 protocols</w:t>
            </w:r>
          </w:p>
        </w:tc>
      </w:tr>
    </w:tbl>
    <w:p w14:paraId="45AEE625" w14:textId="77777777" w:rsidR="00741BC0" w:rsidRDefault="00741BC0" w:rsidP="00741BC0">
      <w:pPr>
        <w:pStyle w:val="3GPPNormalText"/>
      </w:pPr>
    </w:p>
    <w:p w14:paraId="61C005C9" w14:textId="77777777" w:rsidR="00741BC0" w:rsidRDefault="00741BC0" w:rsidP="00741BC0">
      <w:pPr>
        <w:pStyle w:val="3GPPNormalText"/>
        <w:spacing w:after="0"/>
      </w:pPr>
      <w:r>
        <w:t>In th</w:t>
      </w:r>
      <w:r w:rsidR="00A67DD8">
        <w:t>e previous meeting in RAN1#95</w:t>
      </w:r>
      <w:r>
        <w:t>, the following agreements were made [2]:</w:t>
      </w:r>
    </w:p>
    <w:p w14:paraId="1EAAE2E3" w14:textId="77777777" w:rsidR="00A67DD8" w:rsidRPr="00A67DD8" w:rsidRDefault="00A67DD8" w:rsidP="00A67DD8">
      <w:pPr>
        <w:pStyle w:val="NoSpacing"/>
        <w:numPr>
          <w:ilvl w:val="0"/>
          <w:numId w:val="31"/>
        </w:numPr>
        <w:rPr>
          <w:rFonts w:ascii="Times New Roman" w:hAnsi="Times New Roman" w:cs="Times New Roman"/>
          <w:szCs w:val="20"/>
          <w:lang w:eastAsia="ko-KR"/>
        </w:rPr>
      </w:pPr>
      <w:r w:rsidRPr="00A67DD8">
        <w:rPr>
          <w:rFonts w:ascii="Times New Roman" w:hAnsi="Times New Roman" w:cs="Times New Roman"/>
          <w:szCs w:val="20"/>
          <w:lang w:eastAsia="ko-KR"/>
        </w:rPr>
        <w:t>BWP is defined for NR sidelink.</w:t>
      </w:r>
    </w:p>
    <w:p w14:paraId="1CCEE367" w14:textId="77777777" w:rsidR="00A67DD8" w:rsidRPr="00A67DD8" w:rsidRDefault="00A67DD8" w:rsidP="00A67DD8">
      <w:pPr>
        <w:pStyle w:val="NoSpacing"/>
        <w:numPr>
          <w:ilvl w:val="1"/>
          <w:numId w:val="31"/>
        </w:numPr>
        <w:ind w:left="720"/>
        <w:rPr>
          <w:rFonts w:ascii="Times New Roman" w:hAnsi="Times New Roman" w:cs="Times New Roman"/>
          <w:szCs w:val="20"/>
          <w:lang w:eastAsia="ko-KR"/>
        </w:rPr>
      </w:pPr>
      <w:r w:rsidRPr="00A67DD8">
        <w:rPr>
          <w:rFonts w:ascii="Times New Roman" w:hAnsi="Times New Roman" w:cs="Times New Roman"/>
          <w:szCs w:val="20"/>
          <w:lang w:eastAsia="ko-KR"/>
        </w:rPr>
        <w:t xml:space="preserve">In a licensed carrier, SL BWP is defined separately from BWP for </w:t>
      </w:r>
      <w:proofErr w:type="spellStart"/>
      <w:r w:rsidRPr="00A67DD8">
        <w:rPr>
          <w:rFonts w:ascii="Times New Roman" w:hAnsi="Times New Roman" w:cs="Times New Roman"/>
          <w:szCs w:val="20"/>
          <w:lang w:eastAsia="ko-KR"/>
        </w:rPr>
        <w:t>Uu</w:t>
      </w:r>
      <w:proofErr w:type="spellEnd"/>
      <w:r w:rsidRPr="00A67DD8">
        <w:rPr>
          <w:rFonts w:ascii="Times New Roman" w:hAnsi="Times New Roman" w:cs="Times New Roman"/>
          <w:szCs w:val="20"/>
          <w:lang w:eastAsia="ko-KR"/>
        </w:rPr>
        <w:t xml:space="preserve"> from the specification perspective.</w:t>
      </w:r>
    </w:p>
    <w:p w14:paraId="47F69E17" w14:textId="77777777" w:rsidR="00A67DD8" w:rsidRPr="00A67DD8" w:rsidRDefault="00A67DD8" w:rsidP="00A67DD8">
      <w:pPr>
        <w:pStyle w:val="NoSpacing"/>
        <w:numPr>
          <w:ilvl w:val="2"/>
          <w:numId w:val="31"/>
        </w:numPr>
        <w:ind w:left="1080"/>
        <w:rPr>
          <w:rFonts w:ascii="Times New Roman" w:hAnsi="Times New Roman" w:cs="Times New Roman"/>
          <w:szCs w:val="20"/>
          <w:lang w:eastAsia="ko-KR"/>
        </w:rPr>
      </w:pPr>
      <w:r w:rsidRPr="00A67DD8">
        <w:rPr>
          <w:rFonts w:ascii="Times New Roman" w:hAnsi="Times New Roman" w:cs="Times New Roman"/>
          <w:szCs w:val="20"/>
          <w:lang w:eastAsia="ko-KR"/>
        </w:rPr>
        <w:t xml:space="preserve">FFS the relation with </w:t>
      </w:r>
      <w:proofErr w:type="spellStart"/>
      <w:r w:rsidRPr="00A67DD8">
        <w:rPr>
          <w:rFonts w:ascii="Times New Roman" w:hAnsi="Times New Roman" w:cs="Times New Roman"/>
          <w:szCs w:val="20"/>
          <w:lang w:eastAsia="ko-KR"/>
        </w:rPr>
        <w:t>Uu</w:t>
      </w:r>
      <w:proofErr w:type="spellEnd"/>
      <w:r w:rsidRPr="00A67DD8">
        <w:rPr>
          <w:rFonts w:ascii="Times New Roman" w:hAnsi="Times New Roman" w:cs="Times New Roman"/>
          <w:szCs w:val="20"/>
          <w:lang w:eastAsia="ko-KR"/>
        </w:rPr>
        <w:t xml:space="preserve"> BWP.</w:t>
      </w:r>
    </w:p>
    <w:p w14:paraId="5B1BB09F" w14:textId="77777777" w:rsidR="00A67DD8" w:rsidRPr="00A67DD8" w:rsidRDefault="00A67DD8" w:rsidP="00A67DD8">
      <w:pPr>
        <w:pStyle w:val="NoSpacing"/>
        <w:numPr>
          <w:ilvl w:val="1"/>
          <w:numId w:val="31"/>
        </w:numPr>
        <w:ind w:left="720"/>
        <w:rPr>
          <w:rFonts w:ascii="Times New Roman" w:hAnsi="Times New Roman" w:cs="Times New Roman"/>
          <w:szCs w:val="20"/>
          <w:lang w:eastAsia="ko-KR"/>
        </w:rPr>
      </w:pPr>
      <w:r w:rsidRPr="00A67DD8">
        <w:rPr>
          <w:rFonts w:ascii="Times New Roman" w:hAnsi="Times New Roman" w:cs="Times New Roman"/>
          <w:szCs w:val="20"/>
          <w:lang w:eastAsia="ko-KR"/>
        </w:rPr>
        <w:t xml:space="preserve">The same SL BWP is used for both </w:t>
      </w:r>
      <w:proofErr w:type="spellStart"/>
      <w:proofErr w:type="gramStart"/>
      <w:r w:rsidRPr="00A67DD8">
        <w:rPr>
          <w:rFonts w:ascii="Times New Roman" w:hAnsi="Times New Roman" w:cs="Times New Roman"/>
          <w:szCs w:val="20"/>
          <w:lang w:eastAsia="ko-KR"/>
        </w:rPr>
        <w:t>Tx</w:t>
      </w:r>
      <w:proofErr w:type="spellEnd"/>
      <w:proofErr w:type="gramEnd"/>
      <w:r w:rsidRPr="00A67DD8">
        <w:rPr>
          <w:rFonts w:ascii="Times New Roman" w:hAnsi="Times New Roman" w:cs="Times New Roman"/>
          <w:szCs w:val="20"/>
          <w:lang w:eastAsia="ko-KR"/>
        </w:rPr>
        <w:t xml:space="preserve"> and Rx.</w:t>
      </w:r>
    </w:p>
    <w:p w14:paraId="50539C8D" w14:textId="77777777" w:rsidR="00A67DD8" w:rsidRPr="00A67DD8" w:rsidRDefault="00A67DD8" w:rsidP="00A67DD8">
      <w:pPr>
        <w:pStyle w:val="NoSpacing"/>
        <w:numPr>
          <w:ilvl w:val="1"/>
          <w:numId w:val="31"/>
        </w:numPr>
        <w:ind w:left="720"/>
        <w:rPr>
          <w:rFonts w:ascii="Times New Roman" w:hAnsi="Times New Roman" w:cs="Times New Roman"/>
          <w:szCs w:val="20"/>
          <w:lang w:eastAsia="ko-KR"/>
        </w:rPr>
      </w:pPr>
      <w:r w:rsidRPr="00A67DD8">
        <w:rPr>
          <w:rFonts w:ascii="Times New Roman" w:hAnsi="Times New Roman" w:cs="Times New Roman"/>
          <w:szCs w:val="20"/>
          <w:lang w:eastAsia="ko-KR"/>
        </w:rPr>
        <w:t xml:space="preserve">Each resource pool is (pre)configured within a SL BWP. </w:t>
      </w:r>
    </w:p>
    <w:p w14:paraId="32A9B06E" w14:textId="77777777" w:rsidR="00A67DD8" w:rsidRPr="00A67DD8" w:rsidRDefault="00A67DD8" w:rsidP="00A67DD8">
      <w:pPr>
        <w:pStyle w:val="NoSpacing"/>
        <w:numPr>
          <w:ilvl w:val="1"/>
          <w:numId w:val="31"/>
        </w:numPr>
        <w:ind w:left="720"/>
        <w:rPr>
          <w:rFonts w:ascii="Times New Roman" w:hAnsi="Times New Roman" w:cs="Times New Roman"/>
          <w:szCs w:val="20"/>
          <w:lang w:eastAsia="ko-KR"/>
        </w:rPr>
      </w:pPr>
      <w:r w:rsidRPr="00A67DD8">
        <w:rPr>
          <w:rFonts w:ascii="Times New Roman" w:hAnsi="Times New Roman" w:cs="Times New Roman"/>
          <w:szCs w:val="20"/>
          <w:lang w:eastAsia="ko-KR"/>
        </w:rPr>
        <w:t xml:space="preserve">Only one SL BWP is (pre)configured for RRC idle or out of coverage NR V2X UEs in a carrier. </w:t>
      </w:r>
    </w:p>
    <w:p w14:paraId="32E23252" w14:textId="77777777" w:rsidR="00A67DD8" w:rsidRPr="00A67DD8" w:rsidRDefault="00A67DD8" w:rsidP="00A67DD8">
      <w:pPr>
        <w:pStyle w:val="NoSpacing"/>
        <w:numPr>
          <w:ilvl w:val="1"/>
          <w:numId w:val="31"/>
        </w:numPr>
        <w:ind w:left="720"/>
        <w:rPr>
          <w:rFonts w:ascii="Times New Roman" w:hAnsi="Times New Roman" w:cs="Times New Roman"/>
          <w:szCs w:val="20"/>
          <w:lang w:eastAsia="ko-KR"/>
        </w:rPr>
      </w:pPr>
      <w:r w:rsidRPr="00A67DD8">
        <w:rPr>
          <w:rFonts w:ascii="Times New Roman" w:hAnsi="Times New Roman" w:cs="Times New Roman"/>
          <w:szCs w:val="20"/>
          <w:lang w:eastAsia="ko-KR"/>
        </w:rPr>
        <w:t>For RRC connected UEs, only one SL BWP is active in a carrier. No signalling is exchanged in sidelink for activation and deactivation of SL BWP.</w:t>
      </w:r>
    </w:p>
    <w:p w14:paraId="2AB13CC5" w14:textId="77777777" w:rsidR="00A67DD8" w:rsidRPr="00A67DD8" w:rsidRDefault="00A67DD8" w:rsidP="00A67DD8">
      <w:pPr>
        <w:pStyle w:val="NoSpacing"/>
        <w:numPr>
          <w:ilvl w:val="2"/>
          <w:numId w:val="31"/>
        </w:numPr>
        <w:ind w:left="1080"/>
        <w:rPr>
          <w:rFonts w:ascii="Times New Roman" w:hAnsi="Times New Roman" w:cs="Times New Roman"/>
          <w:szCs w:val="20"/>
          <w:highlight w:val="darkYellow"/>
          <w:lang w:eastAsia="ko-KR"/>
        </w:rPr>
      </w:pPr>
      <w:r w:rsidRPr="00A67DD8">
        <w:rPr>
          <w:rFonts w:ascii="Times New Roman" w:hAnsi="Times New Roman" w:cs="Times New Roman"/>
          <w:szCs w:val="20"/>
          <w:highlight w:val="darkYellow"/>
          <w:lang w:eastAsia="ko-KR"/>
        </w:rPr>
        <w:t xml:space="preserve">Working assumption: </w:t>
      </w:r>
    </w:p>
    <w:p w14:paraId="6C752842" w14:textId="77777777" w:rsidR="00A67DD8" w:rsidRPr="00A67DD8" w:rsidRDefault="00A67DD8" w:rsidP="00A67DD8">
      <w:pPr>
        <w:pStyle w:val="NoSpacing"/>
        <w:numPr>
          <w:ilvl w:val="3"/>
          <w:numId w:val="31"/>
        </w:numPr>
        <w:ind w:left="1440"/>
        <w:rPr>
          <w:rFonts w:ascii="Times New Roman" w:hAnsi="Times New Roman" w:cs="Times New Roman"/>
          <w:szCs w:val="20"/>
          <w:lang w:eastAsia="ko-KR"/>
        </w:rPr>
      </w:pPr>
      <w:r w:rsidRPr="00A67DD8">
        <w:rPr>
          <w:rFonts w:ascii="Times New Roman" w:hAnsi="Times New Roman" w:cs="Times New Roman"/>
          <w:szCs w:val="20"/>
          <w:lang w:eastAsia="ko-KR"/>
        </w:rPr>
        <w:t>Only one SL BWP is configured in a carrier for a NR V2X UE</w:t>
      </w:r>
    </w:p>
    <w:p w14:paraId="65964BE2" w14:textId="77777777" w:rsidR="00A67DD8" w:rsidRPr="00A67DD8" w:rsidRDefault="00A67DD8" w:rsidP="00A67DD8">
      <w:pPr>
        <w:pStyle w:val="NoSpacing"/>
        <w:numPr>
          <w:ilvl w:val="2"/>
          <w:numId w:val="31"/>
        </w:numPr>
        <w:ind w:left="1080"/>
        <w:rPr>
          <w:rFonts w:ascii="Times New Roman" w:hAnsi="Times New Roman" w:cs="Times New Roman"/>
          <w:szCs w:val="20"/>
          <w:lang w:eastAsia="ko-KR"/>
        </w:rPr>
      </w:pPr>
      <w:r w:rsidRPr="00A67DD8">
        <w:rPr>
          <w:rFonts w:ascii="Times New Roman" w:hAnsi="Times New Roman" w:cs="Times New Roman"/>
          <w:szCs w:val="20"/>
          <w:lang w:eastAsia="ko-KR"/>
        </w:rPr>
        <w:t>Revisit in the next meeting if significant issues are found</w:t>
      </w:r>
    </w:p>
    <w:p w14:paraId="51EA0A1F" w14:textId="77777777" w:rsidR="00A67DD8" w:rsidRPr="00A67DD8" w:rsidRDefault="00A67DD8" w:rsidP="00A67DD8">
      <w:pPr>
        <w:pStyle w:val="NoSpacing"/>
        <w:numPr>
          <w:ilvl w:val="1"/>
          <w:numId w:val="31"/>
        </w:numPr>
        <w:ind w:left="720"/>
        <w:rPr>
          <w:rFonts w:ascii="Times New Roman" w:hAnsi="Times New Roman" w:cs="Times New Roman"/>
          <w:szCs w:val="20"/>
          <w:lang w:eastAsia="ko-KR"/>
        </w:rPr>
      </w:pPr>
      <w:r w:rsidRPr="00A67DD8">
        <w:rPr>
          <w:rFonts w:ascii="Times New Roman" w:hAnsi="Times New Roman" w:cs="Times New Roman"/>
          <w:szCs w:val="20"/>
          <w:lang w:eastAsia="ko-KR"/>
        </w:rPr>
        <w:t xml:space="preserve">Numerology is a part of SL BWP configuration. </w:t>
      </w:r>
    </w:p>
    <w:p w14:paraId="1A932C1E" w14:textId="77777777" w:rsidR="00A67DD8" w:rsidRPr="00A67DD8" w:rsidRDefault="00A67DD8" w:rsidP="00A67DD8">
      <w:pPr>
        <w:pStyle w:val="NoSpacing"/>
        <w:rPr>
          <w:rFonts w:ascii="Times New Roman" w:hAnsi="Times New Roman" w:cs="Times New Roman"/>
          <w:szCs w:val="20"/>
          <w:lang w:eastAsia="ko-KR"/>
        </w:rPr>
      </w:pPr>
      <w:r w:rsidRPr="00A67DD8">
        <w:rPr>
          <w:rFonts w:ascii="Times New Roman" w:hAnsi="Times New Roman" w:cs="Times New Roman"/>
          <w:szCs w:val="20"/>
          <w:lang w:eastAsia="ko-KR"/>
        </w:rPr>
        <w:t>Note: This does not intend to make restriction in designing the sidelink aspects related to SL BWP.</w:t>
      </w:r>
    </w:p>
    <w:p w14:paraId="1B10411C" w14:textId="77777777" w:rsidR="00A67DD8" w:rsidRDefault="00A67DD8" w:rsidP="00A67DD8">
      <w:pPr>
        <w:pStyle w:val="NoSpacing"/>
        <w:rPr>
          <w:rFonts w:ascii="Times New Roman" w:hAnsi="Times New Roman" w:cs="Times New Roman"/>
          <w:szCs w:val="20"/>
          <w:lang w:eastAsia="ko-KR"/>
        </w:rPr>
      </w:pPr>
      <w:r w:rsidRPr="00A67DD8">
        <w:rPr>
          <w:rFonts w:ascii="Times New Roman" w:hAnsi="Times New Roman" w:cs="Times New Roman"/>
          <w:szCs w:val="20"/>
          <w:lang w:eastAsia="ko-KR"/>
        </w:rPr>
        <w:t xml:space="preserve">Note: This does not preclude the possibility where a NR V2X UE uses a </w:t>
      </w:r>
      <w:proofErr w:type="spellStart"/>
      <w:r w:rsidRPr="00A67DD8">
        <w:rPr>
          <w:rFonts w:ascii="Times New Roman" w:hAnsi="Times New Roman" w:cs="Times New Roman"/>
          <w:szCs w:val="20"/>
          <w:lang w:eastAsia="ko-KR"/>
        </w:rPr>
        <w:t>Tx</w:t>
      </w:r>
      <w:proofErr w:type="spellEnd"/>
      <w:r w:rsidRPr="00A67DD8">
        <w:rPr>
          <w:rFonts w:ascii="Times New Roman" w:hAnsi="Times New Roman" w:cs="Times New Roman"/>
          <w:szCs w:val="20"/>
          <w:lang w:eastAsia="ko-KR"/>
        </w:rPr>
        <w:t xml:space="preserve"> RF bandwidth the same as or different than the SL BWP.</w:t>
      </w:r>
    </w:p>
    <w:p w14:paraId="599E8A37" w14:textId="77777777" w:rsidR="00CC7D04" w:rsidRPr="00A67DD8" w:rsidRDefault="00CC7D04" w:rsidP="00A67DD8">
      <w:pPr>
        <w:pStyle w:val="NoSpacing"/>
        <w:rPr>
          <w:rFonts w:ascii="Times New Roman" w:hAnsi="Times New Roman" w:cs="Times New Roman"/>
          <w:szCs w:val="20"/>
          <w:lang w:eastAsia="ko-KR"/>
        </w:rPr>
      </w:pPr>
    </w:p>
    <w:p w14:paraId="32293EEA" w14:textId="77777777" w:rsidR="00A67DD8" w:rsidRPr="00A67DD8" w:rsidRDefault="00A67DD8" w:rsidP="00A67DD8">
      <w:pPr>
        <w:pStyle w:val="NoSpacing"/>
        <w:rPr>
          <w:rFonts w:ascii="Times New Roman" w:hAnsi="Times New Roman" w:cs="Times New Roman"/>
          <w:szCs w:val="20"/>
          <w:lang w:eastAsia="ko-KR"/>
        </w:rPr>
      </w:pPr>
      <w:r w:rsidRPr="00A67DD8">
        <w:rPr>
          <w:rFonts w:ascii="Times New Roman" w:hAnsi="Times New Roman" w:cs="Times New Roman"/>
          <w:szCs w:val="20"/>
          <w:highlight w:val="darkYellow"/>
          <w:lang w:eastAsia="ko-KR"/>
        </w:rPr>
        <w:t>Working assumption:</w:t>
      </w:r>
    </w:p>
    <w:p w14:paraId="735F762A" w14:textId="77777777" w:rsidR="00A67DD8" w:rsidRPr="00A67DD8" w:rsidRDefault="00A67DD8" w:rsidP="00A67DD8">
      <w:pPr>
        <w:pStyle w:val="NoSpacing"/>
        <w:numPr>
          <w:ilvl w:val="0"/>
          <w:numId w:val="31"/>
        </w:numPr>
        <w:rPr>
          <w:rFonts w:ascii="Times New Roman" w:hAnsi="Times New Roman" w:cs="Times New Roman"/>
          <w:szCs w:val="20"/>
          <w:lang w:eastAsia="ko-KR"/>
        </w:rPr>
      </w:pPr>
      <w:r w:rsidRPr="00A67DD8">
        <w:rPr>
          <w:rFonts w:ascii="Times New Roman" w:hAnsi="Times New Roman" w:cs="Times New Roman"/>
          <w:szCs w:val="20"/>
          <w:lang w:eastAsia="ko-KR"/>
        </w:rPr>
        <w:t>Regarding PSCCH / PSSCH multiplexing, at least option 3 is supported for CP-OFDM.</w:t>
      </w:r>
    </w:p>
    <w:p w14:paraId="30451D53" w14:textId="77777777" w:rsidR="00A67DD8" w:rsidRPr="00A67DD8" w:rsidRDefault="00A67DD8" w:rsidP="00A67DD8">
      <w:pPr>
        <w:pStyle w:val="NoSpacing"/>
        <w:numPr>
          <w:ilvl w:val="1"/>
          <w:numId w:val="31"/>
        </w:numPr>
        <w:ind w:left="720"/>
        <w:rPr>
          <w:rFonts w:ascii="Times New Roman" w:hAnsi="Times New Roman" w:cs="Times New Roman"/>
          <w:szCs w:val="20"/>
          <w:lang w:eastAsia="ko-KR"/>
        </w:rPr>
      </w:pPr>
      <w:r w:rsidRPr="00A67DD8">
        <w:rPr>
          <w:rFonts w:ascii="Times New Roman" w:hAnsi="Times New Roman" w:cs="Times New Roman"/>
          <w:szCs w:val="20"/>
          <w:lang w:eastAsia="ko-KR"/>
        </w:rPr>
        <w:lastRenderedPageBreak/>
        <w:t>RAN1 assumes that transient period is not needed between symbols containing PSCCH and symbols not containing PSCCH in the supported design of option 3.</w:t>
      </w:r>
    </w:p>
    <w:p w14:paraId="6682BA90" w14:textId="77777777" w:rsidR="00A67DD8" w:rsidRPr="00A67DD8" w:rsidRDefault="00A67DD8" w:rsidP="00A67DD8">
      <w:pPr>
        <w:pStyle w:val="NoSpacing"/>
        <w:numPr>
          <w:ilvl w:val="1"/>
          <w:numId w:val="31"/>
        </w:numPr>
        <w:ind w:left="720"/>
        <w:rPr>
          <w:rFonts w:ascii="Times New Roman" w:hAnsi="Times New Roman" w:cs="Times New Roman"/>
          <w:szCs w:val="20"/>
          <w:lang w:eastAsia="ko-KR"/>
        </w:rPr>
      </w:pPr>
      <w:r w:rsidRPr="00A67DD8">
        <w:rPr>
          <w:rFonts w:ascii="Times New Roman" w:hAnsi="Times New Roman" w:cs="Times New Roman"/>
          <w:szCs w:val="20"/>
          <w:lang w:eastAsia="ko-KR"/>
        </w:rPr>
        <w:t>FFS how to determine the starting symbol of PSCCH and the associated PSSCH</w:t>
      </w:r>
    </w:p>
    <w:p w14:paraId="403C161B" w14:textId="77777777" w:rsidR="00A67DD8" w:rsidRPr="00A67DD8" w:rsidRDefault="00A67DD8" w:rsidP="00A67DD8">
      <w:pPr>
        <w:pStyle w:val="NoSpacing"/>
        <w:numPr>
          <w:ilvl w:val="1"/>
          <w:numId w:val="31"/>
        </w:numPr>
        <w:ind w:left="720"/>
        <w:rPr>
          <w:rFonts w:ascii="Times New Roman" w:hAnsi="Times New Roman" w:cs="Times New Roman"/>
          <w:szCs w:val="20"/>
          <w:lang w:eastAsia="ko-KR"/>
        </w:rPr>
      </w:pPr>
      <w:r w:rsidRPr="00A67DD8">
        <w:rPr>
          <w:rFonts w:ascii="Times New Roman" w:hAnsi="Times New Roman" w:cs="Times New Roman"/>
          <w:szCs w:val="20"/>
          <w:lang w:eastAsia="ko-KR"/>
        </w:rPr>
        <w:t xml:space="preserve">FFS for other options. </w:t>
      </w:r>
      <w:proofErr w:type="gramStart"/>
      <w:r w:rsidRPr="00A67DD8">
        <w:rPr>
          <w:rFonts w:ascii="Times New Roman" w:hAnsi="Times New Roman" w:cs="Times New Roman"/>
          <w:szCs w:val="20"/>
          <w:lang w:eastAsia="ko-KR"/>
        </w:rPr>
        <w:t>e.g</w:t>
      </w:r>
      <w:proofErr w:type="gramEnd"/>
      <w:r w:rsidRPr="00A67DD8">
        <w:rPr>
          <w:rFonts w:ascii="Times New Roman" w:hAnsi="Times New Roman" w:cs="Times New Roman"/>
          <w:szCs w:val="20"/>
          <w:lang w:eastAsia="ko-KR"/>
        </w:rPr>
        <w:t>. whether some of them are supported to increase PSCCH coverage.</w:t>
      </w:r>
    </w:p>
    <w:p w14:paraId="5C28E3F2" w14:textId="77777777" w:rsidR="00741BC0" w:rsidRPr="00A67DD8" w:rsidRDefault="00741BC0" w:rsidP="00741BC0">
      <w:pPr>
        <w:pStyle w:val="3GPPNormalText"/>
        <w:rPr>
          <w:lang w:val="en-GB"/>
        </w:rPr>
      </w:pPr>
    </w:p>
    <w:p w14:paraId="27BDA876" w14:textId="77777777" w:rsidR="00741BC0" w:rsidRDefault="00D46450" w:rsidP="00741BC0">
      <w:pPr>
        <w:pStyle w:val="Heading1"/>
        <w:rPr>
          <w:lang w:val="en-US"/>
        </w:rPr>
      </w:pPr>
      <w:bookmarkStart w:id="1" w:name="OLE_LINK15"/>
      <w:bookmarkStart w:id="2" w:name="OLE_LINK16"/>
      <w:r>
        <w:rPr>
          <w:lang w:val="en-US"/>
        </w:rPr>
        <w:t xml:space="preserve">Single </w:t>
      </w:r>
      <w:r w:rsidR="002070EC">
        <w:rPr>
          <w:lang w:val="en-US"/>
        </w:rPr>
        <w:t xml:space="preserve">SL </w:t>
      </w:r>
      <w:r>
        <w:rPr>
          <w:lang w:val="en-US"/>
        </w:rPr>
        <w:t>BWP Defined in a Carrier</w:t>
      </w:r>
    </w:p>
    <w:p w14:paraId="31F47FC6" w14:textId="77777777" w:rsidR="002070EC" w:rsidRPr="002070EC" w:rsidRDefault="002070EC" w:rsidP="002070EC">
      <w:pPr>
        <w:jc w:val="both"/>
        <w:rPr>
          <w:sz w:val="22"/>
          <w:szCs w:val="22"/>
          <w:lang w:val="en-US"/>
        </w:rPr>
      </w:pPr>
      <w:r>
        <w:rPr>
          <w:sz w:val="22"/>
          <w:szCs w:val="22"/>
          <w:lang w:val="en-US"/>
        </w:rPr>
        <w:t>Based on the agreement</w:t>
      </w:r>
      <w:r w:rsidR="005B165F">
        <w:rPr>
          <w:sz w:val="22"/>
          <w:szCs w:val="22"/>
          <w:lang w:val="en-US"/>
        </w:rPr>
        <w:t>s</w:t>
      </w:r>
      <w:r>
        <w:rPr>
          <w:sz w:val="22"/>
          <w:szCs w:val="22"/>
          <w:lang w:val="en-US"/>
        </w:rPr>
        <w:t xml:space="preserve"> made in the previous meeting, this section analyses the impact of having only a single SL BWP configured in a carrier with reference to the capability of the NR V2X system meeting the defined latency and reliability requirements.</w:t>
      </w:r>
    </w:p>
    <w:p w14:paraId="0BD69EA8" w14:textId="77777777" w:rsidR="00741BC0" w:rsidRDefault="00D46450" w:rsidP="00741BC0">
      <w:pPr>
        <w:pStyle w:val="Heading2"/>
        <w:tabs>
          <w:tab w:val="clear" w:pos="1002"/>
          <w:tab w:val="num" w:pos="540"/>
        </w:tabs>
        <w:ind w:left="540"/>
      </w:pPr>
      <w:r>
        <w:t>Inefficient Utilization of Multiple Numerology Feature</w:t>
      </w:r>
      <w:r w:rsidR="008F7F19">
        <w:t xml:space="preserve"> of NR</w:t>
      </w:r>
    </w:p>
    <w:p w14:paraId="439150B3" w14:textId="77777777" w:rsidR="002070EC" w:rsidRDefault="002070EC" w:rsidP="002070EC">
      <w:pPr>
        <w:jc w:val="both"/>
        <w:rPr>
          <w:sz w:val="22"/>
          <w:szCs w:val="22"/>
        </w:rPr>
      </w:pPr>
      <w:r>
        <w:rPr>
          <w:sz w:val="22"/>
          <w:szCs w:val="22"/>
        </w:rPr>
        <w:t>NR provides the option for UEs to use resources across different numerologies. This essentially means that BWPs</w:t>
      </w:r>
      <w:r w:rsidRPr="008F2D35">
        <w:rPr>
          <w:sz w:val="22"/>
          <w:szCs w:val="22"/>
        </w:rPr>
        <w:t xml:space="preserve"> </w:t>
      </w:r>
      <w:r>
        <w:rPr>
          <w:sz w:val="22"/>
          <w:szCs w:val="22"/>
        </w:rPr>
        <w:t xml:space="preserve">having different SCSs can be configured, with each of them pertaining to different high reliability and low latency applications. </w:t>
      </w:r>
      <w:r w:rsidRPr="002070EC">
        <w:rPr>
          <w:sz w:val="22"/>
          <w:szCs w:val="22"/>
        </w:rPr>
        <w:t>UEs will</w:t>
      </w:r>
      <w:r>
        <w:rPr>
          <w:sz w:val="22"/>
          <w:szCs w:val="22"/>
        </w:rPr>
        <w:t xml:space="preserve"> then</w:t>
      </w:r>
      <w:r w:rsidRPr="002070EC">
        <w:rPr>
          <w:sz w:val="22"/>
          <w:szCs w:val="22"/>
        </w:rPr>
        <w:t xml:space="preserve"> be able to transmit and receive in </w:t>
      </w:r>
      <w:r>
        <w:rPr>
          <w:sz w:val="22"/>
          <w:szCs w:val="22"/>
        </w:rPr>
        <w:t>BWPs</w:t>
      </w:r>
      <w:r w:rsidRPr="002070EC">
        <w:rPr>
          <w:sz w:val="22"/>
          <w:szCs w:val="22"/>
        </w:rPr>
        <w:t xml:space="preserve"> of different SCSs based on the application</w:t>
      </w:r>
      <w:r w:rsidR="00B74CDC">
        <w:rPr>
          <w:sz w:val="22"/>
          <w:szCs w:val="22"/>
        </w:rPr>
        <w:t>’s</w:t>
      </w:r>
      <w:r w:rsidRPr="002070EC">
        <w:rPr>
          <w:sz w:val="22"/>
          <w:szCs w:val="22"/>
        </w:rPr>
        <w:t xml:space="preserve"> </w:t>
      </w:r>
      <w:proofErr w:type="spellStart"/>
      <w:r w:rsidR="00342FE9">
        <w:rPr>
          <w:sz w:val="22"/>
          <w:szCs w:val="22"/>
        </w:rPr>
        <w:t>QoS</w:t>
      </w:r>
      <w:proofErr w:type="spellEnd"/>
      <w:r w:rsidR="00342FE9">
        <w:rPr>
          <w:sz w:val="22"/>
          <w:szCs w:val="22"/>
        </w:rPr>
        <w:t xml:space="preserve"> </w:t>
      </w:r>
      <w:r w:rsidRPr="002070EC">
        <w:rPr>
          <w:sz w:val="22"/>
          <w:szCs w:val="22"/>
        </w:rPr>
        <w:t>demands.</w:t>
      </w:r>
    </w:p>
    <w:p w14:paraId="38D1A950" w14:textId="77777777" w:rsidR="00B74CDC" w:rsidRDefault="002070EC" w:rsidP="00B74CDC">
      <w:pPr>
        <w:jc w:val="both"/>
        <w:rPr>
          <w:sz w:val="22"/>
          <w:szCs w:val="22"/>
        </w:rPr>
      </w:pPr>
      <w:r w:rsidRPr="002070EC">
        <w:rPr>
          <w:sz w:val="22"/>
          <w:szCs w:val="22"/>
        </w:rPr>
        <w:t>Each of the BWPs of different SCSs can be assigned and segregated in</w:t>
      </w:r>
      <w:r w:rsidR="00B74CDC">
        <w:rPr>
          <w:sz w:val="22"/>
          <w:szCs w:val="22"/>
        </w:rPr>
        <w:t xml:space="preserve">to different categories, based on the communication types, traffic types or </w:t>
      </w:r>
      <w:proofErr w:type="spellStart"/>
      <w:r w:rsidR="00B74CDC">
        <w:rPr>
          <w:sz w:val="22"/>
          <w:szCs w:val="22"/>
        </w:rPr>
        <w:t>QoS</w:t>
      </w:r>
      <w:proofErr w:type="spellEnd"/>
      <w:r w:rsidR="00B74CDC">
        <w:rPr>
          <w:sz w:val="22"/>
          <w:szCs w:val="22"/>
        </w:rPr>
        <w:t xml:space="preserve"> requirements that can be met. This would enable</w:t>
      </w:r>
      <w:r w:rsidR="00B74CDC" w:rsidRPr="00B74CDC">
        <w:rPr>
          <w:sz w:val="22"/>
          <w:szCs w:val="22"/>
        </w:rPr>
        <w:t xml:space="preserve"> </w:t>
      </w:r>
      <w:r w:rsidR="00B74CDC">
        <w:rPr>
          <w:sz w:val="22"/>
          <w:szCs w:val="22"/>
        </w:rPr>
        <w:t xml:space="preserve">UEs to select an appropriate BWP pertaining to a defined category in order to meet the demands of particular applications. </w:t>
      </w:r>
    </w:p>
    <w:p w14:paraId="5E592413" w14:textId="7CE980DB" w:rsidR="002070EC" w:rsidRPr="002070EC" w:rsidRDefault="00B74CDC" w:rsidP="002070EC">
      <w:pPr>
        <w:jc w:val="both"/>
        <w:rPr>
          <w:sz w:val="22"/>
          <w:szCs w:val="22"/>
        </w:rPr>
      </w:pPr>
      <w:r>
        <w:rPr>
          <w:sz w:val="22"/>
          <w:szCs w:val="22"/>
        </w:rPr>
        <w:t>Restricting this feature would result in the NR V2X system not being able to achieve the requirements detail</w:t>
      </w:r>
      <w:r w:rsidR="00151D7E">
        <w:rPr>
          <w:sz w:val="22"/>
          <w:szCs w:val="22"/>
        </w:rPr>
        <w:t>ed in [3</w:t>
      </w:r>
      <w:r>
        <w:rPr>
          <w:sz w:val="22"/>
          <w:szCs w:val="22"/>
        </w:rPr>
        <w:t>].</w:t>
      </w:r>
    </w:p>
    <w:p w14:paraId="1CC9C7B8" w14:textId="77777777" w:rsidR="00741BC0" w:rsidRDefault="00741BC0" w:rsidP="00741BC0">
      <w:pPr>
        <w:pStyle w:val="3GPPNormalText"/>
        <w:rPr>
          <w:b/>
        </w:rPr>
      </w:pPr>
      <w:r w:rsidRPr="00E6311E">
        <w:rPr>
          <w:b/>
        </w:rPr>
        <w:t xml:space="preserve">Observation 1: </w:t>
      </w:r>
      <w:r w:rsidR="0005020D">
        <w:rPr>
          <w:b/>
        </w:rPr>
        <w:t>The current working assumption in NR V2X restricts the use of multiple numerologies in a single carrier</w:t>
      </w:r>
      <w:r w:rsidR="006021D5">
        <w:rPr>
          <w:b/>
        </w:rPr>
        <w:t>,</w:t>
      </w:r>
      <w:r w:rsidR="0005020D">
        <w:rPr>
          <w:b/>
        </w:rPr>
        <w:t xml:space="preserve"> thereby possibly not being able to meet the most stringent performance requirements.</w:t>
      </w:r>
    </w:p>
    <w:p w14:paraId="03FF9705" w14:textId="77777777" w:rsidR="00741BC0" w:rsidRPr="009D2518" w:rsidRDefault="00741BC0" w:rsidP="00741BC0">
      <w:pPr>
        <w:pStyle w:val="3GPPNormalText"/>
        <w:rPr>
          <w:b/>
        </w:rPr>
      </w:pPr>
    </w:p>
    <w:p w14:paraId="7F513EA1" w14:textId="77777777" w:rsidR="00741BC0" w:rsidRDefault="008F7F19" w:rsidP="00741BC0">
      <w:pPr>
        <w:pStyle w:val="Heading2"/>
        <w:tabs>
          <w:tab w:val="clear" w:pos="1002"/>
          <w:tab w:val="num" w:pos="540"/>
        </w:tabs>
        <w:ind w:left="540"/>
      </w:pPr>
      <w:r>
        <w:t xml:space="preserve">Complexities due to Switching between BWPs of Different Numerologies </w:t>
      </w:r>
    </w:p>
    <w:p w14:paraId="6ADC9FF2" w14:textId="7FAC0865" w:rsidR="00007D00" w:rsidRDefault="00007D00" w:rsidP="008F7F19">
      <w:pPr>
        <w:pStyle w:val="3GPPNormalText"/>
      </w:pPr>
      <w:r w:rsidRPr="00007D00">
        <w:t>The time taken by UEs to switch between numerologies could be detrimental to the latency of V2X communications. The AGC settling time and transition time between BWPs of different SCSs was handled in the past</w:t>
      </w:r>
      <w:r>
        <w:t xml:space="preserve"> with an LS from RAN4 to RAN1 [</w:t>
      </w:r>
      <w:r w:rsidR="00151D7E">
        <w:t>4</w:t>
      </w:r>
      <w:r w:rsidRPr="00007D00">
        <w:t>], with the details</w:t>
      </w:r>
      <w:r>
        <w:t xml:space="preserve"> discussed in [</w:t>
      </w:r>
      <w:r w:rsidR="00151D7E">
        <w:t>5</w:t>
      </w:r>
      <w:r>
        <w:t>]</w:t>
      </w:r>
      <w:r w:rsidR="00342FE9">
        <w:t>.</w:t>
      </w:r>
    </w:p>
    <w:p w14:paraId="2CF0F1B0" w14:textId="77777777" w:rsidR="008F7F19" w:rsidRDefault="008F7F19" w:rsidP="008F7F19">
      <w:pPr>
        <w:pStyle w:val="3GPPNormalText"/>
        <w:rPr>
          <w:b/>
        </w:rPr>
      </w:pPr>
      <w:r w:rsidRPr="00E6311E">
        <w:rPr>
          <w:b/>
        </w:rPr>
        <w:t>O</w:t>
      </w:r>
      <w:r>
        <w:rPr>
          <w:b/>
        </w:rPr>
        <w:t>bservation 2</w:t>
      </w:r>
      <w:r w:rsidRPr="00E6311E">
        <w:rPr>
          <w:b/>
        </w:rPr>
        <w:t xml:space="preserve">: </w:t>
      </w:r>
      <w:r w:rsidR="002831A5">
        <w:rPr>
          <w:b/>
        </w:rPr>
        <w:t xml:space="preserve">Switching between BWPs of different numerologies could </w:t>
      </w:r>
      <w:r w:rsidR="00436512">
        <w:rPr>
          <w:b/>
        </w:rPr>
        <w:t>result</w:t>
      </w:r>
      <w:r w:rsidR="002831A5">
        <w:rPr>
          <w:b/>
        </w:rPr>
        <w:t xml:space="preserve"> in additional delays due to the AGC switching </w:t>
      </w:r>
      <w:r w:rsidR="00342FE9">
        <w:rPr>
          <w:b/>
        </w:rPr>
        <w:t>and</w:t>
      </w:r>
      <w:r w:rsidR="002831A5">
        <w:rPr>
          <w:b/>
        </w:rPr>
        <w:t xml:space="preserve"> retuning.</w:t>
      </w:r>
    </w:p>
    <w:p w14:paraId="3274C0A2" w14:textId="77777777" w:rsidR="004D4AC7" w:rsidRDefault="004D4AC7" w:rsidP="008F7F19">
      <w:pPr>
        <w:pStyle w:val="3GPPNormalText"/>
        <w:rPr>
          <w:b/>
        </w:rPr>
      </w:pPr>
    </w:p>
    <w:p w14:paraId="440EDC92" w14:textId="77777777" w:rsidR="004D4AC7" w:rsidRDefault="004D4AC7" w:rsidP="004D4AC7">
      <w:pPr>
        <w:pStyle w:val="Heading2"/>
        <w:tabs>
          <w:tab w:val="clear" w:pos="1002"/>
          <w:tab w:val="num" w:pos="540"/>
        </w:tabs>
        <w:ind w:left="540"/>
      </w:pPr>
      <w:r>
        <w:t>Restrictions</w:t>
      </w:r>
      <w:r w:rsidR="00007D00">
        <w:t xml:space="preserve"> on UEs Listening to</w:t>
      </w:r>
      <w:r>
        <w:t xml:space="preserve"> Multiple BWPs </w:t>
      </w:r>
    </w:p>
    <w:p w14:paraId="09309F17" w14:textId="77777777" w:rsidR="00007D00" w:rsidRDefault="00007D00" w:rsidP="00007D00">
      <w:pPr>
        <w:jc w:val="both"/>
        <w:rPr>
          <w:sz w:val="22"/>
          <w:szCs w:val="22"/>
        </w:rPr>
      </w:pPr>
      <w:r w:rsidRPr="00007D00">
        <w:rPr>
          <w:sz w:val="22"/>
          <w:szCs w:val="22"/>
        </w:rPr>
        <w:t>The introduction of multiple BWPs in a carrier would require that a UE should be capable of at least listening to more than one of the resource entities of different SCSs. This is vital because an NR UE</w:t>
      </w:r>
      <w:r>
        <w:rPr>
          <w:sz w:val="22"/>
          <w:szCs w:val="22"/>
        </w:rPr>
        <w:t xml:space="preserve"> should be able to listen to neighbouring UEs which might be operating on other BWPs</w:t>
      </w:r>
      <w:r w:rsidR="00342FE9">
        <w:rPr>
          <w:sz w:val="22"/>
          <w:szCs w:val="22"/>
        </w:rPr>
        <w:t xml:space="preserve"> on a different carrier</w:t>
      </w:r>
      <w:r>
        <w:rPr>
          <w:sz w:val="22"/>
          <w:szCs w:val="22"/>
        </w:rPr>
        <w:t>.</w:t>
      </w:r>
      <w:r w:rsidRPr="00007D00">
        <w:rPr>
          <w:sz w:val="22"/>
          <w:szCs w:val="22"/>
        </w:rPr>
        <w:t xml:space="preserve"> </w:t>
      </w:r>
    </w:p>
    <w:p w14:paraId="2953E4DD" w14:textId="6942616D" w:rsidR="004D4AC7" w:rsidRPr="00007D00" w:rsidRDefault="00007D00" w:rsidP="00007D00">
      <w:pPr>
        <w:pStyle w:val="3GPPNormalText"/>
        <w:rPr>
          <w:lang w:val="en-GB"/>
        </w:rPr>
      </w:pPr>
      <w:r w:rsidRPr="001F2E33">
        <w:rPr>
          <w:szCs w:val="22"/>
        </w:rPr>
        <w:t>In the case of BWPs, the current NR specification dictates that only one single active BWP for a given communication direction can be supported. This essentially means that an NR UE cannot listen to more than one</w:t>
      </w:r>
      <w:r>
        <w:rPr>
          <w:szCs w:val="22"/>
        </w:rPr>
        <w:t xml:space="preserve"> BWP at a given point in time, which tends to be a problem for V2X communications. This would mean that for example, an NR UE listening to a BWP catering to any of the advanced NR use cases cannot listen to</w:t>
      </w:r>
      <w:r w:rsidR="007D1537">
        <w:rPr>
          <w:szCs w:val="22"/>
        </w:rPr>
        <w:t xml:space="preserve"> the emergency BSMs which are</w:t>
      </w:r>
      <w:r>
        <w:rPr>
          <w:szCs w:val="22"/>
        </w:rPr>
        <w:t xml:space="preserve"> being broadcast by a legacy LTE UE at the same time.</w:t>
      </w:r>
    </w:p>
    <w:p w14:paraId="127FABE8" w14:textId="6765AE76" w:rsidR="004D4AC7" w:rsidRPr="001F2E33" w:rsidRDefault="004D4AC7" w:rsidP="008F7F19">
      <w:pPr>
        <w:pStyle w:val="3GPPNormalText"/>
        <w:rPr>
          <w:b/>
        </w:rPr>
      </w:pPr>
      <w:r w:rsidRPr="001F2E33">
        <w:rPr>
          <w:b/>
        </w:rPr>
        <w:lastRenderedPageBreak/>
        <w:t xml:space="preserve">Observation 3: </w:t>
      </w:r>
      <w:r w:rsidR="007A586B" w:rsidRPr="001F2E33">
        <w:rPr>
          <w:b/>
        </w:rPr>
        <w:t>Having only a single active BWP would restrict UEs from list</w:t>
      </w:r>
      <w:r w:rsidR="006A70B4">
        <w:rPr>
          <w:b/>
        </w:rPr>
        <w:t>en</w:t>
      </w:r>
      <w:r w:rsidR="007A586B" w:rsidRPr="001F2E33">
        <w:rPr>
          <w:b/>
        </w:rPr>
        <w:t>ing to other/neighboring UEs operating in other BWPs.</w:t>
      </w:r>
    </w:p>
    <w:p w14:paraId="46F2B0E8" w14:textId="77777777" w:rsidR="00007D00" w:rsidRPr="00007D00" w:rsidRDefault="008F7F19" w:rsidP="00007D00">
      <w:pPr>
        <w:jc w:val="both"/>
        <w:rPr>
          <w:b/>
          <w:sz w:val="22"/>
          <w:szCs w:val="22"/>
        </w:rPr>
      </w:pPr>
      <w:r w:rsidRPr="001F2E33">
        <w:rPr>
          <w:b/>
          <w:sz w:val="22"/>
          <w:szCs w:val="22"/>
        </w:rPr>
        <w:t>Proposal 1:</w:t>
      </w:r>
      <w:r w:rsidR="00007D00" w:rsidRPr="001F2E33">
        <w:rPr>
          <w:b/>
          <w:sz w:val="22"/>
          <w:szCs w:val="22"/>
        </w:rPr>
        <w:t xml:space="preserve"> Defining a single BWP for a given carrier restricts the use of multiple numerologies in NR V2X, and the pros and cons of </w:t>
      </w:r>
      <w:r w:rsidR="00D8661A" w:rsidRPr="001F2E33">
        <w:rPr>
          <w:b/>
          <w:sz w:val="22"/>
          <w:szCs w:val="22"/>
        </w:rPr>
        <w:t>this decision have</w:t>
      </w:r>
      <w:r w:rsidR="00007D00" w:rsidRPr="001F2E33">
        <w:rPr>
          <w:b/>
          <w:sz w:val="22"/>
          <w:szCs w:val="22"/>
        </w:rPr>
        <w:t xml:space="preserve"> to be further studied in order to justify the restriction.</w:t>
      </w:r>
    </w:p>
    <w:p w14:paraId="67799503" w14:textId="77777777" w:rsidR="008F7F19" w:rsidRPr="008F7F19" w:rsidRDefault="008F7F19" w:rsidP="00741BC0">
      <w:pPr>
        <w:jc w:val="both"/>
        <w:rPr>
          <w:b/>
          <w:sz w:val="22"/>
          <w:szCs w:val="22"/>
        </w:rPr>
      </w:pPr>
    </w:p>
    <w:p w14:paraId="3E568109" w14:textId="77777777" w:rsidR="00D46450" w:rsidRDefault="00D46450" w:rsidP="00D46450">
      <w:pPr>
        <w:pStyle w:val="Heading1"/>
        <w:rPr>
          <w:lang w:val="en-US"/>
        </w:rPr>
      </w:pPr>
      <w:r>
        <w:rPr>
          <w:lang w:val="en-US"/>
        </w:rPr>
        <w:t>Resource Pools Defined in a BWP</w:t>
      </w:r>
    </w:p>
    <w:p w14:paraId="17A11428" w14:textId="77777777" w:rsidR="00007D00" w:rsidRDefault="00007D00" w:rsidP="00DF1FE7">
      <w:pPr>
        <w:jc w:val="both"/>
        <w:rPr>
          <w:sz w:val="22"/>
          <w:szCs w:val="22"/>
          <w:lang w:val="en-US"/>
        </w:rPr>
      </w:pPr>
      <w:r>
        <w:rPr>
          <w:sz w:val="22"/>
          <w:szCs w:val="22"/>
          <w:lang w:val="en-US"/>
        </w:rPr>
        <w:t xml:space="preserve">This section delves into the </w:t>
      </w:r>
      <w:r w:rsidR="005C303F">
        <w:rPr>
          <w:sz w:val="22"/>
          <w:szCs w:val="22"/>
          <w:lang w:val="en-US"/>
        </w:rPr>
        <w:t>introduction of resource pools within the BWPs, along with the possible designs, definitions and configuration options of the resource pools.</w:t>
      </w:r>
    </w:p>
    <w:p w14:paraId="198F0CDD" w14:textId="77777777" w:rsidR="005C303F" w:rsidRDefault="005C303F" w:rsidP="005C303F">
      <w:pPr>
        <w:pStyle w:val="Heading2"/>
        <w:tabs>
          <w:tab w:val="clear" w:pos="1002"/>
          <w:tab w:val="num" w:pos="540"/>
        </w:tabs>
        <w:ind w:left="540"/>
      </w:pPr>
      <w:r>
        <w:t xml:space="preserve">Configuration of Resource Pools </w:t>
      </w:r>
      <w:r w:rsidR="002C1081">
        <w:t>in a</w:t>
      </w:r>
      <w:r>
        <w:t xml:space="preserve"> BWPs</w:t>
      </w:r>
    </w:p>
    <w:p w14:paraId="1FED34F5" w14:textId="77777777" w:rsidR="005C303F" w:rsidRDefault="005C303F" w:rsidP="002C1081">
      <w:pPr>
        <w:jc w:val="both"/>
        <w:rPr>
          <w:sz w:val="22"/>
          <w:szCs w:val="22"/>
        </w:rPr>
      </w:pPr>
      <w:r>
        <w:rPr>
          <w:sz w:val="22"/>
          <w:szCs w:val="22"/>
        </w:rPr>
        <w:t xml:space="preserve">Resource pools can be configured within </w:t>
      </w:r>
      <w:r w:rsidR="00CA623B">
        <w:rPr>
          <w:sz w:val="22"/>
          <w:szCs w:val="22"/>
        </w:rPr>
        <w:t xml:space="preserve">a </w:t>
      </w:r>
      <w:r>
        <w:rPr>
          <w:sz w:val="22"/>
          <w:szCs w:val="22"/>
        </w:rPr>
        <w:t xml:space="preserve">BWP by </w:t>
      </w:r>
      <w:r w:rsidR="002C1081">
        <w:rPr>
          <w:sz w:val="22"/>
          <w:szCs w:val="22"/>
        </w:rPr>
        <w:t xml:space="preserve">the gNB, and the configuration information can be provided to the UEs when operating in Mode 1, in </w:t>
      </w:r>
      <w:r>
        <w:rPr>
          <w:sz w:val="22"/>
          <w:szCs w:val="22"/>
        </w:rPr>
        <w:t xml:space="preserve">either of the following </w:t>
      </w:r>
      <w:r w:rsidR="002C1081">
        <w:rPr>
          <w:sz w:val="22"/>
          <w:szCs w:val="22"/>
        </w:rPr>
        <w:t>methods</w:t>
      </w:r>
      <w:r>
        <w:rPr>
          <w:sz w:val="22"/>
          <w:szCs w:val="22"/>
        </w:rPr>
        <w:t>:</w:t>
      </w:r>
    </w:p>
    <w:p w14:paraId="6A155718" w14:textId="77777777" w:rsidR="005C303F" w:rsidRPr="005C303F" w:rsidRDefault="005C303F" w:rsidP="005C303F">
      <w:pPr>
        <w:pStyle w:val="3GPPNormalText"/>
        <w:numPr>
          <w:ilvl w:val="0"/>
          <w:numId w:val="31"/>
        </w:numPr>
      </w:pPr>
      <w:r w:rsidRPr="005C303F">
        <w:t>RRC configuration of the BWP with the resource pools defined within them, provided by the gNB to the UEs</w:t>
      </w:r>
      <w:r w:rsidR="00CA623B">
        <w:t>, or</w:t>
      </w:r>
    </w:p>
    <w:p w14:paraId="4FBB277B" w14:textId="77777777" w:rsidR="005C303F" w:rsidRPr="005C303F" w:rsidRDefault="005C303F" w:rsidP="005C303F">
      <w:pPr>
        <w:pStyle w:val="3GPPNormalText"/>
        <w:numPr>
          <w:ilvl w:val="0"/>
          <w:numId w:val="31"/>
        </w:numPr>
        <w:rPr>
          <w:lang w:val="en-GB"/>
        </w:rPr>
      </w:pPr>
      <w:r w:rsidRPr="005C303F">
        <w:t xml:space="preserve">RRC configuration of the BWP, provided by the gNB to the UEs, after which the gNB, based on prevalent traffic and </w:t>
      </w:r>
      <w:proofErr w:type="spellStart"/>
      <w:r w:rsidRPr="005C303F">
        <w:t>QoS</w:t>
      </w:r>
      <w:proofErr w:type="spellEnd"/>
      <w:r w:rsidRPr="005C303F">
        <w:t xml:space="preserve"> conditions, provides the UEs with the configuration of the resource pools within the BWP via DCI signalling.</w:t>
      </w:r>
    </w:p>
    <w:p w14:paraId="59E68BE0" w14:textId="77777777" w:rsidR="005C303F" w:rsidRDefault="002C1081" w:rsidP="005C303F">
      <w:pPr>
        <w:pStyle w:val="3GPPNormalText"/>
        <w:rPr>
          <w:szCs w:val="22"/>
        </w:rPr>
      </w:pPr>
      <w:r>
        <w:rPr>
          <w:szCs w:val="22"/>
        </w:rPr>
        <w:t xml:space="preserve">When the UEs operate in Mode 2, the gNB can also provide </w:t>
      </w:r>
      <w:r w:rsidR="00950803">
        <w:rPr>
          <w:szCs w:val="22"/>
        </w:rPr>
        <w:t>cell-specific BWP configurations</w:t>
      </w:r>
      <w:r w:rsidR="00023D9B">
        <w:rPr>
          <w:szCs w:val="22"/>
        </w:rPr>
        <w:t xml:space="preserve"> or </w:t>
      </w:r>
      <w:r>
        <w:rPr>
          <w:szCs w:val="22"/>
        </w:rPr>
        <w:t>pre-configured BWPs with resource pools within them.</w:t>
      </w:r>
    </w:p>
    <w:p w14:paraId="5D6D9D8D" w14:textId="60E03CED" w:rsidR="002C1081" w:rsidRDefault="002C1081" w:rsidP="002C1081">
      <w:pPr>
        <w:pStyle w:val="3GPPNormalText"/>
        <w:rPr>
          <w:b/>
        </w:rPr>
      </w:pPr>
      <w:r w:rsidRPr="00E6311E">
        <w:rPr>
          <w:b/>
        </w:rPr>
        <w:t>O</w:t>
      </w:r>
      <w:r>
        <w:rPr>
          <w:b/>
        </w:rPr>
        <w:t>bservation 4</w:t>
      </w:r>
      <w:r w:rsidRPr="00E6311E">
        <w:rPr>
          <w:b/>
        </w:rPr>
        <w:t xml:space="preserve">: </w:t>
      </w:r>
      <w:r w:rsidR="00023D9B">
        <w:rPr>
          <w:b/>
        </w:rPr>
        <w:t xml:space="preserve">The configuration of resource pools within a BWP can </w:t>
      </w:r>
      <w:r w:rsidR="006A70B4">
        <w:rPr>
          <w:b/>
        </w:rPr>
        <w:t xml:space="preserve">be </w:t>
      </w:r>
      <w:r w:rsidR="00023D9B">
        <w:rPr>
          <w:b/>
        </w:rPr>
        <w:t>provided via RRC configurations of the BWP, or by the gNB.</w:t>
      </w:r>
    </w:p>
    <w:p w14:paraId="5141FF44" w14:textId="77777777" w:rsidR="002C1081" w:rsidRPr="005C303F" w:rsidRDefault="002C1081" w:rsidP="005C303F">
      <w:pPr>
        <w:pStyle w:val="3GPPNormalText"/>
      </w:pPr>
    </w:p>
    <w:p w14:paraId="6BEAB3C2" w14:textId="77777777" w:rsidR="00D46450" w:rsidRDefault="00D46450" w:rsidP="00D46450">
      <w:pPr>
        <w:pStyle w:val="Heading2"/>
        <w:tabs>
          <w:tab w:val="clear" w:pos="1002"/>
          <w:tab w:val="num" w:pos="540"/>
        </w:tabs>
        <w:ind w:left="540"/>
      </w:pPr>
      <w:r>
        <w:t>Criteria for Segregation of BWPs into Multiple Resource Pools</w:t>
      </w:r>
    </w:p>
    <w:p w14:paraId="25FF1470" w14:textId="77777777" w:rsidR="002C1081" w:rsidRDefault="002C1081" w:rsidP="00DF1FE7">
      <w:pPr>
        <w:jc w:val="both"/>
        <w:rPr>
          <w:sz w:val="22"/>
          <w:szCs w:val="22"/>
        </w:rPr>
      </w:pPr>
      <w:r>
        <w:rPr>
          <w:sz w:val="22"/>
          <w:szCs w:val="22"/>
        </w:rPr>
        <w:t xml:space="preserve">The definition of multiple resource pools within a BWP opens up the possibility of assigning individual resource pools </w:t>
      </w:r>
      <w:r w:rsidR="00710530">
        <w:rPr>
          <w:sz w:val="22"/>
          <w:szCs w:val="22"/>
        </w:rPr>
        <w:t xml:space="preserve">for </w:t>
      </w:r>
      <w:r>
        <w:rPr>
          <w:sz w:val="22"/>
          <w:szCs w:val="22"/>
        </w:rPr>
        <w:t>different purposes, thereby segregating the BWP. This would result in lesser competition among UEs looking for resources that meet certain criteria.</w:t>
      </w:r>
    </w:p>
    <w:p w14:paraId="45BFC303" w14:textId="77777777" w:rsidR="002C1081" w:rsidRDefault="002C1081" w:rsidP="00D46450">
      <w:pPr>
        <w:rPr>
          <w:sz w:val="22"/>
          <w:szCs w:val="22"/>
        </w:rPr>
      </w:pPr>
      <w:r>
        <w:rPr>
          <w:sz w:val="22"/>
          <w:szCs w:val="22"/>
        </w:rPr>
        <w:t>The different criteria under which the BWP could be segregated into resource pools are listed below:</w:t>
      </w:r>
    </w:p>
    <w:p w14:paraId="68A91803" w14:textId="77777777" w:rsidR="00861125" w:rsidRDefault="002C1081" w:rsidP="00145B16">
      <w:pPr>
        <w:pStyle w:val="3GPPNormalText"/>
        <w:numPr>
          <w:ilvl w:val="0"/>
          <w:numId w:val="33"/>
        </w:numPr>
      </w:pPr>
      <w:r w:rsidRPr="00151D7E">
        <w:rPr>
          <w:b/>
        </w:rPr>
        <w:t xml:space="preserve">Communication </w:t>
      </w:r>
      <w:r w:rsidR="005D1142" w:rsidRPr="00151D7E">
        <w:rPr>
          <w:b/>
        </w:rPr>
        <w:t>T</w:t>
      </w:r>
      <w:r w:rsidRPr="00151D7E">
        <w:rPr>
          <w:b/>
        </w:rPr>
        <w:t>ypes</w:t>
      </w:r>
      <w:r w:rsidRPr="00145B16">
        <w:t xml:space="preserve"> – </w:t>
      </w:r>
      <w:r w:rsidR="005D1142">
        <w:t>B</w:t>
      </w:r>
      <w:r w:rsidRPr="00145B16">
        <w:t xml:space="preserve">roadcast, </w:t>
      </w:r>
      <w:r w:rsidR="005D1142">
        <w:t>G</w:t>
      </w:r>
      <w:r w:rsidRPr="00145B16">
        <w:t xml:space="preserve">roupcast and </w:t>
      </w:r>
      <w:r w:rsidR="005D1142">
        <w:t>U</w:t>
      </w:r>
      <w:r w:rsidRPr="00145B16">
        <w:t>nicast</w:t>
      </w:r>
    </w:p>
    <w:p w14:paraId="3A0B27B2" w14:textId="77777777" w:rsidR="002C1081" w:rsidRPr="00145B16" w:rsidRDefault="00861125" w:rsidP="005D1142">
      <w:pPr>
        <w:pStyle w:val="3GPPNormalText"/>
        <w:ind w:left="720"/>
      </w:pPr>
      <w:r>
        <w:t>E</w:t>
      </w:r>
      <w:r w:rsidRPr="00861125">
        <w:t xml:space="preserve">ach of the communication types have different reliability and latency requirements that have to be adhered to. </w:t>
      </w:r>
      <w:r>
        <w:t xml:space="preserve">The definition of resource pools for each communication type would ensure that there is no contention for resources across communication types and </w:t>
      </w:r>
      <w:r w:rsidRPr="00861125">
        <w:t>would enable the efficient segregation of resources based on the requirements to be met</w:t>
      </w:r>
      <w:r>
        <w:t xml:space="preserve">. </w:t>
      </w:r>
    </w:p>
    <w:p w14:paraId="58FEB420" w14:textId="77777777" w:rsidR="00861125" w:rsidRDefault="005D1142" w:rsidP="00145B16">
      <w:pPr>
        <w:pStyle w:val="3GPPNormalText"/>
        <w:numPr>
          <w:ilvl w:val="0"/>
          <w:numId w:val="33"/>
        </w:numPr>
      </w:pPr>
      <w:r w:rsidRPr="00151D7E">
        <w:rPr>
          <w:b/>
        </w:rPr>
        <w:t>Traffic T</w:t>
      </w:r>
      <w:r w:rsidR="002C1081" w:rsidRPr="00151D7E">
        <w:rPr>
          <w:b/>
        </w:rPr>
        <w:t>ypes</w:t>
      </w:r>
      <w:r w:rsidR="002C1081" w:rsidRPr="00145B16">
        <w:t xml:space="preserve"> – </w:t>
      </w:r>
      <w:r>
        <w:t>P</w:t>
      </w:r>
      <w:r w:rsidR="002C1081" w:rsidRPr="00145B16">
        <w:t xml:space="preserve">eriodic and </w:t>
      </w:r>
      <w:r>
        <w:t>A</w:t>
      </w:r>
      <w:r w:rsidR="002C1081" w:rsidRPr="00145B16">
        <w:t>periodic</w:t>
      </w:r>
    </w:p>
    <w:p w14:paraId="3E510F02" w14:textId="77777777" w:rsidR="002C1081" w:rsidRPr="00145B16" w:rsidRDefault="00861125" w:rsidP="005D1142">
      <w:pPr>
        <w:pStyle w:val="3GPPNormalText"/>
        <w:ind w:left="720"/>
      </w:pPr>
      <w:r>
        <w:t>S</w:t>
      </w:r>
      <w:r w:rsidRPr="00861125">
        <w:t>egregation based o</w:t>
      </w:r>
      <w:r>
        <w:t>n traffic types, periodic (SPS transmissions</w:t>
      </w:r>
      <w:r w:rsidRPr="00861125">
        <w:t>) and aperiodic traffic (</w:t>
      </w:r>
      <w:r>
        <w:t>one-shot transmissions), enable</w:t>
      </w:r>
      <w:r w:rsidRPr="00861125">
        <w:t xml:space="preserve"> </w:t>
      </w:r>
      <w:r w:rsidR="009E3471">
        <w:t xml:space="preserve">the </w:t>
      </w:r>
      <w:r>
        <w:t xml:space="preserve">employing </w:t>
      </w:r>
      <w:r w:rsidR="009E3471">
        <w:t xml:space="preserve">of </w:t>
      </w:r>
      <w:r w:rsidRPr="00861125">
        <w:t xml:space="preserve">different </w:t>
      </w:r>
      <w:r>
        <w:t>sensing mechanisms</w:t>
      </w:r>
      <w:r w:rsidRPr="00861125">
        <w:t xml:space="preserve"> in these resource pools.</w:t>
      </w:r>
    </w:p>
    <w:p w14:paraId="324B91EE" w14:textId="77777777" w:rsidR="009E3471" w:rsidRDefault="00145B16" w:rsidP="00145B16">
      <w:pPr>
        <w:pStyle w:val="3GPPNormalText"/>
        <w:numPr>
          <w:ilvl w:val="0"/>
          <w:numId w:val="33"/>
        </w:numPr>
      </w:pPr>
      <w:r w:rsidRPr="00151D7E">
        <w:rPr>
          <w:b/>
        </w:rPr>
        <w:t xml:space="preserve">Operation </w:t>
      </w:r>
      <w:r w:rsidR="005D1142" w:rsidRPr="00151D7E">
        <w:rPr>
          <w:b/>
        </w:rPr>
        <w:t>M</w:t>
      </w:r>
      <w:r w:rsidRPr="00151D7E">
        <w:rPr>
          <w:b/>
        </w:rPr>
        <w:t>odes</w:t>
      </w:r>
      <w:r w:rsidRPr="00145B16">
        <w:t xml:space="preserve"> – Mode 1 and Mode 2</w:t>
      </w:r>
    </w:p>
    <w:p w14:paraId="182A2B29" w14:textId="77777777" w:rsidR="002C1081" w:rsidRPr="00145B16" w:rsidRDefault="009E3471" w:rsidP="005D1142">
      <w:pPr>
        <w:pStyle w:val="3GPPNormalText"/>
        <w:ind w:left="720"/>
      </w:pPr>
      <w:r>
        <w:t>S</w:t>
      </w:r>
      <w:r w:rsidRPr="009E3471">
        <w:t>egregation of the BWP based on the operation modes would enable different procedures to be followed in these resource pools.</w:t>
      </w:r>
      <w:r>
        <w:t xml:space="preserve"> This can be particularly advantageous for the requirement where </w:t>
      </w:r>
      <w:r w:rsidRPr="009E3471">
        <w:t>UE</w:t>
      </w:r>
      <w:r>
        <w:t>s</w:t>
      </w:r>
      <w:r w:rsidRPr="009E3471">
        <w:t xml:space="preserve"> can simultaneously operate in both modes, for traffic being generated by different applications.</w:t>
      </w:r>
    </w:p>
    <w:p w14:paraId="24C67340" w14:textId="77777777" w:rsidR="009E3471" w:rsidRPr="00151D7E" w:rsidRDefault="005D1142" w:rsidP="00145B16">
      <w:pPr>
        <w:pStyle w:val="3GPPNormalText"/>
        <w:numPr>
          <w:ilvl w:val="0"/>
          <w:numId w:val="33"/>
        </w:numPr>
        <w:rPr>
          <w:b/>
        </w:rPr>
      </w:pPr>
      <w:proofErr w:type="spellStart"/>
      <w:r w:rsidRPr="00151D7E">
        <w:rPr>
          <w:b/>
        </w:rPr>
        <w:lastRenderedPageBreak/>
        <w:t>QoS</w:t>
      </w:r>
      <w:proofErr w:type="spellEnd"/>
      <w:r w:rsidRPr="00151D7E">
        <w:rPr>
          <w:b/>
        </w:rPr>
        <w:t xml:space="preserve"> R</w:t>
      </w:r>
      <w:r w:rsidR="00145B16" w:rsidRPr="00151D7E">
        <w:rPr>
          <w:b/>
        </w:rPr>
        <w:t>equirements</w:t>
      </w:r>
    </w:p>
    <w:p w14:paraId="6C40304B" w14:textId="38291180" w:rsidR="00145B16" w:rsidRPr="00145B16" w:rsidRDefault="009E3471" w:rsidP="005D1142">
      <w:pPr>
        <w:pStyle w:val="3GPPNormalText"/>
        <w:ind w:left="720"/>
      </w:pPr>
      <w:proofErr w:type="spellStart"/>
      <w:r w:rsidRPr="005D1142">
        <w:t>QoS</w:t>
      </w:r>
      <w:proofErr w:type="spellEnd"/>
      <w:r w:rsidRPr="005D1142">
        <w:t xml:space="preserve"> driven resource allocation can map transmissions according to the 5QI to resource pools to meet the </w:t>
      </w:r>
      <w:proofErr w:type="spellStart"/>
      <w:r w:rsidRPr="005D1142">
        <w:t>QoS</w:t>
      </w:r>
      <w:proofErr w:type="spellEnd"/>
      <w:r w:rsidRPr="005D1142">
        <w:t xml:space="preserve"> requirements, </w:t>
      </w:r>
      <w:r w:rsidR="005D1142" w:rsidRPr="00D13CFB">
        <w:t>in order</w:t>
      </w:r>
      <w:r w:rsidRPr="005D1142">
        <w:t xml:space="preserve"> to allocate resource</w:t>
      </w:r>
      <w:r w:rsidR="005D1142" w:rsidRPr="00D13CFB">
        <w:t>s</w:t>
      </w:r>
      <w:r w:rsidRPr="005D1142">
        <w:t xml:space="preserve"> with minimum delay and ensure high quality for services requesting URLLC. This could allow transmissions with strict </w:t>
      </w:r>
      <w:proofErr w:type="spellStart"/>
      <w:r w:rsidRPr="005D1142">
        <w:t>QoS</w:t>
      </w:r>
      <w:proofErr w:type="spellEnd"/>
      <w:r w:rsidRPr="005D1142">
        <w:t xml:space="preserve"> requirements a prioritized access to </w:t>
      </w:r>
      <w:r w:rsidR="007906AB" w:rsidRPr="005D1142">
        <w:t xml:space="preserve">different </w:t>
      </w:r>
      <w:r w:rsidRPr="005D1142">
        <w:t>resource pools</w:t>
      </w:r>
      <w:r w:rsidR="005D1142" w:rsidRPr="005D1142">
        <w:t>, as discussed in our accompanying contribution [</w:t>
      </w:r>
      <w:r w:rsidR="006A691E">
        <w:t>6</w:t>
      </w:r>
      <w:r w:rsidR="005D1142" w:rsidRPr="005D1142">
        <w:t>]</w:t>
      </w:r>
      <w:r w:rsidRPr="005D1142">
        <w:t>.</w:t>
      </w:r>
    </w:p>
    <w:p w14:paraId="7589A979" w14:textId="77777777" w:rsidR="009E3471" w:rsidRPr="00151D7E" w:rsidRDefault="009E3471" w:rsidP="00145B16">
      <w:pPr>
        <w:pStyle w:val="3GPPNormalText"/>
        <w:numPr>
          <w:ilvl w:val="0"/>
          <w:numId w:val="33"/>
        </w:numPr>
        <w:rPr>
          <w:b/>
        </w:rPr>
      </w:pPr>
      <w:r w:rsidRPr="00151D7E">
        <w:rPr>
          <w:b/>
        </w:rPr>
        <w:t>UE</w:t>
      </w:r>
      <w:r w:rsidR="005D1142" w:rsidRPr="00151D7E">
        <w:rPr>
          <w:b/>
        </w:rPr>
        <w:t xml:space="preserve"> L</w:t>
      </w:r>
      <w:r w:rsidR="00145B16" w:rsidRPr="00151D7E">
        <w:rPr>
          <w:b/>
        </w:rPr>
        <w:t>ocations</w:t>
      </w:r>
    </w:p>
    <w:p w14:paraId="3D378D74" w14:textId="77777777" w:rsidR="00145B16" w:rsidRPr="00145B16" w:rsidRDefault="009E3471" w:rsidP="005D1142">
      <w:pPr>
        <w:pStyle w:val="3GPPNormalText"/>
        <w:ind w:left="720"/>
      </w:pPr>
      <w:r>
        <w:t xml:space="preserve">This is similar to LTE, where </w:t>
      </w:r>
      <w:r>
        <w:rPr>
          <w:lang w:val="en-GB"/>
        </w:rPr>
        <w:t>resource pool segregation is based on the location of UEs.</w:t>
      </w:r>
    </w:p>
    <w:p w14:paraId="173A76C8" w14:textId="77777777" w:rsidR="008F7F19" w:rsidRDefault="008F7F19" w:rsidP="008F7F19">
      <w:pPr>
        <w:jc w:val="both"/>
        <w:rPr>
          <w:b/>
          <w:sz w:val="22"/>
          <w:szCs w:val="22"/>
        </w:rPr>
      </w:pPr>
      <w:r w:rsidRPr="008F7F19">
        <w:rPr>
          <w:b/>
          <w:sz w:val="22"/>
          <w:szCs w:val="22"/>
        </w:rPr>
        <w:t>Proposal</w:t>
      </w:r>
      <w:r>
        <w:rPr>
          <w:b/>
          <w:sz w:val="22"/>
          <w:szCs w:val="22"/>
        </w:rPr>
        <w:t xml:space="preserve"> 2</w:t>
      </w:r>
      <w:r w:rsidRPr="008F7F19">
        <w:rPr>
          <w:b/>
          <w:sz w:val="22"/>
          <w:szCs w:val="22"/>
        </w:rPr>
        <w:t>:</w:t>
      </w:r>
      <w:r w:rsidR="00023D9B">
        <w:rPr>
          <w:b/>
          <w:sz w:val="22"/>
          <w:szCs w:val="22"/>
        </w:rPr>
        <w:t xml:space="preserve"> We propose to study the configuration of resource pools base</w:t>
      </w:r>
      <w:r w:rsidR="00BF22DF">
        <w:rPr>
          <w:b/>
          <w:sz w:val="22"/>
          <w:szCs w:val="22"/>
        </w:rPr>
        <w:t>d on different defined criteria</w:t>
      </w:r>
      <w:r w:rsidR="00023D9B">
        <w:rPr>
          <w:b/>
          <w:sz w:val="22"/>
          <w:szCs w:val="22"/>
        </w:rPr>
        <w:t>.</w:t>
      </w:r>
    </w:p>
    <w:p w14:paraId="38EB8FC1" w14:textId="77777777" w:rsidR="00D46450" w:rsidRDefault="00D46450" w:rsidP="00D46450">
      <w:pPr>
        <w:rPr>
          <w:sz w:val="22"/>
          <w:szCs w:val="22"/>
        </w:rPr>
      </w:pPr>
    </w:p>
    <w:p w14:paraId="3FF6A253" w14:textId="77777777" w:rsidR="00D46450" w:rsidRDefault="00D46450" w:rsidP="00D46450">
      <w:pPr>
        <w:pStyle w:val="Heading2"/>
        <w:tabs>
          <w:tab w:val="clear" w:pos="1002"/>
          <w:tab w:val="num" w:pos="540"/>
        </w:tabs>
        <w:ind w:left="540"/>
      </w:pPr>
      <w:r>
        <w:t>Definition of Resource Pools in a BWP</w:t>
      </w:r>
    </w:p>
    <w:p w14:paraId="73BE215E" w14:textId="77777777" w:rsidR="00741BC0" w:rsidRDefault="00145B16" w:rsidP="00741BC0">
      <w:pPr>
        <w:pStyle w:val="3GPPNormalText"/>
        <w:rPr>
          <w:lang w:val="en-GB"/>
        </w:rPr>
      </w:pPr>
      <w:r>
        <w:rPr>
          <w:lang w:val="en-GB"/>
        </w:rPr>
        <w:t>In LTE, the resource pools were defined to be discontinuous across time, with the efficient use of bitmaps, and were contiguous in frequency, with the option of the control and data sub-channels being adjacent or non-adjacent to each other.</w:t>
      </w:r>
    </w:p>
    <w:p w14:paraId="6012FD78" w14:textId="77777777" w:rsidR="00145B16" w:rsidRDefault="00145B16" w:rsidP="00741BC0">
      <w:pPr>
        <w:pStyle w:val="3GPPNormalText"/>
        <w:rPr>
          <w:lang w:val="en-GB"/>
        </w:rPr>
      </w:pPr>
      <w:r>
        <w:rPr>
          <w:lang w:val="en-GB"/>
        </w:rPr>
        <w:t>In NR, the resource pools could be defined in either of the following means</w:t>
      </w:r>
      <w:r w:rsidR="00A02296">
        <w:rPr>
          <w:lang w:val="en-GB"/>
        </w:rPr>
        <w:t xml:space="preserve">, as depicted in Figures 1 </w:t>
      </w:r>
      <w:r w:rsidR="00736032">
        <w:rPr>
          <w:lang w:val="en-GB"/>
        </w:rPr>
        <w:t>to</w:t>
      </w:r>
      <w:r w:rsidR="00A02296">
        <w:rPr>
          <w:lang w:val="en-GB"/>
        </w:rPr>
        <w:t xml:space="preserve"> </w:t>
      </w:r>
      <w:r w:rsidR="00736032">
        <w:rPr>
          <w:lang w:val="en-GB"/>
        </w:rPr>
        <w:t>4</w:t>
      </w:r>
      <w:r>
        <w:rPr>
          <w:lang w:val="en-GB"/>
        </w:rPr>
        <w:t>:</w:t>
      </w:r>
    </w:p>
    <w:p w14:paraId="5392DB34" w14:textId="77777777" w:rsidR="00145B16" w:rsidRPr="00145B16" w:rsidRDefault="00CD1748" w:rsidP="00145B16">
      <w:pPr>
        <w:pStyle w:val="3GPPNormalText"/>
        <w:numPr>
          <w:ilvl w:val="0"/>
          <w:numId w:val="35"/>
        </w:numPr>
      </w:pPr>
      <w:r>
        <w:t xml:space="preserve">Design 1: </w:t>
      </w:r>
      <w:r w:rsidR="00145B16" w:rsidRPr="00145B16">
        <w:t>Continuous over time and contiguous over frequency</w:t>
      </w:r>
    </w:p>
    <w:p w14:paraId="43F04856" w14:textId="77777777" w:rsidR="00145B16" w:rsidRPr="00145B16" w:rsidRDefault="00CD1748" w:rsidP="00145B16">
      <w:pPr>
        <w:pStyle w:val="3GPPNormalText"/>
        <w:numPr>
          <w:ilvl w:val="0"/>
          <w:numId w:val="35"/>
        </w:numPr>
      </w:pPr>
      <w:r>
        <w:t xml:space="preserve">Design 2: </w:t>
      </w:r>
      <w:r w:rsidR="00145B16" w:rsidRPr="00145B16">
        <w:t xml:space="preserve">Continuous over time and non-contiguous over frequency </w:t>
      </w:r>
    </w:p>
    <w:p w14:paraId="7413DB0A" w14:textId="77777777" w:rsidR="00145B16" w:rsidRPr="00145B16" w:rsidRDefault="00CD1748" w:rsidP="00145B16">
      <w:pPr>
        <w:pStyle w:val="3GPPNormalText"/>
        <w:numPr>
          <w:ilvl w:val="0"/>
          <w:numId w:val="35"/>
        </w:numPr>
      </w:pPr>
      <w:r>
        <w:t xml:space="preserve">Design 3: </w:t>
      </w:r>
      <w:r w:rsidR="00145B16" w:rsidRPr="00145B16">
        <w:t>Discontinuous over time and contiguous over frequency</w:t>
      </w:r>
    </w:p>
    <w:p w14:paraId="44637E03" w14:textId="5ED8EAA0" w:rsidR="00736032" w:rsidRDefault="00CD1748" w:rsidP="00D13CFB">
      <w:pPr>
        <w:pStyle w:val="3GPPNormalText"/>
        <w:numPr>
          <w:ilvl w:val="0"/>
          <w:numId w:val="35"/>
        </w:numPr>
      </w:pPr>
      <w:r>
        <w:t xml:space="preserve">Design 4: </w:t>
      </w:r>
      <w:r w:rsidR="00145B16" w:rsidRPr="00145B16">
        <w:t>Discontinuous over time and non-contiguous over frequency</w:t>
      </w:r>
    </w:p>
    <w:p w14:paraId="42ADDC8F" w14:textId="77777777" w:rsidR="00D13CFB" w:rsidRPr="00145B16" w:rsidRDefault="00D13CFB" w:rsidP="00D13CFB">
      <w:pPr>
        <w:pStyle w:val="3GPPNormalText"/>
        <w:ind w:left="720"/>
      </w:pPr>
    </w:p>
    <w:p w14:paraId="37E621D7" w14:textId="77777777" w:rsidR="00CD1748" w:rsidRDefault="00CD1748" w:rsidP="00CD1748">
      <w:pPr>
        <w:jc w:val="center"/>
        <w:rPr>
          <w:b/>
          <w:sz w:val="22"/>
          <w:szCs w:val="22"/>
        </w:rPr>
      </w:pPr>
      <w:r w:rsidRPr="00A23F57">
        <w:rPr>
          <w:noProof/>
          <w:lang w:val="en-US"/>
        </w:rPr>
        <w:drawing>
          <wp:inline distT="0" distB="0" distL="0" distR="0" wp14:anchorId="59825682" wp14:editId="783D978F">
            <wp:extent cx="5179775" cy="22979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81960" cy="2298896"/>
                    </a:xfrm>
                    <a:prstGeom prst="rect">
                      <a:avLst/>
                    </a:prstGeom>
                    <a:noFill/>
                    <a:ln>
                      <a:noFill/>
                    </a:ln>
                  </pic:spPr>
                </pic:pic>
              </a:graphicData>
            </a:graphic>
          </wp:inline>
        </w:drawing>
      </w:r>
    </w:p>
    <w:p w14:paraId="12AD0C66" w14:textId="77777777" w:rsidR="00736032" w:rsidRDefault="00736032" w:rsidP="00CD1748">
      <w:pPr>
        <w:jc w:val="center"/>
        <w:rPr>
          <w:b/>
          <w:sz w:val="22"/>
          <w:szCs w:val="22"/>
        </w:rPr>
      </w:pPr>
      <w:r w:rsidRPr="00A23F57">
        <w:rPr>
          <w:noProof/>
          <w:lang w:val="en-US"/>
        </w:rPr>
        <w:drawing>
          <wp:inline distT="0" distB="0" distL="0" distR="0" wp14:anchorId="6DEC3D16" wp14:editId="1AF063D0">
            <wp:extent cx="5753100" cy="1473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147320"/>
                    </a:xfrm>
                    <a:prstGeom prst="rect">
                      <a:avLst/>
                    </a:prstGeom>
                    <a:noFill/>
                    <a:ln>
                      <a:noFill/>
                    </a:ln>
                  </pic:spPr>
                </pic:pic>
              </a:graphicData>
            </a:graphic>
          </wp:inline>
        </w:drawing>
      </w:r>
    </w:p>
    <w:p w14:paraId="58DCBE8E" w14:textId="5D4A6618" w:rsidR="00D13CFB" w:rsidRDefault="00736032" w:rsidP="00D13CFB">
      <w:pPr>
        <w:jc w:val="center"/>
        <w:rPr>
          <w:i/>
          <w:sz w:val="22"/>
          <w:szCs w:val="22"/>
        </w:rPr>
      </w:pPr>
      <w:r w:rsidRPr="00180185">
        <w:rPr>
          <w:b/>
          <w:i/>
          <w:sz w:val="22"/>
          <w:szCs w:val="22"/>
        </w:rPr>
        <w:t>Figure 1:</w:t>
      </w:r>
      <w:r w:rsidRPr="00A02296">
        <w:rPr>
          <w:i/>
          <w:sz w:val="22"/>
          <w:szCs w:val="22"/>
        </w:rPr>
        <w:t xml:space="preserve"> Resource </w:t>
      </w:r>
      <w:r>
        <w:rPr>
          <w:i/>
          <w:sz w:val="22"/>
          <w:szCs w:val="22"/>
        </w:rPr>
        <w:t>P</w:t>
      </w:r>
      <w:r w:rsidRPr="00A02296">
        <w:rPr>
          <w:i/>
          <w:sz w:val="22"/>
          <w:szCs w:val="22"/>
        </w:rPr>
        <w:t xml:space="preserve">ool </w:t>
      </w:r>
      <w:r>
        <w:rPr>
          <w:i/>
          <w:sz w:val="22"/>
          <w:szCs w:val="22"/>
        </w:rPr>
        <w:t xml:space="preserve">Design 1 - </w:t>
      </w:r>
      <w:r w:rsidRPr="00736032">
        <w:rPr>
          <w:i/>
          <w:sz w:val="22"/>
          <w:szCs w:val="22"/>
        </w:rPr>
        <w:t>Continuous over time and contiguous over frequency</w:t>
      </w:r>
    </w:p>
    <w:p w14:paraId="0A3B7DB7" w14:textId="77777777" w:rsidR="00D13CFB" w:rsidRDefault="00D13CFB" w:rsidP="00D13CFB">
      <w:pPr>
        <w:jc w:val="center"/>
        <w:rPr>
          <w:i/>
          <w:sz w:val="22"/>
          <w:szCs w:val="22"/>
        </w:rPr>
      </w:pPr>
    </w:p>
    <w:p w14:paraId="509C5662" w14:textId="77777777" w:rsidR="00D13CFB" w:rsidRDefault="00D13CFB" w:rsidP="00D13CFB">
      <w:pPr>
        <w:pStyle w:val="3GPPNormalText"/>
      </w:pPr>
      <w:r>
        <w:t xml:space="preserve">The advantage of the resource pools being continuous over time is that a UE can access any of the different types of resource pools at any given time slot. This would enable the low latency functioning of V2X systems, with UEs being able to transmit any emergency message in a high </w:t>
      </w:r>
      <w:proofErr w:type="spellStart"/>
      <w:r>
        <w:t>QoS</w:t>
      </w:r>
      <w:proofErr w:type="spellEnd"/>
      <w:r>
        <w:t xml:space="preserve"> resource pool without having any latency constraints.</w:t>
      </w:r>
    </w:p>
    <w:p w14:paraId="18AADB99" w14:textId="77777777" w:rsidR="00D13CFB" w:rsidRDefault="00D13CFB" w:rsidP="00D13CFB">
      <w:pPr>
        <w:pStyle w:val="3GPPNormalText"/>
      </w:pPr>
      <w:r>
        <w:lastRenderedPageBreak/>
        <w:t>On the other hand, resource pools being discontinuous over time maintain the advantage that although the UEs have the added latency issue of waiting for the instance of a given resource pool to occur, UEs will be able to receive transmissions from other resource pools without being impacted by the half-duplex problem. The latency issue is further decreased if the resource pool is implemented in a BWP of high SCS.</w:t>
      </w:r>
    </w:p>
    <w:p w14:paraId="4CE47688" w14:textId="3D21D95E" w:rsidR="00D13CFB" w:rsidRDefault="00D13CFB" w:rsidP="00D13CFB">
      <w:pPr>
        <w:pStyle w:val="3GPPNormalText"/>
      </w:pPr>
      <w:r>
        <w:t xml:space="preserve">Resource pools that are contiguous over frequency offer the ease in defining them, but non-contiguous resource pools offer the advantage of introducing frequency diversity. Thus, it is beneficial to consider these parameters while designing resource pools to accommodate services with different requirements. </w:t>
      </w:r>
    </w:p>
    <w:p w14:paraId="09899D41" w14:textId="14FDB0AA" w:rsidR="00D13CFB" w:rsidRPr="00D13CFB" w:rsidRDefault="00D13CFB" w:rsidP="00D13CFB">
      <w:pPr>
        <w:jc w:val="both"/>
        <w:rPr>
          <w:b/>
          <w:sz w:val="22"/>
          <w:szCs w:val="22"/>
        </w:rPr>
      </w:pPr>
      <w:r w:rsidRPr="008F7F19">
        <w:rPr>
          <w:b/>
          <w:sz w:val="22"/>
          <w:szCs w:val="22"/>
        </w:rPr>
        <w:t>Proposal</w:t>
      </w:r>
      <w:r>
        <w:rPr>
          <w:b/>
          <w:sz w:val="22"/>
          <w:szCs w:val="22"/>
        </w:rPr>
        <w:t xml:space="preserve"> 3</w:t>
      </w:r>
      <w:r w:rsidRPr="008F7F19">
        <w:rPr>
          <w:b/>
          <w:sz w:val="22"/>
          <w:szCs w:val="22"/>
        </w:rPr>
        <w:t>:</w:t>
      </w:r>
      <w:r>
        <w:rPr>
          <w:b/>
          <w:sz w:val="22"/>
          <w:szCs w:val="22"/>
        </w:rPr>
        <w:t xml:space="preserve"> We propose to study the different designs of resource pools defined in a BWP, based on the different segregation criteria such as communication types, traffic types, operation modes, </w:t>
      </w:r>
      <w:proofErr w:type="spellStart"/>
      <w:r>
        <w:rPr>
          <w:b/>
          <w:sz w:val="22"/>
          <w:szCs w:val="22"/>
        </w:rPr>
        <w:t>QoS</w:t>
      </w:r>
      <w:proofErr w:type="spellEnd"/>
      <w:r>
        <w:rPr>
          <w:b/>
          <w:sz w:val="22"/>
          <w:szCs w:val="22"/>
        </w:rPr>
        <w:t xml:space="preserve"> requirements and UE location.</w:t>
      </w:r>
    </w:p>
    <w:p w14:paraId="73AC4AA7" w14:textId="77777777" w:rsidR="00D13CFB" w:rsidRPr="00D13CFB" w:rsidRDefault="00D13CFB" w:rsidP="00D13CFB">
      <w:pPr>
        <w:rPr>
          <w:sz w:val="22"/>
          <w:szCs w:val="22"/>
        </w:rPr>
      </w:pPr>
    </w:p>
    <w:p w14:paraId="7EF1E298" w14:textId="77777777" w:rsidR="00A02296" w:rsidRDefault="00A02296" w:rsidP="00736032">
      <w:pPr>
        <w:jc w:val="center"/>
        <w:rPr>
          <w:b/>
          <w:sz w:val="22"/>
          <w:szCs w:val="22"/>
        </w:rPr>
      </w:pPr>
      <w:r w:rsidRPr="00A23F57">
        <w:rPr>
          <w:noProof/>
          <w:lang w:val="en-US"/>
        </w:rPr>
        <w:drawing>
          <wp:inline distT="0" distB="0" distL="0" distR="0" wp14:anchorId="1331EEEB" wp14:editId="7DA7645D">
            <wp:extent cx="5196562" cy="2305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6562" cy="2305050"/>
                    </a:xfrm>
                    <a:prstGeom prst="rect">
                      <a:avLst/>
                    </a:prstGeom>
                    <a:noFill/>
                    <a:ln>
                      <a:noFill/>
                    </a:ln>
                  </pic:spPr>
                </pic:pic>
              </a:graphicData>
            </a:graphic>
          </wp:inline>
        </w:drawing>
      </w:r>
    </w:p>
    <w:p w14:paraId="208EEF6F" w14:textId="77777777" w:rsidR="00CD1748" w:rsidRDefault="00CD1748" w:rsidP="00CD1748">
      <w:pPr>
        <w:jc w:val="center"/>
        <w:rPr>
          <w:b/>
          <w:sz w:val="22"/>
          <w:szCs w:val="22"/>
        </w:rPr>
      </w:pPr>
      <w:r w:rsidRPr="00A23F57">
        <w:rPr>
          <w:noProof/>
          <w:lang w:val="en-US"/>
        </w:rPr>
        <w:drawing>
          <wp:inline distT="0" distB="0" distL="0" distR="0" wp14:anchorId="19C2506E" wp14:editId="4E943D30">
            <wp:extent cx="5753100" cy="1473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147320"/>
                    </a:xfrm>
                    <a:prstGeom prst="rect">
                      <a:avLst/>
                    </a:prstGeom>
                    <a:noFill/>
                    <a:ln>
                      <a:noFill/>
                    </a:ln>
                  </pic:spPr>
                </pic:pic>
              </a:graphicData>
            </a:graphic>
          </wp:inline>
        </w:drawing>
      </w:r>
    </w:p>
    <w:p w14:paraId="268445E0" w14:textId="77777777" w:rsidR="00A02296" w:rsidRPr="00A02296" w:rsidRDefault="00A02296" w:rsidP="00CD1748">
      <w:pPr>
        <w:jc w:val="center"/>
        <w:rPr>
          <w:i/>
          <w:sz w:val="22"/>
          <w:szCs w:val="22"/>
        </w:rPr>
      </w:pPr>
      <w:r w:rsidRPr="00180185">
        <w:rPr>
          <w:b/>
          <w:i/>
          <w:sz w:val="22"/>
          <w:szCs w:val="22"/>
        </w:rPr>
        <w:t xml:space="preserve">Figure </w:t>
      </w:r>
      <w:r w:rsidR="00736032">
        <w:rPr>
          <w:b/>
          <w:i/>
          <w:sz w:val="22"/>
          <w:szCs w:val="22"/>
        </w:rPr>
        <w:t>2</w:t>
      </w:r>
      <w:r w:rsidRPr="00180185">
        <w:rPr>
          <w:b/>
          <w:i/>
          <w:sz w:val="22"/>
          <w:szCs w:val="22"/>
        </w:rPr>
        <w:t>:</w:t>
      </w:r>
      <w:r w:rsidRPr="00A02296">
        <w:rPr>
          <w:i/>
          <w:sz w:val="22"/>
          <w:szCs w:val="22"/>
        </w:rPr>
        <w:t xml:space="preserve"> Resource </w:t>
      </w:r>
      <w:r>
        <w:rPr>
          <w:i/>
          <w:sz w:val="22"/>
          <w:szCs w:val="22"/>
        </w:rPr>
        <w:t>P</w:t>
      </w:r>
      <w:r w:rsidRPr="00A02296">
        <w:rPr>
          <w:i/>
          <w:sz w:val="22"/>
          <w:szCs w:val="22"/>
        </w:rPr>
        <w:t xml:space="preserve">ool </w:t>
      </w:r>
      <w:r>
        <w:rPr>
          <w:i/>
          <w:sz w:val="22"/>
          <w:szCs w:val="22"/>
        </w:rPr>
        <w:t>D</w:t>
      </w:r>
      <w:r w:rsidRPr="00A02296">
        <w:rPr>
          <w:i/>
          <w:sz w:val="22"/>
          <w:szCs w:val="22"/>
        </w:rPr>
        <w:t>esign</w:t>
      </w:r>
      <w:r w:rsidR="00736032">
        <w:rPr>
          <w:i/>
          <w:sz w:val="22"/>
          <w:szCs w:val="22"/>
        </w:rPr>
        <w:t xml:space="preserve"> 2 - </w:t>
      </w:r>
      <w:r w:rsidR="00736032" w:rsidRPr="00736032">
        <w:rPr>
          <w:i/>
          <w:sz w:val="22"/>
          <w:szCs w:val="22"/>
        </w:rPr>
        <w:t>Continuous over time and non-contiguous over frequency</w:t>
      </w:r>
    </w:p>
    <w:p w14:paraId="3B795FF7" w14:textId="77777777" w:rsidR="00CD1748" w:rsidRDefault="00A02296" w:rsidP="00A02296">
      <w:pPr>
        <w:jc w:val="center"/>
        <w:rPr>
          <w:b/>
          <w:sz w:val="22"/>
          <w:szCs w:val="22"/>
        </w:rPr>
      </w:pPr>
      <w:r w:rsidRPr="00526DC5">
        <w:rPr>
          <w:noProof/>
          <w:lang w:val="en-US"/>
        </w:rPr>
        <w:drawing>
          <wp:inline distT="0" distB="0" distL="0" distR="0" wp14:anchorId="27FC413E" wp14:editId="135FA318">
            <wp:extent cx="5196563" cy="23050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6563" cy="2305050"/>
                    </a:xfrm>
                    <a:prstGeom prst="rect">
                      <a:avLst/>
                    </a:prstGeom>
                    <a:noFill/>
                    <a:ln>
                      <a:noFill/>
                    </a:ln>
                  </pic:spPr>
                </pic:pic>
              </a:graphicData>
            </a:graphic>
          </wp:inline>
        </w:drawing>
      </w:r>
    </w:p>
    <w:p w14:paraId="3A636C69" w14:textId="77777777" w:rsidR="00736032" w:rsidRDefault="00736032" w:rsidP="00A02296">
      <w:pPr>
        <w:jc w:val="center"/>
        <w:rPr>
          <w:b/>
          <w:sz w:val="22"/>
          <w:szCs w:val="22"/>
        </w:rPr>
      </w:pPr>
      <w:r w:rsidRPr="00A23F57">
        <w:rPr>
          <w:noProof/>
          <w:lang w:val="en-US"/>
        </w:rPr>
        <w:drawing>
          <wp:inline distT="0" distB="0" distL="0" distR="0" wp14:anchorId="570092B4" wp14:editId="4C08EC11">
            <wp:extent cx="5753100" cy="1473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147320"/>
                    </a:xfrm>
                    <a:prstGeom prst="rect">
                      <a:avLst/>
                    </a:prstGeom>
                    <a:noFill/>
                    <a:ln>
                      <a:noFill/>
                    </a:ln>
                  </pic:spPr>
                </pic:pic>
              </a:graphicData>
            </a:graphic>
          </wp:inline>
        </w:drawing>
      </w:r>
    </w:p>
    <w:p w14:paraId="1342BE48" w14:textId="77777777" w:rsidR="00736032" w:rsidRDefault="00736032" w:rsidP="00736032">
      <w:pPr>
        <w:jc w:val="center"/>
        <w:rPr>
          <w:i/>
          <w:sz w:val="22"/>
          <w:szCs w:val="22"/>
        </w:rPr>
      </w:pPr>
      <w:r w:rsidRPr="00180185">
        <w:rPr>
          <w:b/>
          <w:i/>
          <w:sz w:val="22"/>
          <w:szCs w:val="22"/>
        </w:rPr>
        <w:t xml:space="preserve">Figure </w:t>
      </w:r>
      <w:r>
        <w:rPr>
          <w:b/>
          <w:i/>
          <w:sz w:val="22"/>
          <w:szCs w:val="22"/>
        </w:rPr>
        <w:t>3</w:t>
      </w:r>
      <w:r w:rsidRPr="00180185">
        <w:rPr>
          <w:b/>
          <w:i/>
          <w:sz w:val="22"/>
          <w:szCs w:val="22"/>
        </w:rPr>
        <w:t>:</w:t>
      </w:r>
      <w:r w:rsidRPr="00A02296">
        <w:rPr>
          <w:i/>
          <w:sz w:val="22"/>
          <w:szCs w:val="22"/>
        </w:rPr>
        <w:t xml:space="preserve"> Resource </w:t>
      </w:r>
      <w:r>
        <w:rPr>
          <w:i/>
          <w:sz w:val="22"/>
          <w:szCs w:val="22"/>
        </w:rPr>
        <w:t>P</w:t>
      </w:r>
      <w:r w:rsidRPr="00A02296">
        <w:rPr>
          <w:i/>
          <w:sz w:val="22"/>
          <w:szCs w:val="22"/>
        </w:rPr>
        <w:t xml:space="preserve">ool </w:t>
      </w:r>
      <w:r>
        <w:rPr>
          <w:i/>
          <w:sz w:val="22"/>
          <w:szCs w:val="22"/>
        </w:rPr>
        <w:t>D</w:t>
      </w:r>
      <w:r w:rsidRPr="00A02296">
        <w:rPr>
          <w:i/>
          <w:sz w:val="22"/>
          <w:szCs w:val="22"/>
        </w:rPr>
        <w:t>esign</w:t>
      </w:r>
      <w:r>
        <w:rPr>
          <w:i/>
          <w:sz w:val="22"/>
          <w:szCs w:val="22"/>
        </w:rPr>
        <w:t xml:space="preserve"> 3 - </w:t>
      </w:r>
      <w:r w:rsidRPr="00736032">
        <w:rPr>
          <w:i/>
          <w:sz w:val="22"/>
          <w:szCs w:val="22"/>
        </w:rPr>
        <w:t>Discontinuous over time and contiguous over frequency</w:t>
      </w:r>
    </w:p>
    <w:p w14:paraId="028A843C" w14:textId="77777777" w:rsidR="00736032" w:rsidRDefault="00736032" w:rsidP="00736032">
      <w:pPr>
        <w:jc w:val="center"/>
        <w:rPr>
          <w:i/>
          <w:sz w:val="22"/>
          <w:szCs w:val="22"/>
        </w:rPr>
      </w:pPr>
    </w:p>
    <w:p w14:paraId="1C192735" w14:textId="77777777" w:rsidR="00736032" w:rsidRPr="00736032" w:rsidRDefault="00736032" w:rsidP="00736032">
      <w:pPr>
        <w:rPr>
          <w:i/>
          <w:sz w:val="22"/>
          <w:szCs w:val="22"/>
        </w:rPr>
      </w:pPr>
    </w:p>
    <w:p w14:paraId="0C01DDAB" w14:textId="77777777" w:rsidR="00DC7A33" w:rsidRPr="00736032" w:rsidRDefault="00A02296" w:rsidP="00736032">
      <w:pPr>
        <w:jc w:val="center"/>
        <w:rPr>
          <w:b/>
          <w:sz w:val="22"/>
          <w:szCs w:val="22"/>
        </w:rPr>
      </w:pPr>
      <w:r w:rsidRPr="00526DC5">
        <w:rPr>
          <w:noProof/>
          <w:lang w:val="en-US"/>
        </w:rPr>
        <w:drawing>
          <wp:inline distT="0" distB="0" distL="0" distR="0" wp14:anchorId="35E981F1" wp14:editId="5A2AD0DE">
            <wp:extent cx="5200650" cy="22967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8">
                      <a:extLst>
                        <a:ext uri="{28A0092B-C50C-407E-A947-70E740481C1C}">
                          <a14:useLocalDpi xmlns:a14="http://schemas.microsoft.com/office/drawing/2010/main" val="0"/>
                        </a:ext>
                      </a:extLst>
                    </a:blip>
                    <a:srcRect r="6276"/>
                    <a:stretch/>
                  </pic:blipFill>
                  <pic:spPr bwMode="auto">
                    <a:xfrm>
                      <a:off x="0" y="0"/>
                      <a:ext cx="5201592" cy="2297211"/>
                    </a:xfrm>
                    <a:prstGeom prst="rect">
                      <a:avLst/>
                    </a:prstGeom>
                    <a:noFill/>
                    <a:ln>
                      <a:noFill/>
                    </a:ln>
                    <a:extLst>
                      <a:ext uri="{53640926-AAD7-44D8-BBD7-CCE9431645EC}">
                        <a14:shadowObscured xmlns:a14="http://schemas.microsoft.com/office/drawing/2010/main"/>
                      </a:ext>
                    </a:extLst>
                  </pic:spPr>
                </pic:pic>
              </a:graphicData>
            </a:graphic>
          </wp:inline>
        </w:drawing>
      </w:r>
    </w:p>
    <w:p w14:paraId="3EA1B28D" w14:textId="77777777" w:rsidR="00DC7A33" w:rsidRPr="00A02296" w:rsidRDefault="00DC7A33" w:rsidP="00DC7A33">
      <w:pPr>
        <w:jc w:val="center"/>
        <w:rPr>
          <w:b/>
          <w:sz w:val="22"/>
          <w:szCs w:val="22"/>
        </w:rPr>
      </w:pPr>
      <w:r w:rsidRPr="00A23F57">
        <w:rPr>
          <w:noProof/>
          <w:lang w:val="en-US"/>
        </w:rPr>
        <w:drawing>
          <wp:inline distT="0" distB="0" distL="0" distR="0" wp14:anchorId="379BB814" wp14:editId="6BF1B287">
            <wp:extent cx="5753100" cy="1473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147320"/>
                    </a:xfrm>
                    <a:prstGeom prst="rect">
                      <a:avLst/>
                    </a:prstGeom>
                    <a:noFill/>
                    <a:ln>
                      <a:noFill/>
                    </a:ln>
                  </pic:spPr>
                </pic:pic>
              </a:graphicData>
            </a:graphic>
          </wp:inline>
        </w:drawing>
      </w:r>
    </w:p>
    <w:p w14:paraId="5C4BA55C" w14:textId="77777777" w:rsidR="00A02296" w:rsidRDefault="00736032" w:rsidP="00A02296">
      <w:pPr>
        <w:jc w:val="center"/>
        <w:rPr>
          <w:i/>
          <w:sz w:val="22"/>
          <w:szCs w:val="22"/>
        </w:rPr>
      </w:pPr>
      <w:r>
        <w:rPr>
          <w:b/>
          <w:i/>
          <w:sz w:val="22"/>
          <w:szCs w:val="22"/>
        </w:rPr>
        <w:t>Figure 4</w:t>
      </w:r>
      <w:r w:rsidR="00A02296" w:rsidRPr="00180185">
        <w:rPr>
          <w:b/>
          <w:i/>
          <w:sz w:val="22"/>
          <w:szCs w:val="22"/>
        </w:rPr>
        <w:t>:</w:t>
      </w:r>
      <w:r w:rsidR="00A02296" w:rsidRPr="00A02296">
        <w:rPr>
          <w:i/>
          <w:sz w:val="22"/>
          <w:szCs w:val="22"/>
        </w:rPr>
        <w:t xml:space="preserve"> Resource </w:t>
      </w:r>
      <w:r w:rsidR="00A02296">
        <w:rPr>
          <w:i/>
          <w:sz w:val="22"/>
          <w:szCs w:val="22"/>
        </w:rPr>
        <w:t>P</w:t>
      </w:r>
      <w:r w:rsidR="00A02296" w:rsidRPr="00A02296">
        <w:rPr>
          <w:i/>
          <w:sz w:val="22"/>
          <w:szCs w:val="22"/>
        </w:rPr>
        <w:t xml:space="preserve">ool </w:t>
      </w:r>
      <w:r w:rsidR="00A02296">
        <w:rPr>
          <w:i/>
          <w:sz w:val="22"/>
          <w:szCs w:val="22"/>
        </w:rPr>
        <w:t>D</w:t>
      </w:r>
      <w:r>
        <w:rPr>
          <w:i/>
          <w:sz w:val="22"/>
          <w:szCs w:val="22"/>
        </w:rPr>
        <w:t xml:space="preserve">esign 4 - </w:t>
      </w:r>
      <w:r w:rsidRPr="00736032">
        <w:rPr>
          <w:i/>
          <w:sz w:val="22"/>
          <w:szCs w:val="22"/>
        </w:rPr>
        <w:t>Discontinuous over time and non-contiguous over frequency</w:t>
      </w:r>
    </w:p>
    <w:p w14:paraId="15FD35BA" w14:textId="77777777" w:rsidR="00A02296" w:rsidRPr="00A02296" w:rsidRDefault="00A02296" w:rsidP="00A02296">
      <w:pPr>
        <w:rPr>
          <w:i/>
          <w:sz w:val="22"/>
          <w:szCs w:val="22"/>
        </w:rPr>
      </w:pPr>
    </w:p>
    <w:p w14:paraId="2E02DE3D" w14:textId="77777777" w:rsidR="00741BC0" w:rsidRDefault="00D8661A" w:rsidP="00741BC0">
      <w:pPr>
        <w:pStyle w:val="Heading1"/>
        <w:rPr>
          <w:lang w:val="en-US"/>
        </w:rPr>
      </w:pPr>
      <w:r>
        <w:rPr>
          <w:lang w:val="en-US"/>
        </w:rPr>
        <w:t>Control-Data</w:t>
      </w:r>
      <w:r w:rsidR="008F7F19">
        <w:rPr>
          <w:lang w:val="en-US"/>
        </w:rPr>
        <w:t xml:space="preserve"> Multiplexing</w:t>
      </w:r>
    </w:p>
    <w:p w14:paraId="3F149071" w14:textId="77777777" w:rsidR="00D8661A" w:rsidRPr="00D8661A" w:rsidRDefault="00D8661A" w:rsidP="00D8661A">
      <w:pPr>
        <w:jc w:val="both"/>
        <w:rPr>
          <w:sz w:val="22"/>
          <w:szCs w:val="22"/>
          <w:lang w:val="en-US"/>
        </w:rPr>
      </w:pPr>
      <w:r>
        <w:rPr>
          <w:sz w:val="22"/>
          <w:szCs w:val="22"/>
          <w:lang w:val="en-US"/>
        </w:rPr>
        <w:t>Based on the agreement that at least option 3</w:t>
      </w:r>
      <w:r w:rsidR="006839EE">
        <w:rPr>
          <w:sz w:val="22"/>
          <w:szCs w:val="22"/>
          <w:lang w:val="en-US"/>
        </w:rPr>
        <w:t xml:space="preserve"> is to be supported in NR V2X</w:t>
      </w:r>
      <w:r>
        <w:rPr>
          <w:sz w:val="22"/>
          <w:szCs w:val="22"/>
          <w:lang w:val="en-US"/>
        </w:rPr>
        <w:t>, where the control and data channel are multiplexed in a TDM manner, this section explores the possible designs of incorporating a dual control channel.</w:t>
      </w:r>
    </w:p>
    <w:p w14:paraId="12F6276E" w14:textId="77777777" w:rsidR="008F7F19" w:rsidRPr="00B77A42" w:rsidRDefault="008F7F19" w:rsidP="008F7F19">
      <w:pPr>
        <w:pStyle w:val="Heading2"/>
        <w:tabs>
          <w:tab w:val="clear" w:pos="1002"/>
          <w:tab w:val="num" w:pos="540"/>
        </w:tabs>
        <w:ind w:left="540"/>
      </w:pPr>
      <w:r>
        <w:t xml:space="preserve">2-stage SCI </w:t>
      </w:r>
      <w:r w:rsidR="00D8661A">
        <w:t>Dual Control Channel Design</w:t>
      </w:r>
    </w:p>
    <w:p w14:paraId="08535B6A" w14:textId="77777777" w:rsidR="008F7F19" w:rsidRDefault="00D8661A" w:rsidP="008F7F19">
      <w:pPr>
        <w:pStyle w:val="3GPPNormalText"/>
      </w:pPr>
      <w:r>
        <w:t xml:space="preserve">The decision to have the control channel </w:t>
      </w:r>
      <w:proofErr w:type="spellStart"/>
      <w:r>
        <w:t>TDMed</w:t>
      </w:r>
      <w:proofErr w:type="spellEnd"/>
      <w:r>
        <w:t xml:space="preserve"> with the data channel was based on the understanding that </w:t>
      </w:r>
      <w:r w:rsidR="0096509F">
        <w:t>UEs would be able to decode the PSCCH first and determine as to whether the data following it was meant for the said UE or not. This would result in an increase in the operational efficiency of the UE.</w:t>
      </w:r>
    </w:p>
    <w:p w14:paraId="00E6AAAF" w14:textId="4A2BF3DE" w:rsidR="0096509F" w:rsidRDefault="0096509F" w:rsidP="008F7F19">
      <w:pPr>
        <w:pStyle w:val="3GPPNormalText"/>
      </w:pPr>
      <w:r>
        <w:t>With the possibility of pre-emptive resource reservation for high priority transmissions by a UE, other UEs should be capable of decoding the reservation information in advance in order to ensure that the resource requested by the high priority transmission is not being used.</w:t>
      </w:r>
      <w:r w:rsidR="001F2E33">
        <w:t xml:space="preserve"> Other UEs having scheduled low priority transmissions will in turn vacate the resource requested.</w:t>
      </w:r>
      <w:r>
        <w:t xml:space="preserve"> The announcement of resource pools to be used by a group leader UE in the case of groupcast communications, as described in [</w:t>
      </w:r>
      <w:r w:rsidR="006A691E">
        <w:t>7</w:t>
      </w:r>
      <w:r>
        <w:t>], would also require other group leader UEs to listen to this announcement to ensure that there is no collision of resource allocations.</w:t>
      </w:r>
    </w:p>
    <w:p w14:paraId="2C2E9F64" w14:textId="77777777" w:rsidR="0096509F" w:rsidRDefault="0096509F" w:rsidP="008F7F19">
      <w:pPr>
        <w:pStyle w:val="3GPPNormalText"/>
      </w:pPr>
      <w:r>
        <w:t>Both these use cases are unique in the sense that both the pre-emptive reservation and announcement messages are control messages without any data linked to it, but instead point to other control messages.</w:t>
      </w:r>
    </w:p>
    <w:p w14:paraId="13A5926E" w14:textId="3BE368AA" w:rsidR="0096509F" w:rsidRDefault="0096509F" w:rsidP="008F7F19">
      <w:pPr>
        <w:pStyle w:val="3GPPNormalText"/>
      </w:pPr>
      <w:r>
        <w:t xml:space="preserve">With this motivation, we propose a common control channel or PSCCCH, where these control messages can be transmitted. In order to maintain the operational efficiency of the system, they are </w:t>
      </w:r>
      <w:proofErr w:type="spellStart"/>
      <w:r>
        <w:t>TDMed</w:t>
      </w:r>
      <w:proofErr w:type="spellEnd"/>
      <w:r>
        <w:t xml:space="preserve"> with the PSCCH by occupying symbols in the beginning of the time slot. In the absence of such messages, the UE can utilize these symbols for normal PSCCH transmission. Th</w:t>
      </w:r>
      <w:r w:rsidR="00232972">
        <w:t>e design is depicted in Figure 5</w:t>
      </w:r>
      <w:r>
        <w:t>.</w:t>
      </w:r>
    </w:p>
    <w:p w14:paraId="51EF2F6F" w14:textId="77777777" w:rsidR="00736032" w:rsidRDefault="00736032" w:rsidP="00736032">
      <w:pPr>
        <w:jc w:val="both"/>
        <w:rPr>
          <w:b/>
          <w:sz w:val="22"/>
          <w:szCs w:val="22"/>
          <w:lang w:val="en-US"/>
        </w:rPr>
      </w:pPr>
      <w:r>
        <w:rPr>
          <w:b/>
          <w:sz w:val="22"/>
          <w:szCs w:val="22"/>
          <w:lang w:val="en-US"/>
        </w:rPr>
        <w:t>Proposal 4</w:t>
      </w:r>
      <w:r w:rsidRPr="005454B7">
        <w:rPr>
          <w:b/>
          <w:sz w:val="22"/>
          <w:szCs w:val="22"/>
          <w:lang w:val="en-US"/>
        </w:rPr>
        <w:t xml:space="preserve">: </w:t>
      </w:r>
      <w:r>
        <w:rPr>
          <w:b/>
          <w:sz w:val="22"/>
          <w:szCs w:val="22"/>
          <w:lang w:val="en-US"/>
        </w:rPr>
        <w:t xml:space="preserve">We propose to study further the configuration of a common control channel, which is </w:t>
      </w:r>
      <w:proofErr w:type="spellStart"/>
      <w:r>
        <w:rPr>
          <w:b/>
          <w:sz w:val="22"/>
          <w:szCs w:val="22"/>
          <w:lang w:val="en-US"/>
        </w:rPr>
        <w:t>TDMed</w:t>
      </w:r>
      <w:proofErr w:type="spellEnd"/>
      <w:r>
        <w:rPr>
          <w:b/>
          <w:sz w:val="22"/>
          <w:szCs w:val="22"/>
          <w:lang w:val="en-US"/>
        </w:rPr>
        <w:t xml:space="preserve"> with the PSCCH.</w:t>
      </w:r>
    </w:p>
    <w:p w14:paraId="5FFB909F" w14:textId="77777777" w:rsidR="00660FEC" w:rsidRDefault="000E2E1E" w:rsidP="008F7F19">
      <w:pPr>
        <w:pStyle w:val="3GPPNormalText"/>
      </w:pPr>
      <w:r w:rsidRPr="000E2E1E">
        <w:rPr>
          <w:noProof/>
        </w:rPr>
        <w:lastRenderedPageBreak/>
        <w:drawing>
          <wp:inline distT="0" distB="0" distL="0" distR="0" wp14:anchorId="23FE28A5" wp14:editId="686A066C">
            <wp:extent cx="6332220" cy="218021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2180211"/>
                    </a:xfrm>
                    <a:prstGeom prst="rect">
                      <a:avLst/>
                    </a:prstGeom>
                    <a:noFill/>
                    <a:ln>
                      <a:noFill/>
                    </a:ln>
                  </pic:spPr>
                </pic:pic>
              </a:graphicData>
            </a:graphic>
          </wp:inline>
        </w:drawing>
      </w:r>
    </w:p>
    <w:p w14:paraId="50E81D72" w14:textId="77777777" w:rsidR="00660FEC" w:rsidRDefault="00660FEC" w:rsidP="00660FEC">
      <w:pPr>
        <w:jc w:val="center"/>
        <w:rPr>
          <w:i/>
          <w:sz w:val="22"/>
          <w:szCs w:val="22"/>
        </w:rPr>
      </w:pPr>
      <w:r>
        <w:rPr>
          <w:b/>
          <w:i/>
          <w:sz w:val="22"/>
          <w:szCs w:val="22"/>
        </w:rPr>
        <w:t xml:space="preserve">Figure </w:t>
      </w:r>
      <w:r w:rsidR="00880CA0">
        <w:rPr>
          <w:b/>
          <w:i/>
          <w:sz w:val="22"/>
          <w:szCs w:val="22"/>
        </w:rPr>
        <w:t>5</w:t>
      </w:r>
      <w:r w:rsidRPr="00180185">
        <w:rPr>
          <w:b/>
          <w:i/>
          <w:sz w:val="22"/>
          <w:szCs w:val="22"/>
        </w:rPr>
        <w:t>:</w:t>
      </w:r>
      <w:r>
        <w:rPr>
          <w:i/>
          <w:sz w:val="22"/>
          <w:szCs w:val="22"/>
        </w:rPr>
        <w:t xml:space="preserve"> 2-Stage SCI</w:t>
      </w:r>
      <w:r w:rsidRPr="004B6FBB">
        <w:rPr>
          <w:i/>
          <w:sz w:val="22"/>
          <w:szCs w:val="22"/>
        </w:rPr>
        <w:t xml:space="preserve"> Dual </w:t>
      </w:r>
      <w:r>
        <w:rPr>
          <w:i/>
          <w:sz w:val="22"/>
          <w:szCs w:val="22"/>
        </w:rPr>
        <w:t>Control Channel</w:t>
      </w:r>
      <w:r w:rsidRPr="004B6FBB">
        <w:rPr>
          <w:i/>
          <w:sz w:val="22"/>
          <w:szCs w:val="22"/>
        </w:rPr>
        <w:t xml:space="preserve"> Design</w:t>
      </w:r>
    </w:p>
    <w:p w14:paraId="73BE77A7" w14:textId="77777777" w:rsidR="00736032" w:rsidRDefault="00736032" w:rsidP="00660FEC">
      <w:pPr>
        <w:jc w:val="center"/>
        <w:rPr>
          <w:i/>
          <w:sz w:val="22"/>
          <w:szCs w:val="22"/>
        </w:rPr>
      </w:pPr>
    </w:p>
    <w:p w14:paraId="6D012851" w14:textId="77777777" w:rsidR="00741BC0" w:rsidRDefault="00741BC0" w:rsidP="00741BC0">
      <w:pPr>
        <w:pStyle w:val="Heading2"/>
        <w:tabs>
          <w:tab w:val="clear" w:pos="1002"/>
          <w:tab w:val="num" w:pos="540"/>
        </w:tabs>
        <w:ind w:left="540"/>
      </w:pPr>
      <w:r>
        <w:t xml:space="preserve">In- and Out-of-Coverage Dual Control </w:t>
      </w:r>
      <w:r w:rsidR="00D8661A">
        <w:t xml:space="preserve">Channel </w:t>
      </w:r>
      <w:r>
        <w:t>Design</w:t>
      </w:r>
    </w:p>
    <w:p w14:paraId="6074A5EF" w14:textId="0B0C6C7C" w:rsidR="00741BC0" w:rsidRDefault="00741BC0" w:rsidP="00741BC0">
      <w:pPr>
        <w:jc w:val="both"/>
        <w:rPr>
          <w:sz w:val="22"/>
          <w:szCs w:val="22"/>
        </w:rPr>
      </w:pPr>
      <w:r>
        <w:rPr>
          <w:sz w:val="22"/>
          <w:szCs w:val="22"/>
        </w:rPr>
        <w:t xml:space="preserve">Given that both Mode 1 and Mode 2 NR UEs have to coexist and it is feasible to assume that sharing of resources among the operational modes would result in an optimized resource allocation solution, we propose a dual SCI or control channel design, where the SCIs for UEs operating in Mode 1 would be transmitted and received in a separate control channel, and the SCIs for UEs operating in Mode 2 would use another adjacent control channel. These control channels are </w:t>
      </w:r>
      <w:proofErr w:type="spellStart"/>
      <w:r>
        <w:rPr>
          <w:sz w:val="22"/>
          <w:szCs w:val="22"/>
        </w:rPr>
        <w:t>TDMed</w:t>
      </w:r>
      <w:proofErr w:type="spellEnd"/>
      <w:r>
        <w:rPr>
          <w:sz w:val="22"/>
          <w:szCs w:val="22"/>
        </w:rPr>
        <w:t xml:space="preserve"> to each other, as with the data, and would span one or two symbols across time within the time sl</w:t>
      </w:r>
      <w:r w:rsidR="00232972">
        <w:rPr>
          <w:sz w:val="22"/>
          <w:szCs w:val="22"/>
        </w:rPr>
        <w:t>ot. This can be seen in Figure 6</w:t>
      </w:r>
      <w:r>
        <w:rPr>
          <w:sz w:val="22"/>
          <w:szCs w:val="22"/>
        </w:rPr>
        <w:t>.</w:t>
      </w:r>
    </w:p>
    <w:p w14:paraId="760E9B10" w14:textId="77777777" w:rsidR="004D4AC7" w:rsidRDefault="00741BC0" w:rsidP="00741BC0">
      <w:pPr>
        <w:jc w:val="both"/>
        <w:rPr>
          <w:sz w:val="22"/>
          <w:szCs w:val="22"/>
        </w:rPr>
      </w:pPr>
      <w:r>
        <w:rPr>
          <w:sz w:val="22"/>
          <w:szCs w:val="22"/>
        </w:rPr>
        <w:t>Both the control channels are read by both modes of UEs, with the Mode 1 UEs being able to use the Mode 2 control region to transmit data only if it has sent out an SCI claiming the following data symbols in the given sub channel.</w:t>
      </w:r>
    </w:p>
    <w:p w14:paraId="75755F14" w14:textId="359FD553" w:rsidR="000453C5" w:rsidRDefault="00741BC0" w:rsidP="00741BC0">
      <w:pPr>
        <w:jc w:val="both"/>
        <w:rPr>
          <w:noProof/>
          <w:lang w:val="en-US"/>
        </w:rPr>
      </w:pPr>
      <w:r>
        <w:rPr>
          <w:sz w:val="22"/>
          <w:szCs w:val="22"/>
        </w:rPr>
        <w:t>The primary advantage of this design is that when a Mode 2 UE senses the Mode 1 control region and finds it to be vacant or empty, it can be guaranteed that no Mode 1 UE would use the data symbols following it. The only competition the Mode 2 UEs would have is with other Mode 2 UEs which also sense the availability of the resource at the same time. This is made possible with the Mode 2 UEs sensing only the Mode 1 control region, reducing the sensing burden of the UEs as well.</w:t>
      </w:r>
      <w:r w:rsidR="000453C5" w:rsidRPr="000453C5">
        <w:rPr>
          <w:noProof/>
          <w:lang w:val="en-US"/>
        </w:rPr>
        <w:t xml:space="preserve"> </w:t>
      </w:r>
    </w:p>
    <w:p w14:paraId="53DBF860" w14:textId="509CE1ED" w:rsidR="004D4AC7" w:rsidRDefault="000453C5" w:rsidP="000453C5">
      <w:pPr>
        <w:jc w:val="center"/>
        <w:rPr>
          <w:sz w:val="22"/>
          <w:szCs w:val="22"/>
        </w:rPr>
      </w:pPr>
      <w:r w:rsidRPr="004C13E9">
        <w:rPr>
          <w:noProof/>
          <w:lang w:val="en-US"/>
        </w:rPr>
        <w:drawing>
          <wp:inline distT="0" distB="0" distL="0" distR="0" wp14:anchorId="4CA192B7" wp14:editId="6D8662C9">
            <wp:extent cx="4598670" cy="23158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98670" cy="2315845"/>
                    </a:xfrm>
                    <a:prstGeom prst="rect">
                      <a:avLst/>
                    </a:prstGeom>
                    <a:noFill/>
                    <a:ln>
                      <a:noFill/>
                    </a:ln>
                  </pic:spPr>
                </pic:pic>
              </a:graphicData>
            </a:graphic>
          </wp:inline>
        </w:drawing>
      </w:r>
    </w:p>
    <w:p w14:paraId="38D4540A" w14:textId="77777777" w:rsidR="00741BC0" w:rsidRDefault="00180185" w:rsidP="00741BC0">
      <w:pPr>
        <w:jc w:val="center"/>
        <w:rPr>
          <w:i/>
          <w:sz w:val="22"/>
          <w:szCs w:val="22"/>
        </w:rPr>
      </w:pPr>
      <w:r w:rsidRPr="00180185">
        <w:rPr>
          <w:b/>
          <w:i/>
          <w:sz w:val="22"/>
          <w:szCs w:val="22"/>
        </w:rPr>
        <w:t xml:space="preserve">Figure </w:t>
      </w:r>
      <w:r w:rsidR="00880CA0">
        <w:rPr>
          <w:b/>
          <w:i/>
          <w:sz w:val="22"/>
          <w:szCs w:val="22"/>
        </w:rPr>
        <w:t>6</w:t>
      </w:r>
      <w:r w:rsidR="00741BC0" w:rsidRPr="00180185">
        <w:rPr>
          <w:b/>
          <w:i/>
          <w:sz w:val="22"/>
          <w:szCs w:val="22"/>
        </w:rPr>
        <w:t>:</w:t>
      </w:r>
      <w:r w:rsidR="00741BC0">
        <w:rPr>
          <w:i/>
          <w:sz w:val="22"/>
          <w:szCs w:val="22"/>
        </w:rPr>
        <w:t xml:space="preserve"> </w:t>
      </w:r>
      <w:r w:rsidR="00741BC0" w:rsidRPr="004B6FBB">
        <w:rPr>
          <w:i/>
          <w:sz w:val="22"/>
          <w:szCs w:val="22"/>
        </w:rPr>
        <w:t xml:space="preserve">In- and Out-of-Coverage Dual </w:t>
      </w:r>
      <w:r w:rsidR="00741BC0">
        <w:rPr>
          <w:i/>
          <w:sz w:val="22"/>
          <w:szCs w:val="22"/>
        </w:rPr>
        <w:t>Control</w:t>
      </w:r>
      <w:r w:rsidR="00741BC0" w:rsidRPr="004B6FBB">
        <w:rPr>
          <w:i/>
          <w:sz w:val="22"/>
          <w:szCs w:val="22"/>
        </w:rPr>
        <w:t xml:space="preserve"> Design</w:t>
      </w:r>
    </w:p>
    <w:p w14:paraId="44A8E351" w14:textId="77777777" w:rsidR="00741BC0" w:rsidRDefault="00741BC0" w:rsidP="00741BC0">
      <w:pPr>
        <w:jc w:val="both"/>
        <w:rPr>
          <w:b/>
          <w:sz w:val="22"/>
          <w:szCs w:val="22"/>
        </w:rPr>
      </w:pPr>
      <w:r>
        <w:rPr>
          <w:b/>
          <w:sz w:val="22"/>
          <w:szCs w:val="22"/>
        </w:rPr>
        <w:lastRenderedPageBreak/>
        <w:t xml:space="preserve">Proposal </w:t>
      </w:r>
      <w:r w:rsidR="0096509F">
        <w:rPr>
          <w:b/>
          <w:sz w:val="22"/>
          <w:szCs w:val="22"/>
        </w:rPr>
        <w:t>5</w:t>
      </w:r>
      <w:r>
        <w:rPr>
          <w:b/>
          <w:sz w:val="22"/>
          <w:szCs w:val="22"/>
        </w:rPr>
        <w:t>: Study further the impact of collisions in resource allocation between Mode 1 and Mode 2 UEs.</w:t>
      </w:r>
    </w:p>
    <w:p w14:paraId="1E25728B" w14:textId="77777777" w:rsidR="00741BC0" w:rsidRDefault="0096509F" w:rsidP="00741BC0">
      <w:pPr>
        <w:jc w:val="both"/>
        <w:rPr>
          <w:b/>
          <w:sz w:val="22"/>
          <w:szCs w:val="22"/>
        </w:rPr>
      </w:pPr>
      <w:r>
        <w:rPr>
          <w:b/>
          <w:sz w:val="22"/>
          <w:szCs w:val="22"/>
        </w:rPr>
        <w:t>Proposal 6</w:t>
      </w:r>
      <w:r w:rsidR="00741BC0">
        <w:rPr>
          <w:b/>
          <w:sz w:val="22"/>
          <w:szCs w:val="22"/>
        </w:rPr>
        <w:t>: We suggest that the in- and out-of-coverage dual control design be the baseline for further study.</w:t>
      </w:r>
    </w:p>
    <w:p w14:paraId="1DA8095A" w14:textId="77777777" w:rsidR="00741BC0" w:rsidRDefault="00741BC0" w:rsidP="00741BC0">
      <w:pPr>
        <w:jc w:val="both"/>
        <w:rPr>
          <w:b/>
          <w:sz w:val="22"/>
          <w:szCs w:val="22"/>
        </w:rPr>
      </w:pPr>
    </w:p>
    <w:p w14:paraId="527B86C7" w14:textId="77777777" w:rsidR="00E836C0" w:rsidRPr="000D3E61" w:rsidRDefault="00E836C0" w:rsidP="00E836C0">
      <w:pPr>
        <w:pStyle w:val="Heading1"/>
      </w:pPr>
      <w:r w:rsidRPr="000D3E61">
        <w:t>Flexible Slot Structure for dedicated NR Sidelink Carriers</w:t>
      </w:r>
    </w:p>
    <w:p w14:paraId="67EE6C43" w14:textId="3A0DB586" w:rsidR="00E836C0" w:rsidRPr="000D3E61" w:rsidRDefault="00E836C0" w:rsidP="00E836C0">
      <w:pPr>
        <w:jc w:val="both"/>
        <w:rPr>
          <w:sz w:val="22"/>
          <w:szCs w:val="22"/>
        </w:rPr>
      </w:pPr>
      <w:r w:rsidRPr="000D3E61">
        <w:rPr>
          <w:sz w:val="22"/>
          <w:szCs w:val="22"/>
        </w:rPr>
        <w:t xml:space="preserve">In this section we discuss the NR flexible slot structure of NR Rel-15 with regard to NR sidelink for dedicated NR sidelink carriers. In our companion contribution </w:t>
      </w:r>
      <w:r w:rsidRPr="000D3E61">
        <w:rPr>
          <w:sz w:val="22"/>
          <w:szCs w:val="22"/>
          <w:lang w:val="en-US"/>
        </w:rPr>
        <w:t>[</w:t>
      </w:r>
      <w:r w:rsidR="00232972">
        <w:rPr>
          <w:sz w:val="22"/>
          <w:szCs w:val="22"/>
          <w:lang w:val="en-US"/>
        </w:rPr>
        <w:t>8</w:t>
      </w:r>
      <w:r w:rsidRPr="000D3E61">
        <w:rPr>
          <w:sz w:val="22"/>
          <w:szCs w:val="22"/>
          <w:lang w:val="en-US"/>
        </w:rPr>
        <w:t>]</w:t>
      </w:r>
      <w:r w:rsidR="006A691E">
        <w:rPr>
          <w:sz w:val="22"/>
          <w:szCs w:val="22"/>
          <w:lang w:val="en-US"/>
        </w:rPr>
        <w:t xml:space="preserve"> we have</w:t>
      </w:r>
      <w:r w:rsidRPr="000D3E61">
        <w:rPr>
          <w:sz w:val="22"/>
          <w:szCs w:val="22"/>
          <w:lang w:val="en-US"/>
        </w:rPr>
        <w:t xml:space="preserve"> discuss</w:t>
      </w:r>
      <w:r w:rsidR="006A691E">
        <w:rPr>
          <w:sz w:val="22"/>
          <w:szCs w:val="22"/>
          <w:lang w:val="en-US"/>
        </w:rPr>
        <w:t>ed</w:t>
      </w:r>
      <w:r w:rsidRPr="000D3E61">
        <w:rPr>
          <w:sz w:val="22"/>
          <w:szCs w:val="22"/>
          <w:lang w:val="en-US"/>
        </w:rPr>
        <w:t xml:space="preserve"> </w:t>
      </w:r>
      <w:r w:rsidRPr="000D3E61">
        <w:rPr>
          <w:sz w:val="22"/>
          <w:szCs w:val="22"/>
        </w:rPr>
        <w:t>NR flexible slot structure concerning shared sidelink carriers.</w:t>
      </w:r>
    </w:p>
    <w:p w14:paraId="40BC3CBA" w14:textId="77777777" w:rsidR="00E836C0" w:rsidRPr="000D3E61" w:rsidRDefault="00344D83" w:rsidP="00E836C0">
      <w:pPr>
        <w:jc w:val="both"/>
        <w:rPr>
          <w:sz w:val="22"/>
          <w:szCs w:val="22"/>
        </w:rPr>
      </w:pPr>
      <w:r w:rsidRPr="000D3E61">
        <w:rPr>
          <w:sz w:val="22"/>
          <w:szCs w:val="22"/>
        </w:rPr>
        <w:t>F</w:t>
      </w:r>
      <w:r w:rsidR="00E836C0" w:rsidRPr="000D3E61">
        <w:rPr>
          <w:sz w:val="22"/>
          <w:szCs w:val="22"/>
        </w:rPr>
        <w:t>or NR V2X communications, NR flexible slot format would facilitate dynamic scheduling of the transmission direction of NR sidelink UEs even within one slot. This way accommodation of the diverse range of traffic requirements for the advanced NR V2X use cases regarding transmission rates, latency and reliability could be achieved.</w:t>
      </w:r>
    </w:p>
    <w:p w14:paraId="1072851D" w14:textId="1F4A9A55" w:rsidR="00E836C0" w:rsidRPr="000D3E61" w:rsidRDefault="00232972" w:rsidP="00880CA0">
      <w:pPr>
        <w:jc w:val="both"/>
        <w:rPr>
          <w:b/>
          <w:sz w:val="22"/>
          <w:szCs w:val="22"/>
        </w:rPr>
      </w:pPr>
      <w:r>
        <w:rPr>
          <w:b/>
          <w:sz w:val="22"/>
          <w:szCs w:val="22"/>
        </w:rPr>
        <w:t>Proposal 7</w:t>
      </w:r>
      <w:r w:rsidR="00E836C0" w:rsidRPr="000D3E61">
        <w:rPr>
          <w:b/>
          <w:sz w:val="22"/>
          <w:szCs w:val="22"/>
        </w:rPr>
        <w:t>: Adopt the NR flexible slot format for NR sidelink physical structure in a dedicated NR sidelink carrier.</w:t>
      </w:r>
    </w:p>
    <w:p w14:paraId="14695F56" w14:textId="47E8351A" w:rsidR="00E836C0" w:rsidRPr="000D3E61" w:rsidRDefault="00E836C0" w:rsidP="00E836C0">
      <w:pPr>
        <w:jc w:val="both"/>
        <w:rPr>
          <w:sz w:val="22"/>
          <w:szCs w:val="22"/>
          <w:lang w:val="en-US"/>
        </w:rPr>
      </w:pPr>
      <w:r w:rsidRPr="000D3E61">
        <w:rPr>
          <w:sz w:val="22"/>
          <w:szCs w:val="22"/>
        </w:rPr>
        <w:t xml:space="preserve">In a dedicated sidelink carrier all slots/symbols are used for sidelink communication. When adopting the NR flexible slot format, a dedicated classifier ‘sidelink’ (‘S’) should be introduced for OFDM symbols and signalled to the sidelink UEs. </w:t>
      </w:r>
      <w:r w:rsidRPr="000D3E61">
        <w:rPr>
          <w:sz w:val="22"/>
          <w:szCs w:val="22"/>
          <w:lang w:val="en-US"/>
        </w:rPr>
        <w:t>In F</w:t>
      </w:r>
      <w:r w:rsidR="00232972">
        <w:rPr>
          <w:sz w:val="22"/>
          <w:szCs w:val="22"/>
          <w:lang w:val="en-US"/>
        </w:rPr>
        <w:t>igure 7</w:t>
      </w:r>
      <w:r w:rsidRPr="000D3E61">
        <w:rPr>
          <w:sz w:val="22"/>
          <w:szCs w:val="22"/>
          <w:lang w:val="en-US"/>
        </w:rPr>
        <w:t xml:space="preserve">, examples a) to e) depict five possible slot formats for a dedicated sidelink carrier. Example </w:t>
      </w:r>
      <w:r w:rsidR="00232972">
        <w:rPr>
          <w:sz w:val="22"/>
          <w:szCs w:val="22"/>
          <w:lang w:val="en-US"/>
        </w:rPr>
        <w:t>7</w:t>
      </w:r>
      <w:r w:rsidRPr="000D3E61">
        <w:rPr>
          <w:sz w:val="22"/>
          <w:szCs w:val="22"/>
          <w:lang w:val="en-US"/>
        </w:rPr>
        <w:t xml:space="preserve"> a) shows a slot format where all symbols in a slot are classified as</w:t>
      </w:r>
      <w:r w:rsidR="00232972">
        <w:rPr>
          <w:sz w:val="22"/>
          <w:szCs w:val="22"/>
          <w:lang w:val="en-US"/>
        </w:rPr>
        <w:t xml:space="preserve"> ‘sidelink’ (’S’). In examples 7</w:t>
      </w:r>
      <w:r w:rsidRPr="000D3E61">
        <w:rPr>
          <w:sz w:val="22"/>
          <w:szCs w:val="22"/>
          <w:lang w:val="en-US"/>
        </w:rPr>
        <w:t xml:space="preserve"> b) to e) the slot format of </w:t>
      </w:r>
      <w:r w:rsidR="00232972">
        <w:rPr>
          <w:sz w:val="22"/>
          <w:szCs w:val="22"/>
          <w:lang w:val="en-US"/>
        </w:rPr>
        <w:t>7</w:t>
      </w:r>
      <w:r w:rsidRPr="000D3E61">
        <w:rPr>
          <w:sz w:val="22"/>
          <w:szCs w:val="22"/>
          <w:lang w:val="en-US"/>
        </w:rPr>
        <w:t xml:space="preserve"> a) is modified such that one or more of the sidelink symbols are replaced by ‘flexible’ (’F’) symbols at the start, end or m</w:t>
      </w:r>
      <w:bookmarkStart w:id="3" w:name="_GoBack"/>
      <w:bookmarkEnd w:id="3"/>
      <w:r w:rsidRPr="000D3E61">
        <w:rPr>
          <w:sz w:val="22"/>
          <w:szCs w:val="22"/>
          <w:lang w:val="en-US"/>
        </w:rPr>
        <w:t xml:space="preserve">iddle of the time slot. The ‘flexible’ (’F’) symbols could be used e.g. as guard symbols when switching between transmission and reception on the dedicated sidelink carrier. </w:t>
      </w:r>
      <w:r w:rsidR="00FE2A67">
        <w:rPr>
          <w:sz w:val="22"/>
          <w:szCs w:val="22"/>
          <w:lang w:val="en-US"/>
        </w:rPr>
        <w:t xml:space="preserve"> </w:t>
      </w:r>
      <w:r w:rsidR="00232972">
        <w:rPr>
          <w:sz w:val="22"/>
          <w:szCs w:val="22"/>
          <w:lang w:val="en-US"/>
        </w:rPr>
        <w:t>Example 7</w:t>
      </w:r>
      <w:r w:rsidR="00635EED" w:rsidRPr="00B5261A">
        <w:rPr>
          <w:sz w:val="22"/>
          <w:szCs w:val="22"/>
          <w:lang w:val="en-US"/>
        </w:rPr>
        <w:t xml:space="preserve"> e) illustrates how ‘F’ symbols could be used to divide a time slot into two parts.</w:t>
      </w:r>
      <w:r w:rsidR="00635EED">
        <w:rPr>
          <w:sz w:val="22"/>
          <w:szCs w:val="22"/>
          <w:lang w:val="en-US"/>
        </w:rPr>
        <w:t xml:space="preserve"> </w:t>
      </w:r>
    </w:p>
    <w:p w14:paraId="297B29C1" w14:textId="7915DA1D" w:rsidR="00E836C0" w:rsidRPr="000D3E61" w:rsidRDefault="00E836C0" w:rsidP="00E836C0">
      <w:pPr>
        <w:rPr>
          <w:b/>
          <w:sz w:val="22"/>
          <w:szCs w:val="22"/>
        </w:rPr>
      </w:pPr>
      <w:r w:rsidRPr="000D3E61">
        <w:rPr>
          <w:b/>
          <w:sz w:val="22"/>
          <w:szCs w:val="22"/>
        </w:rPr>
        <w:t xml:space="preserve">Proposal </w:t>
      </w:r>
      <w:r w:rsidR="00232972">
        <w:rPr>
          <w:b/>
          <w:sz w:val="22"/>
          <w:szCs w:val="22"/>
        </w:rPr>
        <w:t>8</w:t>
      </w:r>
      <w:r w:rsidRPr="000D3E61">
        <w:rPr>
          <w:b/>
          <w:sz w:val="22"/>
          <w:szCs w:val="22"/>
        </w:rPr>
        <w:t>: Study dedicated slot format indication for OFDM symbols/slots in a dedicated sidelink carrier and related flexible slot formats.</w:t>
      </w:r>
    </w:p>
    <w:p w14:paraId="74FD9DD6" w14:textId="0268FA0A" w:rsidR="00E836C0" w:rsidRPr="000D3E61" w:rsidRDefault="00B5261A" w:rsidP="00B5261A">
      <w:pPr>
        <w:jc w:val="center"/>
        <w:rPr>
          <w:sz w:val="22"/>
          <w:szCs w:val="22"/>
        </w:rPr>
      </w:pPr>
      <w:r>
        <w:rPr>
          <w:noProof/>
          <w:sz w:val="22"/>
          <w:szCs w:val="22"/>
          <w:lang w:val="en-US"/>
        </w:rPr>
        <w:drawing>
          <wp:inline distT="0" distB="0" distL="0" distR="0" wp14:anchorId="104CFDB2" wp14:editId="715CF7EB">
            <wp:extent cx="5335325" cy="305609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lexSlot1.png"/>
                    <pic:cNvPicPr/>
                  </pic:nvPicPr>
                  <pic:blipFill>
                    <a:blip r:embed="rId21">
                      <a:extLst>
                        <a:ext uri="{28A0092B-C50C-407E-A947-70E740481C1C}">
                          <a14:useLocalDpi xmlns:a14="http://schemas.microsoft.com/office/drawing/2010/main" val="0"/>
                        </a:ext>
                      </a:extLst>
                    </a:blip>
                    <a:stretch>
                      <a:fillRect/>
                    </a:stretch>
                  </pic:blipFill>
                  <pic:spPr>
                    <a:xfrm>
                      <a:off x="0" y="0"/>
                      <a:ext cx="5379549" cy="3081428"/>
                    </a:xfrm>
                    <a:prstGeom prst="rect">
                      <a:avLst/>
                    </a:prstGeom>
                  </pic:spPr>
                </pic:pic>
              </a:graphicData>
            </a:graphic>
          </wp:inline>
        </w:drawing>
      </w:r>
    </w:p>
    <w:p w14:paraId="661F87A9" w14:textId="1536FF9C" w:rsidR="00E836C0" w:rsidRPr="000D3E61" w:rsidRDefault="00E836C0" w:rsidP="00E836C0">
      <w:pPr>
        <w:jc w:val="center"/>
        <w:rPr>
          <w:i/>
          <w:sz w:val="22"/>
          <w:szCs w:val="22"/>
          <w:lang w:val="en-US"/>
        </w:rPr>
      </w:pPr>
      <w:r w:rsidRPr="00B5261A">
        <w:rPr>
          <w:b/>
          <w:i/>
          <w:sz w:val="22"/>
          <w:szCs w:val="22"/>
          <w:lang w:val="en-US"/>
        </w:rPr>
        <w:t xml:space="preserve">Figure </w:t>
      </w:r>
      <w:r w:rsidR="00B5261A" w:rsidRPr="00B5261A">
        <w:rPr>
          <w:b/>
          <w:i/>
          <w:sz w:val="22"/>
          <w:szCs w:val="22"/>
          <w:lang w:val="en-US"/>
        </w:rPr>
        <w:t>7</w:t>
      </w:r>
      <w:r w:rsidR="00B70EDF">
        <w:rPr>
          <w:b/>
          <w:i/>
          <w:sz w:val="22"/>
          <w:szCs w:val="22"/>
          <w:lang w:val="en-US"/>
        </w:rPr>
        <w:t xml:space="preserve">: </w:t>
      </w:r>
      <w:r w:rsidRPr="000D3E61">
        <w:rPr>
          <w:i/>
          <w:sz w:val="22"/>
          <w:szCs w:val="22"/>
          <w:lang w:val="en-US"/>
        </w:rPr>
        <w:t>Examples for possible flexible slot formats in a dedicated NR sidelink carrier</w:t>
      </w:r>
    </w:p>
    <w:p w14:paraId="52083C37" w14:textId="6AA0E15D" w:rsidR="00E836C0" w:rsidRPr="000D3E61" w:rsidRDefault="00E836C0" w:rsidP="00E836C0">
      <w:pPr>
        <w:jc w:val="both"/>
        <w:rPr>
          <w:sz w:val="22"/>
          <w:szCs w:val="22"/>
          <w:lang w:val="en-US"/>
        </w:rPr>
      </w:pPr>
      <w:r w:rsidRPr="000D3E61">
        <w:rPr>
          <w:sz w:val="22"/>
          <w:szCs w:val="22"/>
          <w:lang w:val="en-US"/>
        </w:rPr>
        <w:lastRenderedPageBreak/>
        <w:t xml:space="preserve">In Figure </w:t>
      </w:r>
      <w:r w:rsidR="00232972">
        <w:rPr>
          <w:sz w:val="22"/>
          <w:szCs w:val="22"/>
          <w:lang w:val="en-US"/>
        </w:rPr>
        <w:t>8</w:t>
      </w:r>
      <w:r w:rsidRPr="000D3E61">
        <w:rPr>
          <w:sz w:val="22"/>
          <w:szCs w:val="22"/>
          <w:lang w:val="en-US"/>
        </w:rPr>
        <w:t xml:space="preserve">, options a) to d) depict four additional examples of possible sidelink slot configurations for a shared carrier, where two UEs, UE1 and UE2, are transmitting, for example, on two different time instances using the depicted configurations. These two UEs may be communicating with each other, i.e., forming either a bi-directional configuration, or to different UEs on a set of symbols dedicated for sidelink communication (as denoted by </w:t>
      </w:r>
      <w:r w:rsidRPr="000D3E61">
        <w:rPr>
          <w:i/>
          <w:sz w:val="22"/>
          <w:szCs w:val="22"/>
          <w:lang w:val="en-US"/>
        </w:rPr>
        <w:t>S</w:t>
      </w:r>
      <w:r w:rsidRPr="000D3E61">
        <w:rPr>
          <w:sz w:val="22"/>
          <w:szCs w:val="22"/>
          <w:lang w:val="en-US"/>
        </w:rPr>
        <w:t xml:space="preserve">). In the case of </w:t>
      </w:r>
      <w:r w:rsidR="002B5086" w:rsidRPr="00B70EDF">
        <w:rPr>
          <w:sz w:val="22"/>
          <w:szCs w:val="22"/>
          <w:lang w:val="en-US"/>
        </w:rPr>
        <w:t xml:space="preserve">unicast </w:t>
      </w:r>
      <w:r w:rsidRPr="000D3E61">
        <w:rPr>
          <w:sz w:val="22"/>
          <w:szCs w:val="22"/>
          <w:lang w:val="en-US"/>
        </w:rPr>
        <w:t xml:space="preserve">communications, two UEs are capable of operating in the same slot, especially when the symbols to be used by one UE are configured either by the other UE or by the gNB. </w:t>
      </w:r>
    </w:p>
    <w:p w14:paraId="20FAFC79" w14:textId="70672406" w:rsidR="00E836C0" w:rsidRDefault="00E836C0" w:rsidP="00E836C0">
      <w:pPr>
        <w:jc w:val="both"/>
        <w:rPr>
          <w:sz w:val="22"/>
          <w:szCs w:val="22"/>
          <w:lang w:val="en-US"/>
        </w:rPr>
      </w:pPr>
      <w:r w:rsidRPr="000D3E61">
        <w:rPr>
          <w:sz w:val="22"/>
          <w:szCs w:val="22"/>
          <w:lang w:val="en-US"/>
        </w:rPr>
        <w:t xml:space="preserve">Flexible symbols in this case can be used to switch between transmission and reception between the UEs. Alternatively, the flexible symbols can also be overridden so that they can be used for sidelink communication if needed or configured by the group lead UE and/or the gNB. </w:t>
      </w:r>
    </w:p>
    <w:p w14:paraId="6B3FC5FE" w14:textId="1D393176" w:rsidR="00B70EDF" w:rsidRPr="000D3E61" w:rsidRDefault="00B70EDF" w:rsidP="00B70EDF">
      <w:pPr>
        <w:jc w:val="center"/>
        <w:rPr>
          <w:sz w:val="22"/>
          <w:szCs w:val="22"/>
          <w:lang w:val="en-US"/>
        </w:rPr>
      </w:pPr>
      <w:r>
        <w:rPr>
          <w:noProof/>
          <w:sz w:val="22"/>
          <w:szCs w:val="22"/>
          <w:lang w:val="en-US"/>
        </w:rPr>
        <w:drawing>
          <wp:inline distT="0" distB="0" distL="0" distR="0" wp14:anchorId="362B4AC5" wp14:editId="492209CD">
            <wp:extent cx="5351228" cy="2944463"/>
            <wp:effectExtent l="0" t="0" r="1905"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lexSlot2.png"/>
                    <pic:cNvPicPr/>
                  </pic:nvPicPr>
                  <pic:blipFill>
                    <a:blip r:embed="rId22">
                      <a:extLst>
                        <a:ext uri="{28A0092B-C50C-407E-A947-70E740481C1C}">
                          <a14:useLocalDpi xmlns:a14="http://schemas.microsoft.com/office/drawing/2010/main" val="0"/>
                        </a:ext>
                      </a:extLst>
                    </a:blip>
                    <a:stretch>
                      <a:fillRect/>
                    </a:stretch>
                  </pic:blipFill>
                  <pic:spPr>
                    <a:xfrm>
                      <a:off x="0" y="0"/>
                      <a:ext cx="5389328" cy="2965427"/>
                    </a:xfrm>
                    <a:prstGeom prst="rect">
                      <a:avLst/>
                    </a:prstGeom>
                  </pic:spPr>
                </pic:pic>
              </a:graphicData>
            </a:graphic>
          </wp:inline>
        </w:drawing>
      </w:r>
    </w:p>
    <w:p w14:paraId="412F8CC9" w14:textId="76AF4683" w:rsidR="00E836C0" w:rsidRPr="000D3E61" w:rsidRDefault="00E836C0" w:rsidP="00E836C0">
      <w:pPr>
        <w:jc w:val="center"/>
        <w:rPr>
          <w:i/>
          <w:sz w:val="22"/>
          <w:szCs w:val="22"/>
          <w:lang w:val="en-US"/>
        </w:rPr>
      </w:pPr>
      <w:r w:rsidRPr="00B70EDF">
        <w:rPr>
          <w:b/>
          <w:i/>
          <w:sz w:val="22"/>
          <w:szCs w:val="22"/>
          <w:lang w:val="en-US"/>
        </w:rPr>
        <w:t xml:space="preserve">Figure </w:t>
      </w:r>
      <w:r w:rsidR="00B70EDF" w:rsidRPr="00B70EDF">
        <w:rPr>
          <w:b/>
          <w:i/>
          <w:sz w:val="22"/>
          <w:szCs w:val="22"/>
          <w:lang w:val="en-US"/>
        </w:rPr>
        <w:t>8</w:t>
      </w:r>
      <w:r w:rsidR="00B70EDF">
        <w:rPr>
          <w:b/>
          <w:i/>
          <w:sz w:val="22"/>
          <w:szCs w:val="22"/>
          <w:lang w:val="en-US"/>
        </w:rPr>
        <w:t xml:space="preserve">: </w:t>
      </w:r>
      <w:r w:rsidRPr="000D3E61">
        <w:rPr>
          <w:i/>
          <w:sz w:val="22"/>
          <w:szCs w:val="22"/>
          <w:lang w:val="en-US"/>
        </w:rPr>
        <w:t>Examples for Flexible Sidelink Slot Configurations for bidirectional communication</w:t>
      </w:r>
    </w:p>
    <w:p w14:paraId="5838D169" w14:textId="77777777" w:rsidR="00E836C0" w:rsidRPr="000D3E61" w:rsidRDefault="00E836C0" w:rsidP="00E836C0">
      <w:pPr>
        <w:jc w:val="both"/>
        <w:rPr>
          <w:sz w:val="22"/>
          <w:szCs w:val="22"/>
        </w:rPr>
      </w:pPr>
      <w:r w:rsidRPr="000D3E61">
        <w:rPr>
          <w:sz w:val="22"/>
          <w:szCs w:val="22"/>
          <w:lang w:val="en-US"/>
        </w:rPr>
        <w:t xml:space="preserve">For bi-directional communication, feedback information is one of the important features that need to be evaluated in this study item. For example, if UE1 is configuring a bi-directional communication with UE2, the selected slot configuration for UE2 can be used to convey sidelink feedback information. Since </w:t>
      </w:r>
      <w:r w:rsidRPr="000D3E61">
        <w:rPr>
          <w:sz w:val="22"/>
          <w:szCs w:val="22"/>
        </w:rPr>
        <w:t>other feedback information, including information regarding link adaptation, is still under discussion, it is important to study the possible number of feedback symbols to be used.</w:t>
      </w:r>
    </w:p>
    <w:p w14:paraId="16C6938C" w14:textId="4DECE13F" w:rsidR="00E836C0" w:rsidRDefault="00232972" w:rsidP="00E836C0">
      <w:pPr>
        <w:jc w:val="both"/>
        <w:rPr>
          <w:b/>
          <w:sz w:val="22"/>
          <w:szCs w:val="22"/>
        </w:rPr>
      </w:pPr>
      <w:r>
        <w:rPr>
          <w:b/>
          <w:sz w:val="22"/>
          <w:szCs w:val="22"/>
        </w:rPr>
        <w:t>Proposal 9</w:t>
      </w:r>
      <w:r w:rsidR="00E836C0" w:rsidRPr="00A370DD">
        <w:rPr>
          <w:b/>
          <w:sz w:val="22"/>
          <w:szCs w:val="22"/>
        </w:rPr>
        <w:t>: Study the mechanism in which sidelink feedback information can be conveyed using the NR flexible slot format for the NR sidelink physical structure.</w:t>
      </w:r>
    </w:p>
    <w:p w14:paraId="7CF7E754" w14:textId="77777777" w:rsidR="00E836C0" w:rsidRPr="009419FC" w:rsidRDefault="00E836C0" w:rsidP="00741BC0">
      <w:pPr>
        <w:jc w:val="both"/>
        <w:rPr>
          <w:b/>
          <w:sz w:val="22"/>
          <w:szCs w:val="22"/>
        </w:rPr>
      </w:pPr>
    </w:p>
    <w:p w14:paraId="4D728EFB" w14:textId="77777777" w:rsidR="00741BC0" w:rsidRDefault="00741BC0" w:rsidP="00741BC0">
      <w:pPr>
        <w:pStyle w:val="Heading1"/>
        <w:rPr>
          <w:lang w:val="en-US"/>
        </w:rPr>
      </w:pPr>
      <w:bookmarkStart w:id="4" w:name="OLE_LINK13"/>
      <w:bookmarkStart w:id="5" w:name="OLE_LINK14"/>
      <w:bookmarkEnd w:id="1"/>
      <w:bookmarkEnd w:id="2"/>
      <w:r>
        <w:rPr>
          <w:lang w:val="en-US"/>
        </w:rPr>
        <w:t>Conclusion</w:t>
      </w:r>
    </w:p>
    <w:p w14:paraId="3EE40AA0" w14:textId="77777777" w:rsidR="00741BC0" w:rsidRDefault="00741BC0" w:rsidP="00741BC0">
      <w:pPr>
        <w:jc w:val="both"/>
        <w:rPr>
          <w:sz w:val="22"/>
          <w:szCs w:val="22"/>
          <w:lang w:val="en-US"/>
        </w:rPr>
      </w:pPr>
      <w:r>
        <w:rPr>
          <w:sz w:val="22"/>
          <w:szCs w:val="22"/>
          <w:lang w:val="en-US"/>
        </w:rPr>
        <w:t>Based on our analysis carried out in this contribution, we have the following observations:</w:t>
      </w:r>
    </w:p>
    <w:p w14:paraId="693FCEB6" w14:textId="77777777" w:rsidR="00232972" w:rsidRDefault="00232972" w:rsidP="00232972">
      <w:pPr>
        <w:pStyle w:val="3GPPNormalText"/>
        <w:rPr>
          <w:b/>
        </w:rPr>
      </w:pPr>
      <w:r w:rsidRPr="00E6311E">
        <w:rPr>
          <w:b/>
        </w:rPr>
        <w:t xml:space="preserve">Observation 1: </w:t>
      </w:r>
      <w:r>
        <w:rPr>
          <w:b/>
        </w:rPr>
        <w:t>The current working assumption in NR V2X restricts the use of multiple numerologies in a single carrier, thereby possibly not being able to meet the most stringent performance requirements.</w:t>
      </w:r>
    </w:p>
    <w:p w14:paraId="4FEA0D42" w14:textId="77777777" w:rsidR="00232972" w:rsidRDefault="00232972" w:rsidP="00232972">
      <w:pPr>
        <w:pStyle w:val="3GPPNormalText"/>
        <w:rPr>
          <w:b/>
        </w:rPr>
      </w:pPr>
      <w:r w:rsidRPr="00E6311E">
        <w:rPr>
          <w:b/>
        </w:rPr>
        <w:t>O</w:t>
      </w:r>
      <w:r>
        <w:rPr>
          <w:b/>
        </w:rPr>
        <w:t>bservation 2</w:t>
      </w:r>
      <w:r w:rsidRPr="00E6311E">
        <w:rPr>
          <w:b/>
        </w:rPr>
        <w:t xml:space="preserve">: </w:t>
      </w:r>
      <w:r>
        <w:rPr>
          <w:b/>
        </w:rPr>
        <w:t>Switching between BWPs of different numerologies could result in additional delays due to the AGC switching and retuning.</w:t>
      </w:r>
    </w:p>
    <w:p w14:paraId="610B8174" w14:textId="4DE6C332" w:rsidR="00232972" w:rsidRPr="001F2E33" w:rsidRDefault="00232972" w:rsidP="00232972">
      <w:pPr>
        <w:pStyle w:val="3GPPNormalText"/>
        <w:rPr>
          <w:b/>
        </w:rPr>
      </w:pPr>
      <w:r w:rsidRPr="001F2E33">
        <w:rPr>
          <w:b/>
        </w:rPr>
        <w:lastRenderedPageBreak/>
        <w:t>Observation 3: Having only a single active BWP would restrict UEs from list</w:t>
      </w:r>
      <w:r w:rsidR="006A70B4">
        <w:rPr>
          <w:b/>
        </w:rPr>
        <w:t>en</w:t>
      </w:r>
      <w:r w:rsidRPr="001F2E33">
        <w:rPr>
          <w:b/>
        </w:rPr>
        <w:t>ing to other/neighboring UEs operating in other BWPs.</w:t>
      </w:r>
    </w:p>
    <w:p w14:paraId="11722F3D" w14:textId="38A7735B" w:rsidR="00232972" w:rsidRDefault="00232972" w:rsidP="00232972">
      <w:pPr>
        <w:pStyle w:val="3GPPNormalText"/>
        <w:rPr>
          <w:b/>
        </w:rPr>
      </w:pPr>
      <w:r w:rsidRPr="00E6311E">
        <w:rPr>
          <w:b/>
        </w:rPr>
        <w:t>O</w:t>
      </w:r>
      <w:r>
        <w:rPr>
          <w:b/>
        </w:rPr>
        <w:t>bservation 4</w:t>
      </w:r>
      <w:r w:rsidRPr="00E6311E">
        <w:rPr>
          <w:b/>
        </w:rPr>
        <w:t xml:space="preserve">: </w:t>
      </w:r>
      <w:r>
        <w:rPr>
          <w:b/>
        </w:rPr>
        <w:t xml:space="preserve">The configuration of resource pools within a BWP can </w:t>
      </w:r>
      <w:r w:rsidR="006A70B4">
        <w:rPr>
          <w:b/>
        </w:rPr>
        <w:t xml:space="preserve">be </w:t>
      </w:r>
      <w:r>
        <w:rPr>
          <w:b/>
        </w:rPr>
        <w:t>provided via RRC configurations of the BWP, or by the gNB.</w:t>
      </w:r>
    </w:p>
    <w:p w14:paraId="19656ECB" w14:textId="77777777" w:rsidR="00180185" w:rsidRPr="0020412E" w:rsidRDefault="00180185" w:rsidP="00180185">
      <w:pPr>
        <w:jc w:val="both"/>
        <w:rPr>
          <w:sz w:val="22"/>
          <w:szCs w:val="22"/>
          <w:lang w:val="en-US"/>
        </w:rPr>
      </w:pPr>
      <w:r w:rsidRPr="00553068">
        <w:rPr>
          <w:sz w:val="22"/>
          <w:szCs w:val="22"/>
          <w:lang w:val="en-US"/>
        </w:rPr>
        <w:t>Based on these observations, we propose the following:</w:t>
      </w:r>
    </w:p>
    <w:bookmarkEnd w:id="4"/>
    <w:bookmarkEnd w:id="5"/>
    <w:p w14:paraId="0C195A20" w14:textId="77777777" w:rsidR="00762220" w:rsidRPr="00007D00" w:rsidRDefault="00762220" w:rsidP="00762220">
      <w:pPr>
        <w:jc w:val="both"/>
        <w:rPr>
          <w:b/>
          <w:sz w:val="22"/>
          <w:szCs w:val="22"/>
        </w:rPr>
      </w:pPr>
      <w:r w:rsidRPr="001F2E33">
        <w:rPr>
          <w:b/>
          <w:sz w:val="22"/>
          <w:szCs w:val="22"/>
        </w:rPr>
        <w:t>Proposal 1: Defining a single BWP for a given carrier restricts the use of multiple numerologies in NR V2X, and the pros and cons of this decision have to be further studied in order to justify the restriction.</w:t>
      </w:r>
    </w:p>
    <w:p w14:paraId="43A33718" w14:textId="77777777" w:rsidR="00762220" w:rsidRDefault="00762220" w:rsidP="00762220">
      <w:pPr>
        <w:jc w:val="both"/>
        <w:rPr>
          <w:b/>
          <w:sz w:val="22"/>
          <w:szCs w:val="22"/>
        </w:rPr>
      </w:pPr>
      <w:r w:rsidRPr="008F7F19">
        <w:rPr>
          <w:b/>
          <w:sz w:val="22"/>
          <w:szCs w:val="22"/>
        </w:rPr>
        <w:t>Proposal</w:t>
      </w:r>
      <w:r>
        <w:rPr>
          <w:b/>
          <w:sz w:val="22"/>
          <w:szCs w:val="22"/>
        </w:rPr>
        <w:t xml:space="preserve"> 2</w:t>
      </w:r>
      <w:r w:rsidRPr="008F7F19">
        <w:rPr>
          <w:b/>
          <w:sz w:val="22"/>
          <w:szCs w:val="22"/>
        </w:rPr>
        <w:t>:</w:t>
      </w:r>
      <w:r>
        <w:rPr>
          <w:b/>
          <w:sz w:val="22"/>
          <w:szCs w:val="22"/>
        </w:rPr>
        <w:t xml:space="preserve"> We propose to study the configuration of resource pools based on different defined criteria.</w:t>
      </w:r>
    </w:p>
    <w:p w14:paraId="678579C5" w14:textId="77777777" w:rsidR="00762220" w:rsidRPr="00D13CFB" w:rsidRDefault="00762220" w:rsidP="00762220">
      <w:pPr>
        <w:jc w:val="both"/>
        <w:rPr>
          <w:b/>
          <w:sz w:val="22"/>
          <w:szCs w:val="22"/>
        </w:rPr>
      </w:pPr>
      <w:r w:rsidRPr="008F7F19">
        <w:rPr>
          <w:b/>
          <w:sz w:val="22"/>
          <w:szCs w:val="22"/>
        </w:rPr>
        <w:t>Proposal</w:t>
      </w:r>
      <w:r>
        <w:rPr>
          <w:b/>
          <w:sz w:val="22"/>
          <w:szCs w:val="22"/>
        </w:rPr>
        <w:t xml:space="preserve"> 3</w:t>
      </w:r>
      <w:r w:rsidRPr="008F7F19">
        <w:rPr>
          <w:b/>
          <w:sz w:val="22"/>
          <w:szCs w:val="22"/>
        </w:rPr>
        <w:t>:</w:t>
      </w:r>
      <w:r>
        <w:rPr>
          <w:b/>
          <w:sz w:val="22"/>
          <w:szCs w:val="22"/>
        </w:rPr>
        <w:t xml:space="preserve"> We propose to study the different designs of resource pools defined in a BWP, based on the different segregation criteria such as communication types, traffic types, operation modes, </w:t>
      </w:r>
      <w:proofErr w:type="spellStart"/>
      <w:r>
        <w:rPr>
          <w:b/>
          <w:sz w:val="22"/>
          <w:szCs w:val="22"/>
        </w:rPr>
        <w:t>QoS</w:t>
      </w:r>
      <w:proofErr w:type="spellEnd"/>
      <w:r>
        <w:rPr>
          <w:b/>
          <w:sz w:val="22"/>
          <w:szCs w:val="22"/>
        </w:rPr>
        <w:t xml:space="preserve"> requirements and UE location.</w:t>
      </w:r>
    </w:p>
    <w:p w14:paraId="069D638B" w14:textId="77777777" w:rsidR="00762220" w:rsidRDefault="00762220" w:rsidP="00762220">
      <w:pPr>
        <w:jc w:val="both"/>
        <w:rPr>
          <w:b/>
          <w:sz w:val="22"/>
          <w:szCs w:val="22"/>
          <w:lang w:val="en-US"/>
        </w:rPr>
      </w:pPr>
      <w:r>
        <w:rPr>
          <w:b/>
          <w:sz w:val="22"/>
          <w:szCs w:val="22"/>
          <w:lang w:val="en-US"/>
        </w:rPr>
        <w:t>Proposal 4</w:t>
      </w:r>
      <w:r w:rsidRPr="005454B7">
        <w:rPr>
          <w:b/>
          <w:sz w:val="22"/>
          <w:szCs w:val="22"/>
          <w:lang w:val="en-US"/>
        </w:rPr>
        <w:t xml:space="preserve">: </w:t>
      </w:r>
      <w:r>
        <w:rPr>
          <w:b/>
          <w:sz w:val="22"/>
          <w:szCs w:val="22"/>
          <w:lang w:val="en-US"/>
        </w:rPr>
        <w:t xml:space="preserve">We propose to study further the configuration of a common control channel, which is </w:t>
      </w:r>
      <w:proofErr w:type="spellStart"/>
      <w:r>
        <w:rPr>
          <w:b/>
          <w:sz w:val="22"/>
          <w:szCs w:val="22"/>
          <w:lang w:val="en-US"/>
        </w:rPr>
        <w:t>TDMed</w:t>
      </w:r>
      <w:proofErr w:type="spellEnd"/>
      <w:r>
        <w:rPr>
          <w:b/>
          <w:sz w:val="22"/>
          <w:szCs w:val="22"/>
          <w:lang w:val="en-US"/>
        </w:rPr>
        <w:t xml:space="preserve"> with the PSCCH.</w:t>
      </w:r>
    </w:p>
    <w:p w14:paraId="5F009154" w14:textId="77777777" w:rsidR="00762220" w:rsidRDefault="00762220" w:rsidP="00762220">
      <w:pPr>
        <w:jc w:val="both"/>
        <w:rPr>
          <w:b/>
          <w:sz w:val="22"/>
          <w:szCs w:val="22"/>
        </w:rPr>
      </w:pPr>
      <w:r>
        <w:rPr>
          <w:b/>
          <w:sz w:val="22"/>
          <w:szCs w:val="22"/>
        </w:rPr>
        <w:t>Proposal 5: Study further the impact of collisions in resource allocation between Mode 1 and Mode 2 UEs.</w:t>
      </w:r>
    </w:p>
    <w:p w14:paraId="33D42872" w14:textId="77777777" w:rsidR="00762220" w:rsidRDefault="00762220" w:rsidP="00762220">
      <w:pPr>
        <w:jc w:val="both"/>
        <w:rPr>
          <w:b/>
          <w:sz w:val="22"/>
          <w:szCs w:val="22"/>
        </w:rPr>
      </w:pPr>
      <w:r>
        <w:rPr>
          <w:b/>
          <w:sz w:val="22"/>
          <w:szCs w:val="22"/>
        </w:rPr>
        <w:t>Proposal 6: We suggest that the in- and out-of-coverage dual control design be the baseline for further study.</w:t>
      </w:r>
    </w:p>
    <w:p w14:paraId="6D206A96" w14:textId="77777777" w:rsidR="00762220" w:rsidRPr="000D3E61" w:rsidRDefault="00762220" w:rsidP="00762220">
      <w:pPr>
        <w:jc w:val="both"/>
        <w:rPr>
          <w:b/>
          <w:sz w:val="22"/>
          <w:szCs w:val="22"/>
        </w:rPr>
      </w:pPr>
      <w:r>
        <w:rPr>
          <w:b/>
          <w:sz w:val="22"/>
          <w:szCs w:val="22"/>
        </w:rPr>
        <w:t>Proposal 7</w:t>
      </w:r>
      <w:r w:rsidRPr="000D3E61">
        <w:rPr>
          <w:b/>
          <w:sz w:val="22"/>
          <w:szCs w:val="22"/>
        </w:rPr>
        <w:t>: Adopt the NR flexible slot format for NR sidelink physical structure in a dedicated NR sidelink carrier.</w:t>
      </w:r>
    </w:p>
    <w:p w14:paraId="0FA60025" w14:textId="77777777" w:rsidR="00762220" w:rsidRPr="000D3E61" w:rsidRDefault="00762220" w:rsidP="00762220">
      <w:pPr>
        <w:rPr>
          <w:b/>
          <w:sz w:val="22"/>
          <w:szCs w:val="22"/>
        </w:rPr>
      </w:pPr>
      <w:r w:rsidRPr="000D3E61">
        <w:rPr>
          <w:b/>
          <w:sz w:val="22"/>
          <w:szCs w:val="22"/>
        </w:rPr>
        <w:t xml:space="preserve">Proposal </w:t>
      </w:r>
      <w:r>
        <w:rPr>
          <w:b/>
          <w:sz w:val="22"/>
          <w:szCs w:val="22"/>
        </w:rPr>
        <w:t>8</w:t>
      </w:r>
      <w:r w:rsidRPr="000D3E61">
        <w:rPr>
          <w:b/>
          <w:sz w:val="22"/>
          <w:szCs w:val="22"/>
        </w:rPr>
        <w:t>: Study dedicated slot format indication for OFDM symbols/slots in a dedicated sidelink carrier and related flexible slot formats.</w:t>
      </w:r>
    </w:p>
    <w:p w14:paraId="6E604476" w14:textId="3EB18BD7" w:rsidR="00762220" w:rsidRDefault="00762220" w:rsidP="00762220">
      <w:pPr>
        <w:jc w:val="both"/>
        <w:rPr>
          <w:b/>
          <w:sz w:val="22"/>
          <w:szCs w:val="22"/>
        </w:rPr>
      </w:pPr>
      <w:r>
        <w:rPr>
          <w:b/>
          <w:sz w:val="22"/>
          <w:szCs w:val="22"/>
        </w:rPr>
        <w:t>Proposal 9</w:t>
      </w:r>
      <w:r w:rsidRPr="00A370DD">
        <w:rPr>
          <w:b/>
          <w:sz w:val="22"/>
          <w:szCs w:val="22"/>
        </w:rPr>
        <w:t>: Study the mechanism in which sidelink feedback information can be conveyed using the NR flexible slot format for the NR sidelink physical structure.</w:t>
      </w:r>
    </w:p>
    <w:p w14:paraId="3C4E9E0F" w14:textId="77777777" w:rsidR="00762220" w:rsidRDefault="00762220" w:rsidP="00762220">
      <w:pPr>
        <w:jc w:val="both"/>
        <w:rPr>
          <w:b/>
          <w:sz w:val="22"/>
          <w:szCs w:val="22"/>
        </w:rPr>
      </w:pPr>
    </w:p>
    <w:p w14:paraId="0758071C" w14:textId="77777777" w:rsidR="00741BC0" w:rsidRPr="007564C3" w:rsidRDefault="00741BC0" w:rsidP="00741BC0">
      <w:pPr>
        <w:pStyle w:val="Heading1"/>
        <w:rPr>
          <w:rFonts w:cs="Arial"/>
        </w:rPr>
      </w:pPr>
      <w:r w:rsidRPr="00707A9A">
        <w:rPr>
          <w:lang w:val="en-US"/>
        </w:rPr>
        <w:t>References</w:t>
      </w:r>
    </w:p>
    <w:p w14:paraId="571573DE" w14:textId="77777777" w:rsidR="00741BC0" w:rsidRPr="00B93C09" w:rsidRDefault="00741BC0" w:rsidP="00741BC0">
      <w:pPr>
        <w:widowControl w:val="0"/>
        <w:numPr>
          <w:ilvl w:val="0"/>
          <w:numId w:val="2"/>
        </w:numPr>
        <w:overflowPunct/>
        <w:autoSpaceDE/>
        <w:adjustRightInd/>
        <w:spacing w:after="120"/>
        <w:jc w:val="both"/>
        <w:textAlignment w:val="auto"/>
        <w:rPr>
          <w:iCs/>
          <w:lang w:val="en-US"/>
        </w:rPr>
      </w:pPr>
      <w:r>
        <w:rPr>
          <w:rFonts w:cs="Arial"/>
        </w:rPr>
        <w:t>RP-181429</w:t>
      </w:r>
      <w:r w:rsidRPr="009A254C">
        <w:rPr>
          <w:rFonts w:cs="Arial"/>
        </w:rPr>
        <w:t xml:space="preserve">, </w:t>
      </w:r>
      <w:r>
        <w:rPr>
          <w:rFonts w:cs="Arial"/>
        </w:rPr>
        <w:t>“</w:t>
      </w:r>
      <w:r w:rsidRPr="00B70C4B">
        <w:rPr>
          <w:rFonts w:cs="Arial"/>
        </w:rPr>
        <w:t>New SID: Study on NR V2X</w:t>
      </w:r>
      <w:r>
        <w:rPr>
          <w:rFonts w:cs="Arial"/>
        </w:rPr>
        <w:t xml:space="preserve">”, Vodafone, 3GPP </w:t>
      </w:r>
      <w:r w:rsidRPr="007833B8">
        <w:rPr>
          <w:rFonts w:cs="Arial"/>
        </w:rPr>
        <w:t>RAN#</w:t>
      </w:r>
      <w:r>
        <w:rPr>
          <w:rFonts w:cs="Arial"/>
        </w:rPr>
        <w:t>80</w:t>
      </w:r>
      <w:r w:rsidRPr="007833B8">
        <w:rPr>
          <w:rFonts w:cs="Arial"/>
        </w:rPr>
        <w:t>, June 20</w:t>
      </w:r>
      <w:r>
        <w:rPr>
          <w:rFonts w:cs="Arial"/>
        </w:rPr>
        <w:t>18</w:t>
      </w:r>
      <w:r w:rsidRPr="007833B8">
        <w:rPr>
          <w:rFonts w:cs="Arial"/>
        </w:rPr>
        <w:t>.</w:t>
      </w:r>
    </w:p>
    <w:p w14:paraId="6D0AFC6A" w14:textId="31304DF3" w:rsidR="00741BC0" w:rsidRDefault="00741BC0" w:rsidP="00741BC0">
      <w:pPr>
        <w:widowControl w:val="0"/>
        <w:numPr>
          <w:ilvl w:val="0"/>
          <w:numId w:val="2"/>
        </w:numPr>
        <w:overflowPunct/>
        <w:autoSpaceDE/>
        <w:adjustRightInd/>
        <w:spacing w:after="120"/>
        <w:jc w:val="both"/>
        <w:textAlignment w:val="auto"/>
        <w:rPr>
          <w:iCs/>
          <w:lang w:val="en-US"/>
        </w:rPr>
      </w:pPr>
      <w:r w:rsidRPr="00326891">
        <w:rPr>
          <w:iCs/>
          <w:lang w:val="en-US"/>
        </w:rPr>
        <w:t>Draf</w:t>
      </w:r>
      <w:r w:rsidR="00546128">
        <w:rPr>
          <w:iCs/>
          <w:lang w:val="en-US"/>
        </w:rPr>
        <w:t>t Report of 3GPP TSG RAN WG1 #95</w:t>
      </w:r>
      <w:r w:rsidRPr="00326891">
        <w:rPr>
          <w:iCs/>
          <w:lang w:val="en-US"/>
        </w:rPr>
        <w:t xml:space="preserve"> v0.1.0</w:t>
      </w:r>
      <w:r w:rsidR="00546128">
        <w:rPr>
          <w:iCs/>
          <w:lang w:val="en-US"/>
        </w:rPr>
        <w:t>, MCC Support, 3GPP RAN1#95</w:t>
      </w:r>
      <w:r>
        <w:rPr>
          <w:iCs/>
          <w:lang w:val="en-US"/>
        </w:rPr>
        <w:t xml:space="preserve">, </w:t>
      </w:r>
      <w:r w:rsidR="00546128">
        <w:rPr>
          <w:iCs/>
          <w:lang w:val="en-US"/>
        </w:rPr>
        <w:t>November</w:t>
      </w:r>
      <w:r>
        <w:rPr>
          <w:iCs/>
          <w:lang w:val="en-US"/>
        </w:rPr>
        <w:t xml:space="preserve"> 2018.</w:t>
      </w:r>
      <w:bookmarkEnd w:id="0"/>
    </w:p>
    <w:p w14:paraId="48A0D49E" w14:textId="196213A7" w:rsidR="00151D7E" w:rsidRPr="009B4585" w:rsidRDefault="00151D7E" w:rsidP="00151D7E">
      <w:pPr>
        <w:widowControl w:val="0"/>
        <w:numPr>
          <w:ilvl w:val="0"/>
          <w:numId w:val="2"/>
        </w:numPr>
        <w:overflowPunct/>
        <w:autoSpaceDE/>
        <w:adjustRightInd/>
        <w:spacing w:after="120"/>
        <w:jc w:val="both"/>
        <w:textAlignment w:val="auto"/>
        <w:rPr>
          <w:iCs/>
          <w:lang w:val="en-US"/>
        </w:rPr>
      </w:pPr>
      <w:r>
        <w:rPr>
          <w:rFonts w:cs="Arial"/>
        </w:rPr>
        <w:t>3GPP TR 22.886, “Study on enhancement of 3GPP Support for 5G V2X Services”, V16.0.0, 3GPP SA#80, June 2018.</w:t>
      </w:r>
    </w:p>
    <w:p w14:paraId="6612FFDB" w14:textId="77777777" w:rsidR="00151D7E" w:rsidRDefault="00151D7E" w:rsidP="00151D7E">
      <w:pPr>
        <w:widowControl w:val="0"/>
        <w:numPr>
          <w:ilvl w:val="0"/>
          <w:numId w:val="2"/>
        </w:numPr>
        <w:overflowPunct/>
        <w:autoSpaceDE/>
        <w:adjustRightInd/>
        <w:spacing w:after="120"/>
        <w:jc w:val="both"/>
        <w:textAlignment w:val="auto"/>
        <w:rPr>
          <w:iCs/>
          <w:lang w:val="en-US"/>
        </w:rPr>
      </w:pPr>
      <w:r>
        <w:rPr>
          <w:iCs/>
          <w:lang w:val="en-US"/>
        </w:rPr>
        <w:t>R1-1704179, “</w:t>
      </w:r>
      <w:r w:rsidRPr="00F23829">
        <w:rPr>
          <w:iCs/>
          <w:lang w:val="en-US"/>
        </w:rPr>
        <w:t>Reply LS on UE RF Bandwidth Adaptation in NR</w:t>
      </w:r>
      <w:r>
        <w:rPr>
          <w:iCs/>
          <w:lang w:val="en-US"/>
        </w:rPr>
        <w:t>”, 3GPP RAN1#82, April 2017.</w:t>
      </w:r>
    </w:p>
    <w:p w14:paraId="252B2165" w14:textId="70D3AD1F" w:rsidR="00151D7E" w:rsidRDefault="00151D7E" w:rsidP="00151D7E">
      <w:pPr>
        <w:widowControl w:val="0"/>
        <w:numPr>
          <w:ilvl w:val="0"/>
          <w:numId w:val="2"/>
        </w:numPr>
        <w:overflowPunct/>
        <w:autoSpaceDE/>
        <w:adjustRightInd/>
        <w:spacing w:after="120"/>
        <w:jc w:val="both"/>
        <w:textAlignment w:val="auto"/>
        <w:rPr>
          <w:iCs/>
          <w:lang w:val="en-US"/>
        </w:rPr>
      </w:pPr>
      <w:r>
        <w:rPr>
          <w:iCs/>
          <w:lang w:val="en-US"/>
        </w:rPr>
        <w:t>R1-1812400, “</w:t>
      </w:r>
      <w:r w:rsidRPr="00151D7E">
        <w:rPr>
          <w:iCs/>
          <w:lang w:val="en-US"/>
        </w:rPr>
        <w:t>Analysis and Design of V2X Resource Entities</w:t>
      </w:r>
      <w:r>
        <w:rPr>
          <w:iCs/>
          <w:lang w:val="en-US"/>
        </w:rPr>
        <w:t xml:space="preserve">”, Fraunhofer HHI, Fraunhofer IIS, </w:t>
      </w:r>
      <w:r w:rsidRPr="002634BE">
        <w:rPr>
          <w:iCs/>
          <w:lang w:val="en-US"/>
        </w:rPr>
        <w:t>3GPP RAN1#9</w:t>
      </w:r>
      <w:r>
        <w:rPr>
          <w:iCs/>
          <w:lang w:val="en-US"/>
        </w:rPr>
        <w:t>5</w:t>
      </w:r>
      <w:r w:rsidRPr="002634BE">
        <w:rPr>
          <w:iCs/>
          <w:lang w:val="en-US"/>
        </w:rPr>
        <w:t xml:space="preserve">, </w:t>
      </w:r>
      <w:r>
        <w:rPr>
          <w:iCs/>
          <w:lang w:val="en-US"/>
        </w:rPr>
        <w:t>November</w:t>
      </w:r>
      <w:r w:rsidRPr="002634BE">
        <w:rPr>
          <w:iCs/>
          <w:lang w:val="en-US"/>
        </w:rPr>
        <w:t xml:space="preserve"> 2018.</w:t>
      </w:r>
    </w:p>
    <w:p w14:paraId="399F3DFA" w14:textId="3524026B" w:rsidR="006A691E" w:rsidRDefault="006A691E" w:rsidP="006A691E">
      <w:pPr>
        <w:widowControl w:val="0"/>
        <w:numPr>
          <w:ilvl w:val="0"/>
          <w:numId w:val="2"/>
        </w:numPr>
        <w:overflowPunct/>
        <w:autoSpaceDE/>
        <w:adjustRightInd/>
        <w:spacing w:after="120"/>
        <w:jc w:val="both"/>
        <w:textAlignment w:val="auto"/>
        <w:rPr>
          <w:iCs/>
          <w:lang w:val="en-US"/>
        </w:rPr>
      </w:pPr>
      <w:r>
        <w:rPr>
          <w:iCs/>
          <w:lang w:val="en-US"/>
        </w:rPr>
        <w:t>R1-1900358</w:t>
      </w:r>
      <w:r w:rsidRPr="00DE703C">
        <w:rPr>
          <w:iCs/>
          <w:lang w:val="en-US"/>
        </w:rPr>
        <w:t>, “</w:t>
      </w:r>
      <w:proofErr w:type="spellStart"/>
      <w:r w:rsidRPr="006A691E">
        <w:rPr>
          <w:iCs/>
          <w:lang w:val="en-US"/>
        </w:rPr>
        <w:t>QoS</w:t>
      </w:r>
      <w:proofErr w:type="spellEnd"/>
      <w:r w:rsidRPr="006A691E">
        <w:rPr>
          <w:iCs/>
          <w:lang w:val="en-US"/>
        </w:rPr>
        <w:t xml:space="preserve"> Management for NR V2X</w:t>
      </w:r>
      <w:r w:rsidRPr="00DE703C">
        <w:rPr>
          <w:iCs/>
          <w:lang w:val="en-US"/>
        </w:rPr>
        <w:t>”, Fraunhofer HHI, Fraunhofer IIS, 3GPP RAN1</w:t>
      </w:r>
      <w:r>
        <w:rPr>
          <w:iCs/>
          <w:lang w:val="en-US"/>
        </w:rPr>
        <w:t xml:space="preserve"> AH1901</w:t>
      </w:r>
      <w:r w:rsidRPr="00DE703C">
        <w:rPr>
          <w:iCs/>
          <w:lang w:val="en-US"/>
        </w:rPr>
        <w:t xml:space="preserve">, </w:t>
      </w:r>
      <w:r>
        <w:rPr>
          <w:iCs/>
          <w:lang w:val="en-US"/>
        </w:rPr>
        <w:t>January 2019</w:t>
      </w:r>
      <w:r w:rsidRPr="00DE703C">
        <w:rPr>
          <w:iCs/>
          <w:lang w:val="en-US"/>
        </w:rPr>
        <w:t>.</w:t>
      </w:r>
    </w:p>
    <w:p w14:paraId="6690B5BB" w14:textId="28F570C3" w:rsidR="006A691E" w:rsidRDefault="006A691E" w:rsidP="006A691E">
      <w:pPr>
        <w:widowControl w:val="0"/>
        <w:numPr>
          <w:ilvl w:val="0"/>
          <w:numId w:val="2"/>
        </w:numPr>
        <w:overflowPunct/>
        <w:autoSpaceDE/>
        <w:adjustRightInd/>
        <w:spacing w:after="120"/>
        <w:jc w:val="both"/>
        <w:textAlignment w:val="auto"/>
        <w:rPr>
          <w:iCs/>
          <w:lang w:val="en-US"/>
        </w:rPr>
      </w:pPr>
      <w:r>
        <w:rPr>
          <w:iCs/>
          <w:lang w:val="en-US"/>
        </w:rPr>
        <w:t>R1-1900356</w:t>
      </w:r>
      <w:r w:rsidRPr="00DE703C">
        <w:rPr>
          <w:iCs/>
          <w:lang w:val="en-US"/>
        </w:rPr>
        <w:t>, “</w:t>
      </w:r>
      <w:r w:rsidRPr="006A691E">
        <w:rPr>
          <w:iCs/>
          <w:lang w:val="en-US"/>
        </w:rPr>
        <w:t>Designs for NR V2X Mode 2 Resource Allocation</w:t>
      </w:r>
      <w:r w:rsidRPr="00DE703C">
        <w:rPr>
          <w:iCs/>
          <w:lang w:val="en-US"/>
        </w:rPr>
        <w:t>”, Fraunhofer HHI, Fraunhofer IIS, 3GPP RAN1</w:t>
      </w:r>
      <w:r>
        <w:rPr>
          <w:iCs/>
          <w:lang w:val="en-US"/>
        </w:rPr>
        <w:t xml:space="preserve"> AH1901</w:t>
      </w:r>
      <w:r w:rsidRPr="00DE703C">
        <w:rPr>
          <w:iCs/>
          <w:lang w:val="en-US"/>
        </w:rPr>
        <w:t xml:space="preserve">, </w:t>
      </w:r>
      <w:r>
        <w:rPr>
          <w:iCs/>
          <w:lang w:val="en-US"/>
        </w:rPr>
        <w:t>January 2019</w:t>
      </w:r>
      <w:r w:rsidRPr="00DE703C">
        <w:rPr>
          <w:iCs/>
          <w:lang w:val="en-US"/>
        </w:rPr>
        <w:t>.</w:t>
      </w:r>
    </w:p>
    <w:p w14:paraId="3E23BB14" w14:textId="756CFA87" w:rsidR="006A691E" w:rsidRPr="006A691E" w:rsidRDefault="006A691E" w:rsidP="006A691E">
      <w:pPr>
        <w:widowControl w:val="0"/>
        <w:numPr>
          <w:ilvl w:val="0"/>
          <w:numId w:val="2"/>
        </w:numPr>
        <w:overflowPunct/>
        <w:autoSpaceDE/>
        <w:adjustRightInd/>
        <w:spacing w:after="120"/>
        <w:jc w:val="both"/>
        <w:textAlignment w:val="auto"/>
        <w:rPr>
          <w:iCs/>
          <w:lang w:val="en-US"/>
        </w:rPr>
      </w:pPr>
      <w:r>
        <w:rPr>
          <w:iCs/>
          <w:lang w:val="en-US"/>
        </w:rPr>
        <w:t>R1-1900357</w:t>
      </w:r>
      <w:r w:rsidRPr="00DE703C">
        <w:rPr>
          <w:iCs/>
          <w:lang w:val="en-US"/>
        </w:rPr>
        <w:t>, “</w:t>
      </w:r>
      <w:r w:rsidRPr="006A691E">
        <w:rPr>
          <w:iCs/>
          <w:lang w:val="en-US"/>
        </w:rPr>
        <w:t xml:space="preserve">NR V2X </w:t>
      </w:r>
      <w:proofErr w:type="spellStart"/>
      <w:r w:rsidRPr="006A691E">
        <w:rPr>
          <w:iCs/>
          <w:lang w:val="en-US"/>
        </w:rPr>
        <w:t>Uu</w:t>
      </w:r>
      <w:proofErr w:type="spellEnd"/>
      <w:r w:rsidRPr="006A691E">
        <w:rPr>
          <w:iCs/>
          <w:lang w:val="en-US"/>
        </w:rPr>
        <w:t>-based Resource Allocation</w:t>
      </w:r>
      <w:r w:rsidRPr="00DE703C">
        <w:rPr>
          <w:iCs/>
          <w:lang w:val="en-US"/>
        </w:rPr>
        <w:t>”, Fraunhofer HHI, Fraunhofer IIS, 3GPP RAN1</w:t>
      </w:r>
      <w:r>
        <w:rPr>
          <w:iCs/>
          <w:lang w:val="en-US"/>
        </w:rPr>
        <w:t xml:space="preserve"> AH1901</w:t>
      </w:r>
      <w:r w:rsidRPr="00DE703C">
        <w:rPr>
          <w:iCs/>
          <w:lang w:val="en-US"/>
        </w:rPr>
        <w:t xml:space="preserve">, </w:t>
      </w:r>
      <w:r>
        <w:rPr>
          <w:iCs/>
          <w:lang w:val="en-US"/>
        </w:rPr>
        <w:t>January 2019</w:t>
      </w:r>
      <w:r w:rsidRPr="00DE703C">
        <w:rPr>
          <w:iCs/>
          <w:lang w:val="en-US"/>
        </w:rPr>
        <w:t>.</w:t>
      </w:r>
    </w:p>
    <w:sectPr w:rsidR="006A691E" w:rsidRPr="006A691E" w:rsidSect="00D34639">
      <w:headerReference w:type="even" r:id="rId23"/>
      <w:footerReference w:type="even" r:id="rId24"/>
      <w:footerReference w:type="default" r:id="rId25"/>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F7A0E4" w16cid:durableId="1FDF0ACC"/>
  <w16cid:commentId w16cid:paraId="4BB6AFCF" w16cid:durableId="1FDEF668"/>
  <w16cid:commentId w16cid:paraId="70481A2C" w16cid:durableId="1FDEF937"/>
  <w16cid:commentId w16cid:paraId="42A687F8" w16cid:durableId="1FDF0ACF"/>
  <w16cid:commentId w16cid:paraId="3A8367C6" w16cid:durableId="1FDEF669"/>
  <w16cid:commentId w16cid:paraId="0835D29A" w16cid:durableId="1FDEF79B"/>
  <w16cid:commentId w16cid:paraId="5E30ED05" w16cid:durableId="1FDEF66A"/>
  <w16cid:commentId w16cid:paraId="4826D6D0" w16cid:durableId="1FDF0AD3"/>
  <w16cid:commentId w16cid:paraId="4DF1A32B" w16cid:durableId="1FDF0D9F"/>
  <w16cid:commentId w16cid:paraId="1601CDB5" w16cid:durableId="1FDEF6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201D7" w14:textId="77777777" w:rsidR="002B6638" w:rsidRDefault="002B6638">
      <w:r>
        <w:separator/>
      </w:r>
    </w:p>
  </w:endnote>
  <w:endnote w:type="continuationSeparator" w:id="0">
    <w:p w14:paraId="738967D5" w14:textId="77777777" w:rsidR="002B6638" w:rsidRDefault="002B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MS Mincho">
    <w:altName w:val="ＭＳ 明朝"/>
    <w:panose1 w:val="02020609040205080304"/>
    <w:charset w:val="80"/>
    <w:family w:val="modern"/>
    <w:notTrueType/>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7850F464"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A70B4">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A70B4">
      <w:rPr>
        <w:rStyle w:val="CharChar2"/>
        <w:b/>
        <w:i/>
        <w:noProof/>
        <w:sz w:val="18"/>
      </w:rPr>
      <w:t>10</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610D4" w14:textId="77777777" w:rsidR="002B6638" w:rsidRDefault="002B6638">
      <w:r>
        <w:separator/>
      </w:r>
    </w:p>
  </w:footnote>
  <w:footnote w:type="continuationSeparator" w:id="0">
    <w:p w14:paraId="04C3A9BB" w14:textId="77777777" w:rsidR="002B6638" w:rsidRDefault="002B6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B45BB"/>
    <w:multiLevelType w:val="hybridMultilevel"/>
    <w:tmpl w:val="D192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055956"/>
    <w:multiLevelType w:val="hybridMultilevel"/>
    <w:tmpl w:val="753A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B3B34"/>
    <w:multiLevelType w:val="hybridMultilevel"/>
    <w:tmpl w:val="D882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94050"/>
    <w:multiLevelType w:val="hybridMultilevel"/>
    <w:tmpl w:val="F4C0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038A1"/>
    <w:multiLevelType w:val="hybridMultilevel"/>
    <w:tmpl w:val="7D4A1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1442C4"/>
    <w:multiLevelType w:val="hybridMultilevel"/>
    <w:tmpl w:val="3D86B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342FAB"/>
    <w:multiLevelType w:val="hybridMultilevel"/>
    <w:tmpl w:val="D444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122D7"/>
    <w:multiLevelType w:val="hybridMultilevel"/>
    <w:tmpl w:val="54360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385540FD"/>
    <w:multiLevelType w:val="hybridMultilevel"/>
    <w:tmpl w:val="EF48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56EA4"/>
    <w:multiLevelType w:val="hybridMultilevel"/>
    <w:tmpl w:val="D5B62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9237C8"/>
    <w:multiLevelType w:val="hybridMultilevel"/>
    <w:tmpl w:val="66EE2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45B0844"/>
    <w:multiLevelType w:val="hybridMultilevel"/>
    <w:tmpl w:val="8B2C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947DCD"/>
    <w:multiLevelType w:val="hybridMultilevel"/>
    <w:tmpl w:val="E340D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64FD118C"/>
    <w:multiLevelType w:val="hybridMultilevel"/>
    <w:tmpl w:val="9AF05D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9C3D14"/>
    <w:multiLevelType w:val="hybridMultilevel"/>
    <w:tmpl w:val="D0722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99A6E17"/>
    <w:multiLevelType w:val="hybridMultilevel"/>
    <w:tmpl w:val="EF705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3"/>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22"/>
  </w:num>
  <w:num w:numId="8">
    <w:abstractNumId w:val="16"/>
  </w:num>
  <w:num w:numId="9">
    <w:abstractNumId w:val="10"/>
  </w:num>
  <w:num w:numId="10">
    <w:abstractNumId w:val="8"/>
  </w:num>
  <w:num w:numId="11">
    <w:abstractNumId w:val="25"/>
  </w:num>
  <w:num w:numId="12">
    <w:abstractNumId w:val="28"/>
  </w:num>
  <w:num w:numId="13">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7"/>
  </w:num>
  <w:num w:numId="16">
    <w:abstractNumId w:val="20"/>
  </w:num>
  <w:num w:numId="17">
    <w:abstractNumId w:val="19"/>
  </w:num>
  <w:num w:numId="18">
    <w:abstractNumId w:val="11"/>
  </w:num>
  <w:num w:numId="19">
    <w:abstractNumId w:val="32"/>
  </w:num>
  <w:num w:numId="20">
    <w:abstractNumId w:val="6"/>
  </w:num>
  <w:num w:numId="21">
    <w:abstractNumId w:val="23"/>
  </w:num>
  <w:num w:numId="22">
    <w:abstractNumId w:val="5"/>
  </w:num>
  <w:num w:numId="23">
    <w:abstractNumId w:val="18"/>
  </w:num>
  <w:num w:numId="24">
    <w:abstractNumId w:val="21"/>
  </w:num>
  <w:num w:numId="25">
    <w:abstractNumId w:val="3"/>
  </w:num>
  <w:num w:numId="26">
    <w:abstractNumId w:val="9"/>
  </w:num>
  <w:num w:numId="27">
    <w:abstractNumId w:val="24"/>
  </w:num>
  <w:num w:numId="28">
    <w:abstractNumId w:val="14"/>
  </w:num>
  <w:num w:numId="29">
    <w:abstractNumId w:val="31"/>
  </w:num>
  <w:num w:numId="30">
    <w:abstractNumId w:val="33"/>
  </w:num>
  <w:num w:numId="31">
    <w:abstractNumId w:val="15"/>
  </w:num>
  <w:num w:numId="32">
    <w:abstractNumId w:val="4"/>
  </w:num>
  <w:num w:numId="33">
    <w:abstractNumId w:val="7"/>
  </w:num>
  <w:num w:numId="34">
    <w:abstractNumId w:val="1"/>
  </w:num>
  <w:num w:numId="35">
    <w:abstractNumId w:val="17"/>
  </w:num>
  <w:num w:numId="36">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07D00"/>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34A"/>
    <w:rsid w:val="00015BCB"/>
    <w:rsid w:val="000162B2"/>
    <w:rsid w:val="0001633F"/>
    <w:rsid w:val="0001666A"/>
    <w:rsid w:val="00016678"/>
    <w:rsid w:val="00016DCE"/>
    <w:rsid w:val="0001729B"/>
    <w:rsid w:val="00017309"/>
    <w:rsid w:val="0001768E"/>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0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A9"/>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5AC"/>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F72"/>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72"/>
    <w:rsid w:val="00232E9D"/>
    <w:rsid w:val="00232FF5"/>
    <w:rsid w:val="00233301"/>
    <w:rsid w:val="0023361E"/>
    <w:rsid w:val="00233B04"/>
    <w:rsid w:val="00233BAD"/>
    <w:rsid w:val="00233EBA"/>
    <w:rsid w:val="002344C8"/>
    <w:rsid w:val="0023464A"/>
    <w:rsid w:val="002346FA"/>
    <w:rsid w:val="002349C5"/>
    <w:rsid w:val="00234ADF"/>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8CC"/>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080"/>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571"/>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D83"/>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87F51"/>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434"/>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CF4"/>
    <w:rsid w:val="00436EE0"/>
    <w:rsid w:val="00436FAD"/>
    <w:rsid w:val="00437027"/>
    <w:rsid w:val="00437064"/>
    <w:rsid w:val="004371AB"/>
    <w:rsid w:val="004375C1"/>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0"/>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89"/>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516"/>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652"/>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9F1"/>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2A6"/>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BE"/>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7B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AC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B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16A"/>
    <w:rsid w:val="006A64BD"/>
    <w:rsid w:val="006A6725"/>
    <w:rsid w:val="006A691E"/>
    <w:rsid w:val="006A6B69"/>
    <w:rsid w:val="006A6BA9"/>
    <w:rsid w:val="006A70B4"/>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D8F"/>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032"/>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6AD"/>
    <w:rsid w:val="007939C7"/>
    <w:rsid w:val="00793BDD"/>
    <w:rsid w:val="00793DED"/>
    <w:rsid w:val="00793F70"/>
    <w:rsid w:val="007946F8"/>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97F"/>
    <w:rsid w:val="007B6B8A"/>
    <w:rsid w:val="007B766D"/>
    <w:rsid w:val="007B7832"/>
    <w:rsid w:val="007B7A3B"/>
    <w:rsid w:val="007C0160"/>
    <w:rsid w:val="007C020C"/>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1B6"/>
    <w:rsid w:val="007D149C"/>
    <w:rsid w:val="007D1537"/>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44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918"/>
    <w:rsid w:val="008734E7"/>
    <w:rsid w:val="00873BF0"/>
    <w:rsid w:val="00873FD6"/>
    <w:rsid w:val="0087408D"/>
    <w:rsid w:val="00874446"/>
    <w:rsid w:val="00874D5F"/>
    <w:rsid w:val="00874E33"/>
    <w:rsid w:val="00874FAC"/>
    <w:rsid w:val="0087504C"/>
    <w:rsid w:val="00875244"/>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CA6"/>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7D0"/>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19"/>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EDF"/>
    <w:rsid w:val="00930305"/>
    <w:rsid w:val="0093063D"/>
    <w:rsid w:val="00930D6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803"/>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8B"/>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F5"/>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471"/>
    <w:rsid w:val="009E35F6"/>
    <w:rsid w:val="009E3790"/>
    <w:rsid w:val="009E3C27"/>
    <w:rsid w:val="009E457F"/>
    <w:rsid w:val="009E4637"/>
    <w:rsid w:val="009E5054"/>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296"/>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58A"/>
    <w:rsid w:val="00A35683"/>
    <w:rsid w:val="00A35735"/>
    <w:rsid w:val="00A35A0B"/>
    <w:rsid w:val="00A362CB"/>
    <w:rsid w:val="00A36694"/>
    <w:rsid w:val="00A36A6F"/>
    <w:rsid w:val="00A36AD0"/>
    <w:rsid w:val="00A36EE6"/>
    <w:rsid w:val="00A370DD"/>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4BCF"/>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B2F"/>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91E"/>
    <w:rsid w:val="00AF1B78"/>
    <w:rsid w:val="00AF22BA"/>
    <w:rsid w:val="00AF24DB"/>
    <w:rsid w:val="00AF28B0"/>
    <w:rsid w:val="00AF2BB4"/>
    <w:rsid w:val="00AF2DED"/>
    <w:rsid w:val="00AF304B"/>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356"/>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49"/>
    <w:rsid w:val="00B70C4B"/>
    <w:rsid w:val="00B70DC2"/>
    <w:rsid w:val="00B70EDB"/>
    <w:rsid w:val="00B70EDF"/>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CDC"/>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474"/>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4ED3"/>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2DF"/>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1B8B"/>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23B"/>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1266"/>
    <w:rsid w:val="00CD14CB"/>
    <w:rsid w:val="00CD1748"/>
    <w:rsid w:val="00CD179D"/>
    <w:rsid w:val="00CD1AF9"/>
    <w:rsid w:val="00CD1D72"/>
    <w:rsid w:val="00CD1E74"/>
    <w:rsid w:val="00CD223B"/>
    <w:rsid w:val="00CD2585"/>
    <w:rsid w:val="00CD25A6"/>
    <w:rsid w:val="00CD283A"/>
    <w:rsid w:val="00CD28F4"/>
    <w:rsid w:val="00CD309B"/>
    <w:rsid w:val="00CD3122"/>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8B9"/>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3CFB"/>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A4"/>
    <w:rsid w:val="00D26DBE"/>
    <w:rsid w:val="00D2728D"/>
    <w:rsid w:val="00D27F01"/>
    <w:rsid w:val="00D3074E"/>
    <w:rsid w:val="00D30C46"/>
    <w:rsid w:val="00D30D92"/>
    <w:rsid w:val="00D30E9D"/>
    <w:rsid w:val="00D30FC7"/>
    <w:rsid w:val="00D315CF"/>
    <w:rsid w:val="00D31B45"/>
    <w:rsid w:val="00D31B9F"/>
    <w:rsid w:val="00D31BBC"/>
    <w:rsid w:val="00D31BEA"/>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450"/>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8C"/>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61A"/>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D45"/>
    <w:rsid w:val="00DB7E8C"/>
    <w:rsid w:val="00DB7F53"/>
    <w:rsid w:val="00DC00A4"/>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13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37"/>
    <w:rsid w:val="00E46AD5"/>
    <w:rsid w:val="00E46CC9"/>
    <w:rsid w:val="00E46D03"/>
    <w:rsid w:val="00E47878"/>
    <w:rsid w:val="00E4789A"/>
    <w:rsid w:val="00E47B2D"/>
    <w:rsid w:val="00E47B8B"/>
    <w:rsid w:val="00E47D5F"/>
    <w:rsid w:val="00E47D96"/>
    <w:rsid w:val="00E50CEB"/>
    <w:rsid w:val="00E50D0C"/>
    <w:rsid w:val="00E50D6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368"/>
    <w:rsid w:val="00E55582"/>
    <w:rsid w:val="00E55B72"/>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B0C"/>
    <w:rsid w:val="00E70CBB"/>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26A"/>
    <w:rsid w:val="00E81430"/>
    <w:rsid w:val="00E81490"/>
    <w:rsid w:val="00E815AA"/>
    <w:rsid w:val="00E81F9F"/>
    <w:rsid w:val="00E81FE9"/>
    <w:rsid w:val="00E81FFC"/>
    <w:rsid w:val="00E826C8"/>
    <w:rsid w:val="00E828DA"/>
    <w:rsid w:val="00E82D10"/>
    <w:rsid w:val="00E83280"/>
    <w:rsid w:val="00E832C9"/>
    <w:rsid w:val="00E83469"/>
    <w:rsid w:val="00E836C0"/>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21A"/>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B28"/>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228"/>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51C"/>
    <w:rsid w:val="00FD794E"/>
    <w:rsid w:val="00FD7F6A"/>
    <w:rsid w:val="00FE04B6"/>
    <w:rsid w:val="00FE05E5"/>
    <w:rsid w:val="00FE0657"/>
    <w:rsid w:val="00FE0974"/>
    <w:rsid w:val="00FE0C87"/>
    <w:rsid w:val="00FE0F3D"/>
    <w:rsid w:val="00FE1B06"/>
    <w:rsid w:val="00FE1E95"/>
    <w:rsid w:val="00FE20AB"/>
    <w:rsid w:val="00FE22FE"/>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2D62"/>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9028E269-92E2-4310-ABDE-0FEDA6EFD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FC322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oter" Target="foot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18189A-0A65-4248-B33B-CD18665DFDA8}">
  <ds:schemaRefs>
    <ds:schemaRef ds:uri="http://schemas.openxmlformats.org/officeDocument/2006/bibliography"/>
  </ds:schemaRefs>
</ds:datastoreItem>
</file>

<file path=customXml/itemProps6.xml><?xml version="1.0" encoding="utf-8"?>
<ds:datastoreItem xmlns:ds="http://schemas.openxmlformats.org/officeDocument/2006/customXml" ds:itemID="{746FA510-5BD1-4639-ACBF-5DEB1B77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3416</Words>
  <Characters>17563</Characters>
  <Application>Microsoft Office Word</Application>
  <DocSecurity>0</DocSecurity>
  <Lines>146</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20938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4</cp:revision>
  <cp:lastPrinted>2017-11-16T14:00:00Z</cp:lastPrinted>
  <dcterms:created xsi:type="dcterms:W3CDTF">2019-01-11T09:55:00Z</dcterms:created>
  <dcterms:modified xsi:type="dcterms:W3CDTF">2019-01-11T15:14:00Z</dcterms:modified>
</cp:coreProperties>
</file>