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0C98E513" w:rsidR="00584ABE" w:rsidRPr="00C536F2" w:rsidRDefault="00E03DCD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>
        <w:t>3GPP TSG-RAN WG1 Ad-Hoc Meeting 1901</w:t>
      </w:r>
      <w:r w:rsidR="00B548DA" w:rsidRPr="00C536F2">
        <w:rPr>
          <w:rFonts w:ascii="Arial" w:hAnsi="Arial" w:cs="Arial"/>
        </w:rPr>
        <w:tab/>
      </w:r>
      <w:proofErr w:type="spellStart"/>
      <w:r w:rsidR="00783800">
        <w:rPr>
          <w:rFonts w:ascii="Arial" w:hAnsi="Arial" w:cs="Arial"/>
        </w:rPr>
        <w:t>R1</w:t>
      </w:r>
      <w:proofErr w:type="spellEnd"/>
      <w:r w:rsidR="008E1D88">
        <w:rPr>
          <w:rFonts w:ascii="Arial" w:hAnsi="Arial" w:cs="Arial"/>
        </w:rPr>
        <w:t>-</w:t>
      </w:r>
      <w:r w:rsidR="00086FD0">
        <w:rPr>
          <w:rFonts w:ascii="Arial" w:hAnsi="Arial" w:cs="Arial"/>
        </w:rPr>
        <w:t>1900259</w:t>
      </w:r>
      <w:bookmarkStart w:id="1" w:name="_GoBack"/>
      <w:bookmarkEnd w:id="1"/>
      <w:r w:rsidR="005A147F" w:rsidDel="005A147F">
        <w:rPr>
          <w:rFonts w:ascii="Arial" w:hAnsi="Arial" w:cs="Arial"/>
        </w:rPr>
        <w:t xml:space="preserve"> </w:t>
      </w:r>
    </w:p>
    <w:p w14:paraId="7A9879CD" w14:textId="159EDC48" w:rsidR="00584ABE" w:rsidRPr="007A3FE1" w:rsidRDefault="00E03DCD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Taipei, Taiwan</w:t>
      </w:r>
      <w:r w:rsidR="00F66DDF">
        <w:t xml:space="preserve">, </w:t>
      </w:r>
      <w:r>
        <w:t>January 21</w:t>
      </w:r>
      <w:r>
        <w:rPr>
          <w:vertAlign w:val="superscript"/>
        </w:rPr>
        <w:t>st</w:t>
      </w:r>
      <w:r>
        <w:t xml:space="preserve"> – 25</w:t>
      </w:r>
      <w:r w:rsidR="00BA52AA" w:rsidRPr="00BA52AA">
        <w:rPr>
          <w:vertAlign w:val="superscript"/>
        </w:rPr>
        <w:t>th</w:t>
      </w:r>
      <w:r>
        <w:t>, 2019</w:t>
      </w:r>
      <w:r w:rsidR="00F40C33">
        <w:rPr>
          <w:rFonts w:ascii="Arial" w:hAnsi="Arial" w:cs="Arial"/>
        </w:rPr>
        <w:tab/>
      </w:r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6B535E80" w:rsidR="00584ABE" w:rsidRPr="007A3FE1" w:rsidRDefault="00783800" w:rsidP="005923F4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  <w:t>7</w:t>
      </w:r>
      <w:r w:rsidR="00584ABE" w:rsidRPr="007A3FE1">
        <w:rPr>
          <w:rFonts w:ascii="Arial" w:hAnsi="Arial" w:cs="Arial"/>
          <w:sz w:val="22"/>
        </w:rPr>
        <w:t>.</w:t>
      </w:r>
      <w:r w:rsidR="00F66DDF">
        <w:rPr>
          <w:rFonts w:ascii="Arial" w:hAnsi="Arial" w:cs="Arial"/>
          <w:sz w:val="22"/>
        </w:rPr>
        <w:t>2.2.2</w:t>
      </w:r>
      <w:r w:rsidR="00E03DCD">
        <w:rPr>
          <w:rFonts w:ascii="Arial" w:hAnsi="Arial" w:cs="Arial"/>
          <w:sz w:val="22"/>
        </w:rPr>
        <w:t>.5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44027BCD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BA52AA">
        <w:rPr>
          <w:rFonts w:ascii="Arial" w:hAnsi="Arial" w:cs="Arial"/>
          <w:sz w:val="22"/>
        </w:rPr>
        <w:t>Wideband operation in NR unlicensed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A1265A4" w14:textId="366AB68F" w:rsidR="00327044" w:rsidRDefault="00E03DCD" w:rsidP="001F718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stu</w:t>
      </w:r>
      <w:r w:rsidR="00587BD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dy item on NR-based access to unlicensed spectrum has just completed, and the work item will be kicked off in this meeting. The following</w:t>
      </w:r>
      <w:r w:rsidR="0032704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have been </w:t>
      </w:r>
      <w:r w:rsidR="00587BD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concluded</w:t>
      </w:r>
      <w:r w:rsidR="0032704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related to wideband operation for NR-U</w:t>
      </w:r>
      <w:r w:rsidR="006B572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in the study item</w:t>
      </w:r>
      <w:r w:rsidR="00587BD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[1], </w:t>
      </w:r>
    </w:p>
    <w:p w14:paraId="0643A8C2" w14:textId="77777777" w:rsidR="00E03DCD" w:rsidRPr="00057276" w:rsidRDefault="00E03DCD" w:rsidP="00E03DCD">
      <w:pPr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  <w:r w:rsidRPr="00057276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For wideband operation for both DL and UL,</w:t>
      </w:r>
    </w:p>
    <w:p w14:paraId="6CADD07F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>Bandwidth larger than 20 MHz can be supported with multiple serving cells.</w:t>
      </w:r>
    </w:p>
    <w:p w14:paraId="632496EA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 xml:space="preserve">NR-U should support that a serving cell can be configured with bandwidth larger than 20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MHz.</w:t>
      </w:r>
      <w:proofErr w:type="spellEnd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</w:p>
    <w:p w14:paraId="0DBE75BD" w14:textId="77777777" w:rsidR="00E03DCD" w:rsidRPr="00057276" w:rsidRDefault="00E03DCD" w:rsidP="00E03DCD">
      <w:pPr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  <w:r w:rsidRPr="00057276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For DL operation, the following options for BWP-based operation within a carrier with bandwidth larger than 20 MHz can be considered.</w:t>
      </w:r>
    </w:p>
    <w:p w14:paraId="5EB78842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 xml:space="preserve">Option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1a</w:t>
      </w:r>
      <w:proofErr w:type="spellEnd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: Multiple BWPs configured, multiple BWPs activated, transmission of PDSCH on one or more BWPs</w:t>
      </w:r>
    </w:p>
    <w:p w14:paraId="41F33972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 xml:space="preserve">Option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1b</w:t>
      </w:r>
      <w:proofErr w:type="spellEnd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: Multiple BWPs configured, multiple BWPs activated, transmission of PDSCH on single BWP</w:t>
      </w:r>
    </w:p>
    <w:p w14:paraId="2AEFB2B7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 xml:space="preserve">Option 2: Multiple BWPs can be configured, single BWP activated,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gNB</w:t>
      </w:r>
      <w:proofErr w:type="spellEnd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transmits PDSCH on a single BWP if CCA is successful at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gNB</w:t>
      </w:r>
      <w:proofErr w:type="spellEnd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for the whole BWP</w:t>
      </w:r>
    </w:p>
    <w:p w14:paraId="48A7EA53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 xml:space="preserve">Option 3: Multiple BWPs can be configured, single BWP activated,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gNB</w:t>
      </w:r>
      <w:proofErr w:type="spellEnd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transmits PDSCH on parts or whole of single BWP where CCA is successful at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gNB</w:t>
      </w:r>
      <w:proofErr w:type="spellEnd"/>
    </w:p>
    <w:p w14:paraId="6CD555CE" w14:textId="77777777" w:rsidR="00E03DCD" w:rsidRPr="00057276" w:rsidRDefault="00E03DCD" w:rsidP="00E03DCD">
      <w:pPr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For UL operation, the following options for BWP-based operation within a carrier with bandwidth larger than 20 MHz can be considered.</w:t>
      </w:r>
    </w:p>
    <w:p w14:paraId="4F49B001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 xml:space="preserve">Option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1a</w:t>
      </w:r>
      <w:proofErr w:type="spellEnd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: Multiple BWPs configured, multiple BWPs activated, transmission of PUSCH on one or more BWPs</w:t>
      </w:r>
    </w:p>
    <w:p w14:paraId="58F1ED0E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 xml:space="preserve">Option </w:t>
      </w:r>
      <w:proofErr w:type="spellStart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1b</w:t>
      </w:r>
      <w:proofErr w:type="spellEnd"/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: Multiple BWPs configured, multiple BWPs activated, transmission of PUSCH on single BWP</w:t>
      </w:r>
    </w:p>
    <w:p w14:paraId="542011FE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>Option 2: Multiple BWPs can be configured, single BWP activated, UE transmits PUSCH on a single BWP if CCA is successful at UE for the whole BWP</w:t>
      </w:r>
    </w:p>
    <w:p w14:paraId="6D5F2A4B" w14:textId="77777777" w:rsidR="00E03DCD" w:rsidRPr="00057276" w:rsidRDefault="00E03DCD" w:rsidP="00E03DCD">
      <w:pPr>
        <w:pStyle w:val="B1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>-</w:t>
      </w:r>
      <w:r w:rsidRPr="00057276">
        <w:rPr>
          <w:rFonts w:ascii="Times New Roman" w:hAnsi="Times New Roman" w:cs="Times New Roman"/>
          <w:i/>
          <w:sz w:val="20"/>
          <w:szCs w:val="20"/>
          <w:lang w:val="en-US"/>
        </w:rPr>
        <w:tab/>
        <w:t>Option 3: Multiple BWPs can be configured, single BWP activated, UE transmits PUSCH on parts or whole of single BWP where CCA is successful at UE</w:t>
      </w:r>
    </w:p>
    <w:p w14:paraId="76E66419" w14:textId="77777777" w:rsidR="00E03DCD" w:rsidRPr="00057276" w:rsidRDefault="00E03DCD" w:rsidP="00E03DCD">
      <w:pPr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  <w:r w:rsidRPr="00057276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 xml:space="preserve">It is noted that CCA is declared to be successful or not in multiples of 20 </w:t>
      </w:r>
      <w:proofErr w:type="spellStart"/>
      <w:r w:rsidRPr="00057276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MHz.</w:t>
      </w:r>
      <w:proofErr w:type="spellEnd"/>
    </w:p>
    <w:p w14:paraId="6DDE2194" w14:textId="7F9AFFCD" w:rsidR="00A35130" w:rsidRPr="00057276" w:rsidRDefault="00E03DCD" w:rsidP="00E03DC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i/>
          <w:sz w:val="20"/>
          <w:szCs w:val="20"/>
          <w:lang w:eastAsia="en-US"/>
        </w:rPr>
      </w:pPr>
      <w:r w:rsidRPr="00057276">
        <w:rPr>
          <w:rFonts w:ascii="Times New Roman" w:eastAsia="Malgun Gothic" w:hAnsi="Times New Roman" w:cs="Times New Roman"/>
          <w:b w:val="0"/>
          <w:i/>
          <w:sz w:val="20"/>
          <w:szCs w:val="20"/>
          <w:lang w:eastAsia="ko-KR"/>
        </w:rPr>
        <w:t>Detailed design and potential selection from the above options can be further discussed when specifications are developed considering protocol and RF aspects.</w:t>
      </w:r>
    </w:p>
    <w:p w14:paraId="0B9B01C5" w14:textId="60F5E7C1" w:rsidR="006B5727" w:rsidRDefault="006B5727" w:rsidP="001F718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Due to limited time of study item and lack of RAN4 input, RAN1 has not been able to down-select among the above options</w:t>
      </w:r>
      <w:r w:rsidR="00D35F5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by the end of the last meeting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D35F5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However, a reply LS on wideband carrier operation for NR-U (</w:t>
      </w:r>
      <w:proofErr w:type="spellStart"/>
      <w:r w:rsidR="00D35F5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R4</w:t>
      </w:r>
      <w:proofErr w:type="spellEnd"/>
      <w:r w:rsidR="00D35F5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-1816658</w:t>
      </w:r>
      <w:r w:rsidR="00F64C5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, see </w:t>
      </w:r>
      <w:r w:rsidR="00F64C5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lastRenderedPageBreak/>
        <w:t>[2]</w:t>
      </w:r>
      <w:r w:rsidR="00D35F5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) from RAN4 becomes available after the last meeting. Therefore, in this contribution, we will provide our opinion on the above options taking into account the RAN4 reply LS.</w:t>
      </w:r>
    </w:p>
    <w:p w14:paraId="7392FC4E" w14:textId="77777777" w:rsidR="00A35130" w:rsidRPr="00633833" w:rsidRDefault="00A35130" w:rsidP="001F718F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bookmarkStart w:id="2" w:name="_Ref462918989"/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t>Discussion</w:t>
      </w:r>
      <w:bookmarkEnd w:id="3"/>
    </w:p>
    <w:p w14:paraId="4D79D5C9" w14:textId="69F73853" w:rsidR="00532331" w:rsidRDefault="00532331" w:rsidP="00532331">
      <w:pPr>
        <w:pStyle w:val="Heading4"/>
        <w:numPr>
          <w:ilvl w:val="0"/>
          <w:numId w:val="0"/>
        </w:numPr>
        <w:ind w:left="864" w:right="569" w:hanging="864"/>
        <w:rPr>
          <w:rFonts w:ascii="Times New Roman" w:hAnsi="Times New Roman" w:cs="Times New Roman"/>
          <w:sz w:val="20"/>
          <w:szCs w:val="20"/>
          <w:lang w:eastAsia="en-US"/>
        </w:rPr>
      </w:pPr>
      <w:r>
        <w:t>2.1 Background</w:t>
      </w:r>
    </w:p>
    <w:p w14:paraId="54D6FF1C" w14:textId="3F37746A" w:rsidR="00FD7F47" w:rsidRDefault="00FD7F47" w:rsidP="00FD7F47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FD7F47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RAN1#94bis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, RAN1 sent a LS [3] to RAN4 asking about whether new RF requirements are needed for the above mentioned options of wideband operation, and if so whether those requirements can be specified. After RAN4#89, the following LS is available and will </w:t>
      </w:r>
      <w:r w:rsidR="009A54C1">
        <w:rPr>
          <w:rFonts w:ascii="Times New Roman" w:hAnsi="Times New Roman" w:cs="Times New Roman"/>
          <w:sz w:val="20"/>
          <w:szCs w:val="20"/>
          <w:lang w:eastAsia="en-US"/>
        </w:rPr>
        <w:t xml:space="preserve">be </w:t>
      </w:r>
      <w:r>
        <w:rPr>
          <w:rFonts w:ascii="Times New Roman" w:hAnsi="Times New Roman" w:cs="Times New Roman"/>
          <w:sz w:val="20"/>
          <w:szCs w:val="20"/>
          <w:lang w:eastAsia="en-US"/>
        </w:rPr>
        <w:t>input to the RAN1 AH 1901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7F47" w14:paraId="2E602D9D" w14:textId="77777777" w:rsidTr="00FD7F47">
        <w:tc>
          <w:tcPr>
            <w:tcW w:w="9629" w:type="dxa"/>
          </w:tcPr>
          <w:p w14:paraId="6FCE66D0" w14:textId="77777777" w:rsidR="00FD7F47" w:rsidRPr="00FD7F47" w:rsidRDefault="00FD7F47" w:rsidP="00FD7F4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FD7F47">
              <w:rPr>
                <w:rFonts w:ascii="Times New Roman" w:eastAsia="SimSun" w:hAnsi="Times New Roman" w:cs="Times New Roman"/>
                <w:sz w:val="20"/>
                <w:szCs w:val="20"/>
              </w:rPr>
              <w:t>RAN4 would like to thank RAN1 for the LS on wideband carrier operation in NR-U. RAN4 has discussed the issue and concludes the following:</w:t>
            </w:r>
          </w:p>
          <w:p w14:paraId="5C4B2FB9" w14:textId="77777777" w:rsidR="00FD7F47" w:rsidRPr="00FD7F47" w:rsidRDefault="00FD7F47" w:rsidP="00FD7F47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</w:rPr>
            </w:pPr>
          </w:p>
          <w:p w14:paraId="4B72B747" w14:textId="77777777" w:rsidR="00FD7F47" w:rsidRPr="00FD7F47" w:rsidRDefault="00FD7F47" w:rsidP="00FD7F47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SimSun" w:hAnsi="Arial" w:cs="Arial"/>
                <w:i/>
                <w:color w:val="0070C0"/>
                <w:sz w:val="20"/>
                <w:szCs w:val="20"/>
              </w:rPr>
            </w:pPr>
            <w:r w:rsidRPr="00FD7F47">
              <w:rPr>
                <w:rFonts w:ascii="Arial" w:eastAsia="SimSun" w:hAnsi="Arial" w:cs="Arial"/>
                <w:b/>
                <w:i/>
                <w:color w:val="0070C0"/>
                <w:sz w:val="20"/>
                <w:szCs w:val="20"/>
              </w:rPr>
              <w:t>Question 1</w:t>
            </w:r>
            <w:r w:rsidRPr="00FD7F47">
              <w:rPr>
                <w:rFonts w:ascii="Arial" w:eastAsia="SimSun" w:hAnsi="Arial" w:cs="Arial"/>
                <w:i/>
                <w:color w:val="0070C0"/>
                <w:sz w:val="20"/>
                <w:szCs w:val="20"/>
              </w:rPr>
              <w:t xml:space="preserve">: Will there be a need for RF requirements within a wideband carrier (&gt; 20 MHz) that spans multiple “LBT sub-bands?” Please consider transmit/receive requirements at both </w:t>
            </w:r>
            <w:proofErr w:type="spellStart"/>
            <w:r w:rsidRPr="00FD7F47">
              <w:rPr>
                <w:rFonts w:ascii="Arial" w:eastAsia="SimSun" w:hAnsi="Arial" w:cs="Arial"/>
                <w:i/>
                <w:color w:val="0070C0"/>
                <w:sz w:val="20"/>
                <w:szCs w:val="20"/>
              </w:rPr>
              <w:t>gNB</w:t>
            </w:r>
            <w:proofErr w:type="spellEnd"/>
            <w:r w:rsidRPr="00FD7F47">
              <w:rPr>
                <w:rFonts w:ascii="Arial" w:eastAsia="SimSun" w:hAnsi="Arial" w:cs="Arial"/>
                <w:i/>
                <w:color w:val="0070C0"/>
                <w:sz w:val="20"/>
                <w:szCs w:val="20"/>
              </w:rPr>
              <w:t xml:space="preserve"> and UE.</w:t>
            </w:r>
          </w:p>
          <w:p w14:paraId="0AEE0E4A" w14:textId="77777777" w:rsidR="00FD7F47" w:rsidRPr="00FD7F47" w:rsidRDefault="00FD7F47" w:rsidP="00FD7F47">
            <w:pPr>
              <w:spacing w:after="0" w:line="240" w:lineRule="auto"/>
              <w:rPr>
                <w:rFonts w:ascii="Arial" w:eastAsia="SimSun" w:hAnsi="Arial" w:cs="Arial"/>
                <w:i/>
                <w:color w:val="0070C0"/>
                <w:sz w:val="20"/>
                <w:szCs w:val="20"/>
              </w:rPr>
            </w:pPr>
          </w:p>
          <w:p w14:paraId="69A6EB25" w14:textId="77777777" w:rsidR="00FD7F47" w:rsidRPr="00FD7F47" w:rsidRDefault="00FD7F47" w:rsidP="00FD7F47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New RF requirements would be needed for transmission options as described in RAN1 LS, such as: </w:t>
            </w:r>
          </w:p>
          <w:p w14:paraId="4397E879" w14:textId="77777777" w:rsidR="00FD7F47" w:rsidRPr="00FD7F47" w:rsidRDefault="00FD7F47" w:rsidP="00FD7F47">
            <w:pPr>
              <w:numPr>
                <w:ilvl w:val="0"/>
                <w:numId w:val="49"/>
              </w:numPr>
              <w:spacing w:after="0" w:line="240" w:lineRule="auto"/>
              <w:ind w:left="1080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In-carrier leakage and blocking requirement: this will be required at the “gap(s)” where CCA fails.</w:t>
            </w:r>
          </w:p>
          <w:p w14:paraId="35BE315D" w14:textId="77777777" w:rsidR="00FD7F47" w:rsidRPr="00FD7F47" w:rsidRDefault="00FD7F47" w:rsidP="00FD7F47">
            <w:pPr>
              <w:numPr>
                <w:ilvl w:val="0"/>
                <w:numId w:val="49"/>
              </w:numPr>
              <w:spacing w:after="0" w:line="240" w:lineRule="auto"/>
              <w:ind w:left="1080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“Out-of-BWP” (however within the wideband carrier) leakage requirement: this may be required at the edges of BWP within the wideband carrier bandwidth.</w:t>
            </w:r>
          </w:p>
          <w:p w14:paraId="5C789A98" w14:textId="77777777" w:rsidR="00FD7F47" w:rsidRPr="00FD7F47" w:rsidRDefault="00FD7F47" w:rsidP="00FD7F47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  <w:p w14:paraId="19CFA2F2" w14:textId="77777777" w:rsidR="00FD7F47" w:rsidRPr="00FD7F47" w:rsidRDefault="00FD7F47" w:rsidP="00FD7F47">
            <w:pPr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RAN4 understands that there are potential challenges to define such requirements for some of the transmission options as shown in the LS (more than </w:t>
            </w:r>
            <w:proofErr w:type="spellStart"/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20MHz</w:t>
            </w:r>
            <w:proofErr w:type="spellEnd"/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transmission bandwidth when LBT fails in any “internal” LBT sub-band in the transmission bandwidth). However, for transmissions spanning multiple contiguous LBT sub-bands, requirements can be specified. RAN4 will study all these further in future meetings. </w:t>
            </w:r>
          </w:p>
          <w:p w14:paraId="4DAADCB4" w14:textId="77777777" w:rsidR="00FD7F47" w:rsidRPr="00FD7F47" w:rsidRDefault="00FD7F47" w:rsidP="00FD7F4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  <w:p w14:paraId="2EE1C779" w14:textId="77777777" w:rsidR="00FD7F47" w:rsidRPr="00FD7F47" w:rsidRDefault="00FD7F47" w:rsidP="00FD7F4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  <w:p w14:paraId="26AE3DE2" w14:textId="77777777" w:rsidR="00FD7F47" w:rsidRPr="00FD7F47" w:rsidRDefault="00FD7F47" w:rsidP="00FD7F47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SimSun" w:hAnsi="Arial" w:cs="Arial"/>
                <w:i/>
                <w:color w:val="0070C0"/>
                <w:sz w:val="20"/>
                <w:szCs w:val="20"/>
              </w:rPr>
            </w:pPr>
            <w:r w:rsidRPr="00FD7F47">
              <w:rPr>
                <w:rFonts w:ascii="Arial" w:eastAsia="SimSun" w:hAnsi="Arial" w:cs="Arial"/>
                <w:b/>
                <w:i/>
                <w:color w:val="0070C0"/>
                <w:sz w:val="20"/>
                <w:szCs w:val="20"/>
              </w:rPr>
              <w:t>Question 2</w:t>
            </w:r>
            <w:r w:rsidRPr="00FD7F47">
              <w:rPr>
                <w:rFonts w:ascii="Arial" w:eastAsia="SimSun" w:hAnsi="Arial" w:cs="Arial"/>
                <w:i/>
                <w:color w:val="0070C0"/>
                <w:sz w:val="20"/>
                <w:szCs w:val="20"/>
              </w:rPr>
              <w:t>: Will guard bands be needed at the edges of each “LBT sub-band”?</w:t>
            </w:r>
          </w:p>
          <w:p w14:paraId="0588C12D" w14:textId="77777777" w:rsidR="00FD7F47" w:rsidRPr="00FD7F47" w:rsidRDefault="00FD7F47" w:rsidP="00FD7F4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  <w:p w14:paraId="6A67860E" w14:textId="77777777" w:rsidR="00FD7F47" w:rsidRPr="00FD7F47" w:rsidRDefault="00FD7F47" w:rsidP="00FD7F47">
            <w:pPr>
              <w:spacing w:after="0" w:line="240" w:lineRule="auto"/>
              <w:ind w:left="360"/>
              <w:rPr>
                <w:rFonts w:ascii="Arial" w:eastAsia="SimSun" w:hAnsi="Arial" w:cs="Arial"/>
                <w:color w:val="0070C0"/>
                <w:sz w:val="20"/>
                <w:szCs w:val="20"/>
                <w:lang w:val="en-US"/>
              </w:rPr>
            </w:pPr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Guard bands may or may not be needed and this needs further investigations depending on RF requirements for UE and </w:t>
            </w:r>
            <w:proofErr w:type="spellStart"/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gNB</w:t>
            </w:r>
            <w:proofErr w:type="spellEnd"/>
            <w:r w:rsidRPr="00FD7F4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, etc. RAN4 would need to do further analysis on how to specify them. </w:t>
            </w:r>
          </w:p>
          <w:p w14:paraId="31E80DA4" w14:textId="77777777" w:rsidR="00FD7F47" w:rsidRPr="00FD7F47" w:rsidRDefault="00FD7F47" w:rsidP="00FD7F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A197483" w14:textId="7EDC8A8B" w:rsidR="00FD7F47" w:rsidRDefault="00FD7F47" w:rsidP="00FD7F47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6DBC018F" w14:textId="5FDE02B0" w:rsidR="000A2E8D" w:rsidRPr="00FD7F47" w:rsidRDefault="003F75E8" w:rsidP="00FD7F47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the following, we discuss the options taking into account the above RAN4 LS.</w:t>
      </w:r>
    </w:p>
    <w:p w14:paraId="5287144C" w14:textId="77777777" w:rsidR="00FD7F47" w:rsidRPr="008E0FF2" w:rsidRDefault="00FD7F47" w:rsidP="00F557B4">
      <w:pPr>
        <w:pStyle w:val="Heading4"/>
        <w:numPr>
          <w:ilvl w:val="0"/>
          <w:numId w:val="0"/>
        </w:numPr>
        <w:ind w:left="864" w:right="569" w:hanging="864"/>
        <w:rPr>
          <w:rFonts w:eastAsiaTheme="minorEastAsia"/>
        </w:rPr>
      </w:pPr>
    </w:p>
    <w:p w14:paraId="3C91350A" w14:textId="45F39D44" w:rsidR="00F557B4" w:rsidRDefault="00532331" w:rsidP="00F557B4">
      <w:pPr>
        <w:pStyle w:val="Heading4"/>
        <w:numPr>
          <w:ilvl w:val="0"/>
          <w:numId w:val="0"/>
        </w:numPr>
        <w:ind w:left="864" w:right="569" w:hanging="864"/>
      </w:pPr>
      <w:r>
        <w:t>2.2</w:t>
      </w:r>
      <w:r w:rsidR="003F75E8">
        <w:t xml:space="preserve"> Down-select the options</w:t>
      </w:r>
    </w:p>
    <w:p w14:paraId="271A45F5" w14:textId="4D4DB4E9" w:rsidR="00D46DC9" w:rsidRDefault="003F75E8" w:rsidP="00A35130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Basically, there are two important messages from RAN4 LS reply: firstly, there would be new RF requirements needed. Secondly, it is feasible to specify such requirements</w:t>
      </w:r>
      <w:r w:rsidR="00543775">
        <w:rPr>
          <w:rFonts w:ascii="Times New Roman" w:hAnsi="Times New Roman" w:cs="Times New Roman"/>
          <w:sz w:val="20"/>
          <w:szCs w:val="20"/>
          <w:lang w:eastAsia="en-US"/>
        </w:rPr>
        <w:t xml:space="preserve">, especially </w:t>
      </w:r>
      <w:r w:rsidR="00543775">
        <w:rPr>
          <w:rFonts w:ascii="Times New Roman" w:eastAsia="SimSun" w:hAnsi="Times New Roman" w:cs="Times New Roman"/>
          <w:sz w:val="20"/>
          <w:szCs w:val="20"/>
          <w:lang w:val="en-US"/>
        </w:rPr>
        <w:t>i</w:t>
      </w:r>
      <w:r w:rsidR="00543775" w:rsidRPr="00FD7F47">
        <w:rPr>
          <w:rFonts w:ascii="Times New Roman" w:eastAsia="SimSun" w:hAnsi="Times New Roman" w:cs="Times New Roman"/>
          <w:sz w:val="20"/>
          <w:szCs w:val="20"/>
          <w:lang w:val="en-US"/>
        </w:rPr>
        <w:t>n-carrier leakage and blocking requirement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provided </w:t>
      </w:r>
      <w:r w:rsidR="00F05792">
        <w:rPr>
          <w:rFonts w:ascii="Times New Roman" w:hAnsi="Times New Roman" w:cs="Times New Roman"/>
          <w:sz w:val="20"/>
          <w:szCs w:val="20"/>
          <w:lang w:eastAsia="en-US"/>
        </w:rPr>
        <w:t>that the access of partial wideband carrier is restricted to contiguous LBT sub-bands.</w:t>
      </w:r>
    </w:p>
    <w:p w14:paraId="7748DC35" w14:textId="416CF945" w:rsidR="0098284E" w:rsidRDefault="00D46DC9" w:rsidP="00A35130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As analysed in our previous contribution [4], </w:t>
      </w:r>
      <w:r w:rsidR="004726C7">
        <w:rPr>
          <w:rFonts w:ascii="Times New Roman" w:hAnsi="Times New Roman" w:cs="Times New Roman"/>
          <w:sz w:val="20"/>
          <w:szCs w:val="20"/>
          <w:lang w:eastAsia="en-US"/>
        </w:rPr>
        <w:t>option 2 results in the worst spectrum utilization among all options. This i</w:t>
      </w:r>
      <w:r w:rsidR="0098284E">
        <w:rPr>
          <w:rFonts w:ascii="Times New Roman" w:hAnsi="Times New Roman" w:cs="Times New Roman"/>
          <w:sz w:val="20"/>
          <w:szCs w:val="20"/>
          <w:lang w:eastAsia="en-US"/>
        </w:rPr>
        <w:t xml:space="preserve">s </w:t>
      </w:r>
      <w:r w:rsidR="004726C7">
        <w:rPr>
          <w:rFonts w:ascii="Times New Roman" w:hAnsi="Times New Roman" w:cs="Times New Roman"/>
          <w:sz w:val="20"/>
          <w:szCs w:val="20"/>
          <w:lang w:eastAsia="en-US"/>
        </w:rPr>
        <w:t xml:space="preserve">because </w:t>
      </w:r>
      <w:r w:rsidR="0098284E">
        <w:rPr>
          <w:rFonts w:ascii="Times New Roman" w:hAnsi="Times New Roman" w:cs="Times New Roman"/>
          <w:sz w:val="20"/>
          <w:szCs w:val="20"/>
          <w:lang w:eastAsia="en-US"/>
        </w:rPr>
        <w:t xml:space="preserve">the failure of one single LBT sub-band of a wideband BWP would block the usage of whole BWP, and if BWP switching is triggered scheduling delay is inevitable. Imagine </w:t>
      </w:r>
      <w:r w:rsidR="0098284E">
        <w:rPr>
          <w:rFonts w:ascii="Times New Roman" w:hAnsi="Times New Roman" w:cs="Times New Roman"/>
          <w:sz w:val="20"/>
          <w:szCs w:val="20"/>
        </w:rPr>
        <w:t>the UE is currently activated with a narrow BWP</w:t>
      </w:r>
      <w:r w:rsidR="00471AA9">
        <w:rPr>
          <w:rFonts w:ascii="Times New Roman" w:hAnsi="Times New Roman" w:cs="Times New Roman"/>
          <w:sz w:val="20"/>
          <w:szCs w:val="20"/>
        </w:rPr>
        <w:t xml:space="preserve"> like </w:t>
      </w:r>
      <w:proofErr w:type="spellStart"/>
      <w:r w:rsidR="00471AA9">
        <w:rPr>
          <w:rFonts w:ascii="Times New Roman" w:hAnsi="Times New Roman" w:cs="Times New Roman"/>
          <w:sz w:val="20"/>
          <w:szCs w:val="20"/>
        </w:rPr>
        <w:t>20MHz</w:t>
      </w:r>
      <w:proofErr w:type="spellEnd"/>
      <w:r w:rsidR="00471AA9">
        <w:rPr>
          <w:rFonts w:ascii="Times New Roman" w:hAnsi="Times New Roman" w:cs="Times New Roman"/>
          <w:sz w:val="20"/>
          <w:szCs w:val="20"/>
        </w:rPr>
        <w:t xml:space="preserve"> only</w:t>
      </w:r>
      <w:r w:rsidR="0098284E">
        <w:rPr>
          <w:rFonts w:ascii="Times New Roman" w:hAnsi="Times New Roman" w:cs="Times New Roman"/>
          <w:sz w:val="20"/>
          <w:szCs w:val="20"/>
        </w:rPr>
        <w:t xml:space="preserve">, but whole wideband carrier is clear from LBT from </w:t>
      </w:r>
      <w:proofErr w:type="spellStart"/>
      <w:r w:rsidR="0098284E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98284E">
        <w:rPr>
          <w:rFonts w:ascii="Times New Roman" w:hAnsi="Times New Roman" w:cs="Times New Roman"/>
          <w:sz w:val="20"/>
          <w:szCs w:val="20"/>
        </w:rPr>
        <w:t xml:space="preserve"> side. </w:t>
      </w:r>
      <w:proofErr w:type="spellStart"/>
      <w:proofErr w:type="gramStart"/>
      <w:r w:rsidR="0098284E">
        <w:rPr>
          <w:rFonts w:ascii="Times New Roman" w:hAnsi="Times New Roman" w:cs="Times New Roman"/>
          <w:sz w:val="20"/>
          <w:szCs w:val="20"/>
        </w:rPr>
        <w:t>gNB</w:t>
      </w:r>
      <w:proofErr w:type="spellEnd"/>
      <w:proofErr w:type="gramEnd"/>
      <w:r w:rsidR="0098284E">
        <w:rPr>
          <w:rFonts w:ascii="Times New Roman" w:hAnsi="Times New Roman" w:cs="Times New Roman"/>
          <w:sz w:val="20"/>
          <w:szCs w:val="20"/>
        </w:rPr>
        <w:t xml:space="preserve"> has to send BWP switching command</w:t>
      </w:r>
      <w:r w:rsidR="0047157F">
        <w:rPr>
          <w:rFonts w:ascii="Times New Roman" w:hAnsi="Times New Roman" w:cs="Times New Roman"/>
          <w:sz w:val="20"/>
          <w:szCs w:val="20"/>
        </w:rPr>
        <w:t xml:space="preserve"> to make use of free wideband resources</w:t>
      </w:r>
      <w:r w:rsidR="0098284E">
        <w:rPr>
          <w:rFonts w:ascii="Times New Roman" w:hAnsi="Times New Roman" w:cs="Times New Roman"/>
          <w:sz w:val="20"/>
          <w:szCs w:val="20"/>
        </w:rPr>
        <w:t xml:space="preserve">, and the new BWP can only be used after </w:t>
      </w:r>
      <w:r w:rsidR="0047157F">
        <w:rPr>
          <w:rFonts w:ascii="Times New Roman" w:hAnsi="Times New Roman" w:cs="Times New Roman"/>
          <w:sz w:val="20"/>
          <w:szCs w:val="20"/>
        </w:rPr>
        <w:t xml:space="preserve">BWP switching </w:t>
      </w:r>
      <w:r w:rsidR="0098284E">
        <w:rPr>
          <w:rFonts w:ascii="Times New Roman" w:hAnsi="Times New Roman" w:cs="Times New Roman"/>
          <w:sz w:val="20"/>
          <w:szCs w:val="20"/>
        </w:rPr>
        <w:t xml:space="preserve">transition period. This introduces scheduling delay (in </w:t>
      </w:r>
      <w:proofErr w:type="spellStart"/>
      <w:r w:rsidR="0098284E">
        <w:rPr>
          <w:rFonts w:ascii="Times New Roman" w:hAnsi="Times New Roman" w:cs="Times New Roman"/>
          <w:sz w:val="20"/>
          <w:szCs w:val="20"/>
        </w:rPr>
        <w:t>Rel</w:t>
      </w:r>
      <w:proofErr w:type="spellEnd"/>
      <w:r w:rsidR="0098284E">
        <w:rPr>
          <w:rFonts w:ascii="Times New Roman" w:hAnsi="Times New Roman" w:cs="Times New Roman"/>
          <w:sz w:val="20"/>
          <w:szCs w:val="20"/>
        </w:rPr>
        <w:t xml:space="preserve">-15, the minimum BWP switching delay is </w:t>
      </w:r>
      <w:proofErr w:type="spellStart"/>
      <w:r w:rsidR="0098284E">
        <w:rPr>
          <w:rFonts w:ascii="Times New Roman" w:hAnsi="Times New Roman" w:cs="Times New Roman"/>
          <w:sz w:val="20"/>
          <w:szCs w:val="20"/>
        </w:rPr>
        <w:t>660us</w:t>
      </w:r>
      <w:proofErr w:type="spellEnd"/>
      <w:r w:rsidR="0098284E">
        <w:rPr>
          <w:rFonts w:ascii="Times New Roman" w:hAnsi="Times New Roman" w:cs="Times New Roman"/>
          <w:sz w:val="20"/>
          <w:szCs w:val="20"/>
        </w:rPr>
        <w:t xml:space="preserve">), resulting in loss of spectrum utilization. To overcome the BWP switching delay, the UE can be always activated with the widest BWP. In such case, </w:t>
      </w:r>
      <w:r w:rsidR="0098284E">
        <w:rPr>
          <w:rFonts w:ascii="Times New Roman" w:hAnsi="Times New Roman" w:cs="Times New Roman"/>
          <w:sz w:val="20"/>
          <w:szCs w:val="20"/>
          <w:lang w:eastAsia="en-US"/>
        </w:rPr>
        <w:t xml:space="preserve">although the possibility for UE to receive PDCCH increases due to the wide bandwidth of BWP, </w:t>
      </w:r>
      <w:proofErr w:type="spellStart"/>
      <w:r w:rsidR="0098284E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98284E">
        <w:rPr>
          <w:rFonts w:ascii="Times New Roman" w:hAnsi="Times New Roman" w:cs="Times New Roman"/>
          <w:sz w:val="20"/>
          <w:szCs w:val="20"/>
          <w:lang w:eastAsia="en-US"/>
        </w:rPr>
        <w:t xml:space="preserve"> cannot use the channel to transmit even if part of the wideband carrier is free from LBT as </w:t>
      </w:r>
      <w:r w:rsidR="0047157F">
        <w:rPr>
          <w:rFonts w:ascii="Times New Roman" w:hAnsi="Times New Roman" w:cs="Times New Roman"/>
          <w:sz w:val="20"/>
          <w:szCs w:val="20"/>
          <w:lang w:eastAsia="en-US"/>
        </w:rPr>
        <w:t>restricted</w:t>
      </w:r>
      <w:r w:rsidR="0098284E">
        <w:rPr>
          <w:rFonts w:ascii="Times New Roman" w:hAnsi="Times New Roman" w:cs="Times New Roman"/>
          <w:sz w:val="20"/>
          <w:szCs w:val="20"/>
          <w:lang w:eastAsia="en-US"/>
        </w:rPr>
        <w:t xml:space="preserve"> by option 2. </w:t>
      </w:r>
      <w:r w:rsidR="00F05792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4E8EEF81" w14:textId="081F660A" w:rsidR="00B14FE8" w:rsidRDefault="0098284E" w:rsidP="00A35130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lastRenderedPageBreak/>
        <w:t xml:space="preserve">The argument to support option 2 is to avoid specifying new RF requirements. However, the sacrifice in performance is too high in our opinion. </w:t>
      </w:r>
      <w:r w:rsidR="00B14FE8">
        <w:rPr>
          <w:rFonts w:ascii="Times New Roman" w:hAnsi="Times New Roman" w:cs="Times New Roman"/>
          <w:sz w:val="20"/>
          <w:szCs w:val="20"/>
          <w:lang w:eastAsia="en-US"/>
        </w:rPr>
        <w:t xml:space="preserve">Since RAN4 confirmed that it is feasible to specify RF requirements for partial BWP access </w:t>
      </w:r>
      <w:r w:rsidR="009068B4">
        <w:rPr>
          <w:rFonts w:ascii="Times New Roman" w:hAnsi="Times New Roman" w:cs="Times New Roman"/>
          <w:sz w:val="20"/>
          <w:szCs w:val="20"/>
          <w:lang w:eastAsia="en-US"/>
        </w:rPr>
        <w:t xml:space="preserve">of </w:t>
      </w:r>
      <w:r w:rsidR="009068B4">
        <w:rPr>
          <w:rFonts w:ascii="Times New Roman" w:eastAsia="SimSun" w:hAnsi="Times New Roman" w:cs="Times New Roman"/>
          <w:sz w:val="20"/>
          <w:szCs w:val="20"/>
          <w:lang w:val="en-US"/>
        </w:rPr>
        <w:t>i</w:t>
      </w:r>
      <w:r w:rsidR="009068B4" w:rsidRPr="00FD7F47">
        <w:rPr>
          <w:rFonts w:ascii="Times New Roman" w:eastAsia="SimSun" w:hAnsi="Times New Roman" w:cs="Times New Roman"/>
          <w:sz w:val="20"/>
          <w:szCs w:val="20"/>
          <w:lang w:val="en-US"/>
        </w:rPr>
        <w:t>n-carrier leakage and blocking requirement</w:t>
      </w:r>
      <w:r w:rsidR="009068B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14FE8">
        <w:rPr>
          <w:rFonts w:ascii="Times New Roman" w:hAnsi="Times New Roman" w:cs="Times New Roman"/>
          <w:sz w:val="20"/>
          <w:szCs w:val="20"/>
          <w:lang w:eastAsia="en-US"/>
        </w:rPr>
        <w:t xml:space="preserve">(with the condition of contiguous LBT sub-bands), option 2 becomes less motivated any more, and hence can be dropped from the consideration. </w:t>
      </w:r>
    </w:p>
    <w:p w14:paraId="6709337F" w14:textId="3A55E4C1" w:rsidR="0047157F" w:rsidRDefault="00C66356" w:rsidP="00A35130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As also discussed in [4], option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1a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 and option 3 achieve the same spectrum utilization. However, option 3 is based on the single active BWP framework established in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Rel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-15 already. On the contrary, option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1a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 requires supporting multiple active BWPs which may requir</w:t>
      </w:r>
      <w:r w:rsidR="00AF50C3">
        <w:rPr>
          <w:rFonts w:ascii="Times New Roman" w:hAnsi="Times New Roman" w:cs="Times New Roman"/>
          <w:sz w:val="20"/>
          <w:szCs w:val="20"/>
          <w:lang w:eastAsia="en-US"/>
        </w:rPr>
        <w:t xml:space="preserve">e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more standardization work with potential RAN2 impact. Since no gain can be identified for option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1a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 xml:space="preserve"> over option 3, </w:t>
      </w:r>
      <w:r w:rsidR="00AF50C3">
        <w:rPr>
          <w:rFonts w:ascii="Times New Roman" w:hAnsi="Times New Roman" w:cs="Times New Roman"/>
          <w:sz w:val="20"/>
          <w:szCs w:val="20"/>
          <w:lang w:eastAsia="en-US"/>
        </w:rPr>
        <w:t xml:space="preserve">option </w:t>
      </w:r>
      <w:proofErr w:type="spellStart"/>
      <w:r w:rsidR="00AF50C3">
        <w:rPr>
          <w:rFonts w:ascii="Times New Roman" w:hAnsi="Times New Roman" w:cs="Times New Roman"/>
          <w:sz w:val="20"/>
          <w:szCs w:val="20"/>
          <w:lang w:eastAsia="en-US"/>
        </w:rPr>
        <w:t>1a</w:t>
      </w:r>
      <w:proofErr w:type="spellEnd"/>
      <w:r w:rsidR="00AF50C3">
        <w:rPr>
          <w:rFonts w:ascii="Times New Roman" w:hAnsi="Times New Roman" w:cs="Times New Roman"/>
          <w:sz w:val="20"/>
          <w:szCs w:val="20"/>
          <w:lang w:eastAsia="en-US"/>
        </w:rPr>
        <w:t xml:space="preserve"> is not justified. </w:t>
      </w:r>
    </w:p>
    <w:p w14:paraId="7CC00866" w14:textId="77777777" w:rsidR="00632C35" w:rsidRDefault="007231E6" w:rsidP="00A35130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Finally,</w:t>
      </w:r>
      <w:r w:rsidR="00632C35">
        <w:rPr>
          <w:rFonts w:ascii="Times New Roman" w:hAnsi="Times New Roman" w:cs="Times New Roman"/>
          <w:sz w:val="20"/>
          <w:szCs w:val="20"/>
          <w:lang w:eastAsia="en-US"/>
        </w:rPr>
        <w:t xml:space="preserve"> when comparing option </w:t>
      </w:r>
      <w:proofErr w:type="spellStart"/>
      <w:r w:rsidR="00632C35">
        <w:rPr>
          <w:rFonts w:ascii="Times New Roman" w:hAnsi="Times New Roman" w:cs="Times New Roman"/>
          <w:sz w:val="20"/>
          <w:szCs w:val="20"/>
          <w:lang w:eastAsia="en-US"/>
        </w:rPr>
        <w:t>1b</w:t>
      </w:r>
      <w:proofErr w:type="spellEnd"/>
      <w:r w:rsidR="00632C35">
        <w:rPr>
          <w:rFonts w:ascii="Times New Roman" w:hAnsi="Times New Roman" w:cs="Times New Roman"/>
          <w:sz w:val="20"/>
          <w:szCs w:val="20"/>
          <w:lang w:eastAsia="en-US"/>
        </w:rPr>
        <w:t xml:space="preserve"> and option 3, option 3 can achieve better spectrum utilization, as shown in [4]. This is still true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when </w:t>
      </w:r>
      <w:r w:rsidR="00632C35">
        <w:rPr>
          <w:rFonts w:ascii="Times New Roman" w:hAnsi="Times New Roman" w:cs="Times New Roman"/>
          <w:sz w:val="20"/>
          <w:szCs w:val="20"/>
          <w:lang w:eastAsia="en-US"/>
        </w:rPr>
        <w:t xml:space="preserve">the transmission is restricted to contiguous LBT sub-bands. Consider an example of wideband carrier with bandwidth of 80 MHz and the maximum number of UE-specific configured BWPs is 4 (as </w:t>
      </w:r>
      <w:proofErr w:type="spellStart"/>
      <w:r w:rsidR="00632C35">
        <w:rPr>
          <w:rFonts w:ascii="Times New Roman" w:hAnsi="Times New Roman" w:cs="Times New Roman"/>
          <w:sz w:val="20"/>
          <w:szCs w:val="20"/>
          <w:lang w:eastAsia="en-US"/>
        </w:rPr>
        <w:t>Rel</w:t>
      </w:r>
      <w:proofErr w:type="spellEnd"/>
      <w:r w:rsidR="00632C35">
        <w:rPr>
          <w:rFonts w:ascii="Times New Roman" w:hAnsi="Times New Roman" w:cs="Times New Roman"/>
          <w:sz w:val="20"/>
          <w:szCs w:val="20"/>
          <w:lang w:eastAsia="en-US"/>
        </w:rPr>
        <w:t xml:space="preserve">-15). One reasonable BWP configuration is given in </w:t>
      </w:r>
      <w:proofErr w:type="spellStart"/>
      <w:r w:rsidR="00632C35">
        <w:rPr>
          <w:rFonts w:ascii="Times New Roman" w:hAnsi="Times New Roman" w:cs="Times New Roman"/>
          <w:sz w:val="20"/>
          <w:szCs w:val="20"/>
          <w:lang w:eastAsia="en-US"/>
        </w:rPr>
        <w:t>Fig.1</w:t>
      </w:r>
      <w:proofErr w:type="spellEnd"/>
      <w:r w:rsidR="00632C35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1E4E8BC7" w14:textId="77777777" w:rsidR="00632C35" w:rsidRDefault="00632C35" w:rsidP="00632C35">
      <w:pPr>
        <w:jc w:val="center"/>
      </w:pPr>
      <w:r>
        <w:object w:dxaOrig="5032" w:dyaOrig="2538" w14:anchorId="4DC1C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25pt;height:126.85pt" o:ole="">
            <v:imagedata r:id="rId13" o:title=""/>
          </v:shape>
          <o:OLEObject Type="Embed" ProgID="Visio.Drawing.15" ShapeID="_x0000_i1025" DrawAspect="Content" ObjectID="_1608534231" r:id="rId14"/>
        </w:object>
      </w:r>
    </w:p>
    <w:p w14:paraId="46550405" w14:textId="40B6B8A3" w:rsidR="00632C35" w:rsidRPr="00F968DC" w:rsidRDefault="00632C35" w:rsidP="00632C35">
      <w:pPr>
        <w:jc w:val="center"/>
        <w:rPr>
          <w:rFonts w:ascii="Times New Roman" w:hAnsi="Times New Roman" w:cs="Times New Roman"/>
          <w:sz w:val="20"/>
          <w:szCs w:val="20"/>
        </w:rPr>
      </w:pPr>
      <w:r w:rsidRPr="00137194">
        <w:rPr>
          <w:rFonts w:ascii="Times New Roman" w:hAnsi="Times New Roman" w:cs="Times New Roman"/>
          <w:sz w:val="20"/>
          <w:szCs w:val="20"/>
        </w:rPr>
        <w:t>Fig.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137194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Example of BWP configurations for option 1b</w:t>
      </w:r>
    </w:p>
    <w:p w14:paraId="0C358187" w14:textId="3C5AAA4B" w:rsidR="00AF50C3" w:rsidRDefault="00632C35" w:rsidP="00A35130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As shown in Fig.1, because of the constraint of number of configured BWPs, </w:t>
      </w:r>
      <w:r w:rsidR="00400EA0">
        <w:rPr>
          <w:rFonts w:ascii="Times New Roman" w:hAnsi="Times New Roman" w:cs="Times New Roman"/>
          <w:sz w:val="20"/>
          <w:szCs w:val="20"/>
          <w:lang w:eastAsia="en-US"/>
        </w:rPr>
        <w:t xml:space="preserve">not all combinations of the contiguous 20 MHz LBT sub-bands can be covered. For example, </w:t>
      </w:r>
      <w:r w:rsidR="00400EA0">
        <w:rPr>
          <w:rFonts w:ascii="Times New Roman" w:hAnsi="Times New Roman" w:cs="Times New Roman"/>
          <w:sz w:val="20"/>
          <w:szCs w:val="20"/>
        </w:rPr>
        <w:t xml:space="preserve">if only the left-most 20 MHz fails the LBT and the rest of 60 MHz are free, still, maximum contiguous 40 MHz can be used (i.e. BWP#3 is used). In order to cover more LBT outcome possibilities, more BWP configurations than 4 need to be supported, which may bring further impact on other design aspects inherited from Rel-15.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7231E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09EFE9B6" w14:textId="77777777" w:rsidR="00503A6D" w:rsidRDefault="00400EA0" w:rsidP="00A35130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However, this would not be an issue for option 3. In the above example, option 3 can active BWP#4, then any combination of contiguous LBT sub-bands</w:t>
      </w:r>
      <w:r w:rsidR="00503A6D">
        <w:rPr>
          <w:rFonts w:ascii="Times New Roman" w:hAnsi="Times New Roman" w:cs="Times New Roman"/>
          <w:sz w:val="20"/>
          <w:szCs w:val="20"/>
          <w:lang w:eastAsia="en-US"/>
        </w:rPr>
        <w:t xml:space="preserve"> which pass CCA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can be used for transmission. </w:t>
      </w:r>
      <w:r w:rsidR="00503A6D">
        <w:rPr>
          <w:rFonts w:ascii="Times New Roman" w:hAnsi="Times New Roman" w:cs="Times New Roman"/>
          <w:sz w:val="20"/>
          <w:szCs w:val="20"/>
          <w:lang w:eastAsia="en-US"/>
        </w:rPr>
        <w:t>In this sense, option 3 can achieve better resource utilization than option 1b.</w:t>
      </w:r>
    </w:p>
    <w:p w14:paraId="7C7E3863" w14:textId="0318B104" w:rsidR="00400EA0" w:rsidRDefault="00345862" w:rsidP="00A35130">
      <w:p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One may argue that option 3 may need additional indication to indicate which LBT sub-bands are accessible within the active BWP. </w:t>
      </w:r>
      <w:r w:rsidR="009F21AA">
        <w:rPr>
          <w:rFonts w:ascii="Times New Roman" w:hAnsi="Times New Roman" w:cs="Times New Roman"/>
          <w:sz w:val="20"/>
          <w:szCs w:val="20"/>
          <w:lang w:eastAsia="en-US"/>
        </w:rPr>
        <w:t>In our companion contribution [5]</w:t>
      </w:r>
      <w:r w:rsidR="00AB54EC">
        <w:rPr>
          <w:rFonts w:ascii="Times New Roman" w:hAnsi="Times New Roman" w:cs="Times New Roman"/>
          <w:sz w:val="20"/>
          <w:szCs w:val="20"/>
          <w:lang w:eastAsia="en-US"/>
        </w:rPr>
        <w:t xml:space="preserve">, we have discussed such indication which can be implicit or explicit. </w:t>
      </w:r>
      <w:r w:rsidR="00634E62">
        <w:rPr>
          <w:rFonts w:ascii="Times New Roman" w:hAnsi="Times New Roman" w:cs="Times New Roman"/>
          <w:sz w:val="20"/>
          <w:szCs w:val="20"/>
          <w:lang w:eastAsia="en-US"/>
        </w:rPr>
        <w:t>N</w:t>
      </w:r>
      <w:r w:rsidR="00503A6D">
        <w:rPr>
          <w:rFonts w:ascii="Times New Roman" w:hAnsi="Times New Roman" w:cs="Times New Roman"/>
          <w:sz w:val="20"/>
          <w:szCs w:val="20"/>
          <w:lang w:eastAsia="en-US"/>
        </w:rPr>
        <w:t>ote that</w:t>
      </w:r>
      <w:r w:rsidR="00634E62">
        <w:rPr>
          <w:rFonts w:ascii="Times New Roman" w:hAnsi="Times New Roman" w:cs="Times New Roman"/>
          <w:sz w:val="20"/>
          <w:szCs w:val="20"/>
          <w:lang w:eastAsia="en-US"/>
        </w:rPr>
        <w:t xml:space="preserve"> option 1b also needs to indicate which (single) BWP is used for data transmission among the multiple active BWPs for control monitoring. The BWP index field in DCI format 1_1/0_1 </w:t>
      </w:r>
      <w:r w:rsidR="00D93E15">
        <w:rPr>
          <w:rFonts w:ascii="Times New Roman" w:hAnsi="Times New Roman" w:cs="Times New Roman"/>
          <w:sz w:val="20"/>
          <w:szCs w:val="20"/>
          <w:lang w:eastAsia="en-US"/>
        </w:rPr>
        <w:t>may be re-interpreted</w:t>
      </w:r>
      <w:r w:rsidR="00634E62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93E15">
        <w:rPr>
          <w:rFonts w:ascii="Times New Roman" w:hAnsi="Times New Roman" w:cs="Times New Roman"/>
          <w:sz w:val="20"/>
          <w:szCs w:val="20"/>
          <w:lang w:eastAsia="en-US"/>
        </w:rPr>
        <w:t>for such purpose (and this seems to be the main motivation of option 1b). However, with such reinterpretation, the original functionality of dynamically activating a new BWP and deactivating the old BWP is gone. Some new signalling for dynamic activation/deactivation of BWP needs to be introduced. T</w:t>
      </w:r>
      <w:r w:rsidR="0066415F">
        <w:rPr>
          <w:rFonts w:ascii="Times New Roman" w:hAnsi="Times New Roman" w:cs="Times New Roman"/>
          <w:sz w:val="20"/>
          <w:szCs w:val="20"/>
          <w:lang w:eastAsia="en-US"/>
        </w:rPr>
        <w:t xml:space="preserve">herefore, to ease the spec maintenance work, it is better to keep the single active BWP framework as it is in Rel-15, and decouple the new issues of </w:t>
      </w:r>
      <w:r w:rsidR="000C1A51">
        <w:rPr>
          <w:rFonts w:ascii="Times New Roman" w:hAnsi="Times New Roman" w:cs="Times New Roman"/>
          <w:sz w:val="20"/>
          <w:szCs w:val="20"/>
          <w:lang w:eastAsia="en-US"/>
        </w:rPr>
        <w:t xml:space="preserve">partial wideband carrier access over successful LBT sub-bands </w:t>
      </w:r>
      <w:r w:rsidR="0066415F">
        <w:rPr>
          <w:rFonts w:ascii="Times New Roman" w:hAnsi="Times New Roman" w:cs="Times New Roman"/>
          <w:sz w:val="20"/>
          <w:szCs w:val="20"/>
          <w:lang w:eastAsia="en-US"/>
        </w:rPr>
        <w:t xml:space="preserve">from the BWP activation and deactivation, as what is proposed in option 3.  </w:t>
      </w:r>
      <w:r w:rsidR="00D93E15">
        <w:rPr>
          <w:rFonts w:ascii="Times New Roman" w:hAnsi="Times New Roman" w:cs="Times New Roman"/>
          <w:sz w:val="20"/>
          <w:szCs w:val="20"/>
          <w:lang w:eastAsia="en-US"/>
        </w:rPr>
        <w:t xml:space="preserve">  </w:t>
      </w:r>
    </w:p>
    <w:p w14:paraId="15C7DE91" w14:textId="53752E1E" w:rsidR="00D661B0" w:rsidRDefault="00CE3F6C" w:rsidP="009B19F5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Therefore, we proposed:</w:t>
      </w:r>
      <w:r w:rsidR="00D04BD0">
        <w:rPr>
          <w:rFonts w:ascii="Times New Roman" w:hAnsi="Times New Roman" w:cs="Times New Roman"/>
          <w:sz w:val="20"/>
          <w:szCs w:val="20"/>
          <w:lang w:eastAsia="en-US"/>
        </w:rPr>
        <w:t xml:space="preserve">  </w:t>
      </w:r>
      <w:r w:rsidR="00F020A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661B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30ED559D" w14:textId="4E28D94D" w:rsidR="00362DE3" w:rsidRDefault="0056299D" w:rsidP="009B19F5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Proposal </w:t>
      </w:r>
      <w:r w:rsidR="00CE3F6C">
        <w:rPr>
          <w:rFonts w:ascii="Times New Roman" w:hAnsi="Times New Roman" w:cs="Times New Roman"/>
          <w:b/>
          <w:sz w:val="20"/>
          <w:szCs w:val="20"/>
          <w:lang w:eastAsia="en-US"/>
        </w:rPr>
        <w:t>1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: </w:t>
      </w:r>
      <w:r w:rsidR="00CE3F6C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RAN1 </w:t>
      </w:r>
      <w:r w:rsidR="000C1A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supports </w:t>
      </w:r>
      <w:r w:rsidR="00CE3F6C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Option 3 </w:t>
      </w:r>
      <w:r w:rsidR="000C1A51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for </w:t>
      </w:r>
      <w:r w:rsidR="00BB3E6E">
        <w:rPr>
          <w:rFonts w:ascii="Times New Roman" w:hAnsi="Times New Roman" w:cs="Times New Roman"/>
          <w:b/>
          <w:sz w:val="20"/>
          <w:szCs w:val="20"/>
          <w:lang w:eastAsia="en-US"/>
        </w:rPr>
        <w:t>NR-U wideband operation where a carrier has bandwidth larger than 20 MHz</w:t>
      </w:r>
      <w:r w:rsidR="00D215AD">
        <w:rPr>
          <w:rFonts w:ascii="Times New Roman" w:hAnsi="Times New Roman" w:cs="Times New Roman"/>
          <w:b/>
          <w:sz w:val="20"/>
          <w:szCs w:val="20"/>
          <w:lang w:eastAsia="en-US"/>
        </w:rPr>
        <w:t>.</w:t>
      </w:r>
      <w:r w:rsidR="00CE3F6C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</w:t>
      </w:r>
      <w:r w:rsidR="00D215AD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bookmarkEnd w:id="2"/>
    <w:p w14:paraId="183153B4" w14:textId="44E01457" w:rsidR="00E32C7B" w:rsidRDefault="00E32C7B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357BA1E3" w14:textId="3E09A0E6" w:rsidR="004B155E" w:rsidRPr="00DC33E4" w:rsidRDefault="004B155E" w:rsidP="004B155E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4B4C258C" w14:textId="6FCAC089" w:rsidR="004B155E" w:rsidRDefault="004B155E" w:rsidP="004B155E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we </w:t>
      </w:r>
      <w:r w:rsidR="00A3513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have the following </w:t>
      </w:r>
      <w:r w:rsidR="00BB3E6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</w:t>
      </w:r>
      <w:r w:rsidR="00A3513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305C9E7D" w14:textId="77777777" w:rsidR="00BB3E6E" w:rsidRDefault="00BB3E6E" w:rsidP="00BB3E6E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Proposal 1: RAN1 supports Option 3 for NR-U wideband operation where a carrier has bandwidth larger than 20 MHz. 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504930E5" w14:textId="77777777" w:rsidR="00BB3E6E" w:rsidRDefault="00BB3E6E" w:rsidP="004B155E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</w:p>
    <w:p w14:paraId="7C211DE8" w14:textId="77777777" w:rsidR="00587BD2" w:rsidRPr="00DC33E4" w:rsidRDefault="00587BD2" w:rsidP="00587BD2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1D854671" w14:textId="7D056DE6" w:rsidR="00587BD2" w:rsidRDefault="00587BD2" w:rsidP="00587BD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[1] TR38.889, </w:t>
      </w:r>
      <w:r w:rsidRPr="00D7556C">
        <w:rPr>
          <w:rFonts w:ascii="Times New Roman" w:hAnsi="Times New Roman" w:cs="Times New Roman"/>
          <w:sz w:val="20"/>
          <w:szCs w:val="20"/>
          <w:lang w:eastAsia="en-US"/>
        </w:rPr>
        <w:t>Study on NR-based access to unlicensed spectrum</w:t>
      </w:r>
      <w:r>
        <w:rPr>
          <w:rFonts w:ascii="Times New Roman" w:hAnsi="Times New Roman" w:cs="Times New Roman"/>
          <w:sz w:val="20"/>
          <w:szCs w:val="20"/>
          <w:lang w:eastAsia="en-US"/>
        </w:rPr>
        <w:t>, v16.0.0, 2018-12</w:t>
      </w:r>
      <w:r w:rsidR="00D46DC9">
        <w:rPr>
          <w:rFonts w:ascii="Times New Roman" w:hAnsi="Times New Roman" w:cs="Times New Roman"/>
          <w:sz w:val="20"/>
          <w:szCs w:val="20"/>
          <w:lang w:eastAsia="en-US"/>
        </w:rPr>
        <w:t>, RAN</w:t>
      </w:r>
    </w:p>
    <w:p w14:paraId="4C93E961" w14:textId="10D67F9A" w:rsidR="00F64C55" w:rsidRDefault="00F64C55" w:rsidP="00587BD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[2] R4-1816658, Reply LS on wideband carrier operation for NR-U, RAN4 #89,</w:t>
      </w:r>
      <w:r w:rsidR="00D46DC9">
        <w:rPr>
          <w:rFonts w:ascii="Times New Roman" w:hAnsi="Times New Roman" w:cs="Times New Roman"/>
          <w:sz w:val="20"/>
          <w:szCs w:val="20"/>
          <w:lang w:eastAsia="en-US"/>
        </w:rPr>
        <w:t xml:space="preserve"> RAN4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2AB31026" w14:textId="2E8DF20F" w:rsidR="00BF5B78" w:rsidRDefault="00BF5B78" w:rsidP="00587BD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[3] R1-1812026, LS on wideband carrier operation for NR-U, RAN1#94bis, </w:t>
      </w:r>
      <w:r w:rsidR="00D46DC9">
        <w:rPr>
          <w:rFonts w:ascii="Times New Roman" w:hAnsi="Times New Roman" w:cs="Times New Roman"/>
          <w:sz w:val="20"/>
          <w:szCs w:val="20"/>
          <w:lang w:eastAsia="en-US"/>
        </w:rPr>
        <w:t>RAN1</w:t>
      </w:r>
    </w:p>
    <w:p w14:paraId="2A89E904" w14:textId="2BB7BB34" w:rsidR="00D46DC9" w:rsidRDefault="00D46DC9" w:rsidP="00587BD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[4] R1-1813099, Wideband operation in NR unlicensed, RAN1#95, Panasonic</w:t>
      </w:r>
    </w:p>
    <w:p w14:paraId="4295790E" w14:textId="25DEC9F6" w:rsidR="009F21AA" w:rsidRDefault="009F21AA" w:rsidP="00587BD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[5] </w:t>
      </w:r>
      <w:proofErr w:type="spellStart"/>
      <w:r>
        <w:rPr>
          <w:rFonts w:ascii="Times New Roman" w:hAnsi="Times New Roman" w:cs="Times New Roman"/>
          <w:sz w:val="20"/>
          <w:szCs w:val="20"/>
          <w:lang w:eastAsia="en-US"/>
        </w:rPr>
        <w:t>R1</w:t>
      </w:r>
      <w:proofErr w:type="spellEnd"/>
      <w:r>
        <w:rPr>
          <w:rFonts w:ascii="Times New Roman" w:hAnsi="Times New Roman" w:cs="Times New Roman"/>
          <w:sz w:val="20"/>
          <w:szCs w:val="20"/>
          <w:lang w:eastAsia="en-US"/>
        </w:rPr>
        <w:t>-19</w:t>
      </w:r>
      <w:r w:rsidR="00901136">
        <w:rPr>
          <w:rFonts w:ascii="Times New Roman" w:hAnsi="Times New Roman" w:cs="Times New Roman"/>
          <w:sz w:val="20"/>
          <w:szCs w:val="20"/>
          <w:lang w:eastAsia="en-US"/>
        </w:rPr>
        <w:t>00258</w:t>
      </w:r>
      <w:r>
        <w:rPr>
          <w:rFonts w:ascii="Times New Roman" w:hAnsi="Times New Roman" w:cs="Times New Roman"/>
          <w:sz w:val="20"/>
          <w:szCs w:val="20"/>
          <w:lang w:eastAsia="en-US"/>
        </w:rPr>
        <w:t>, COT structure indication, RAN1 AH 1901, Panasonic</w:t>
      </w:r>
    </w:p>
    <w:p w14:paraId="316AFA0A" w14:textId="3FCE653A" w:rsidR="00CE3F6C" w:rsidRDefault="00CE3F6C" w:rsidP="00CE3F6C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14:paraId="31B16C63" w14:textId="64D2A06F" w:rsidR="001F718F" w:rsidRDefault="001F718F" w:rsidP="001F718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2DC7235" w14:textId="77777777" w:rsidR="001F718F" w:rsidRPr="00CE032F" w:rsidRDefault="001F718F" w:rsidP="001F718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sz w:val="20"/>
          <w:szCs w:val="20"/>
          <w:lang w:eastAsia="en-US"/>
        </w:rPr>
      </w:pPr>
    </w:p>
    <w:sectPr w:rsidR="001F718F" w:rsidRPr="00CE032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390C4" w14:textId="77777777" w:rsidR="00DB7A15" w:rsidRDefault="00DB7A15">
      <w:r>
        <w:separator/>
      </w:r>
    </w:p>
  </w:endnote>
  <w:endnote w:type="continuationSeparator" w:id="0">
    <w:p w14:paraId="22DB1B73" w14:textId="77777777" w:rsidR="00DB7A15" w:rsidRDefault="00DB7A15">
      <w:r>
        <w:continuationSeparator/>
      </w:r>
    </w:p>
  </w:endnote>
  <w:endnote w:type="continuationNotice" w:id="1">
    <w:p w14:paraId="2F97F08F" w14:textId="77777777" w:rsidR="00DB7A15" w:rsidRDefault="00DB7A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E061707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6F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6F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54D95" w14:textId="77777777" w:rsidR="00DB7A15" w:rsidRDefault="00DB7A15">
      <w:r>
        <w:separator/>
      </w:r>
    </w:p>
  </w:footnote>
  <w:footnote w:type="continuationSeparator" w:id="0">
    <w:p w14:paraId="471B2E59" w14:textId="77777777" w:rsidR="00DB7A15" w:rsidRDefault="00DB7A15">
      <w:r>
        <w:continuationSeparator/>
      </w:r>
    </w:p>
  </w:footnote>
  <w:footnote w:type="continuationNotice" w:id="1">
    <w:p w14:paraId="0F40296F" w14:textId="77777777" w:rsidR="00DB7A15" w:rsidRDefault="00DB7A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 w15:restartNumberingAfterBreak="0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215AF"/>
    <w:multiLevelType w:val="hybridMultilevel"/>
    <w:tmpl w:val="2132C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15FD5"/>
    <w:multiLevelType w:val="hybridMultilevel"/>
    <w:tmpl w:val="7DD0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8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50BC5"/>
    <w:multiLevelType w:val="hybridMultilevel"/>
    <w:tmpl w:val="52A62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4"/>
  </w:num>
  <w:num w:numId="4">
    <w:abstractNumId w:val="15"/>
  </w:num>
  <w:num w:numId="5">
    <w:abstractNumId w:val="10"/>
  </w:num>
  <w:num w:numId="6">
    <w:abstractNumId w:val="19"/>
  </w:num>
  <w:num w:numId="7">
    <w:abstractNumId w:val="25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6"/>
  </w:num>
  <w:num w:numId="15">
    <w:abstractNumId w:val="27"/>
  </w:num>
  <w:num w:numId="16">
    <w:abstractNumId w:val="23"/>
    <w:lvlOverride w:ilvl="0">
      <w:startOverride w:val="1"/>
    </w:lvlOverride>
  </w:num>
  <w:num w:numId="17">
    <w:abstractNumId w:val="14"/>
    <w:lvlOverride w:ilvl="0">
      <w:startOverride w:val="1"/>
    </w:lvlOverride>
  </w:num>
  <w:num w:numId="18">
    <w:abstractNumId w:val="23"/>
    <w:lvlOverride w:ilvl="0">
      <w:startOverride w:val="1"/>
    </w:lvlOverride>
  </w:num>
  <w:num w:numId="19">
    <w:abstractNumId w:val="26"/>
  </w:num>
  <w:num w:numId="20">
    <w:abstractNumId w:val="23"/>
    <w:lvlOverride w:ilvl="0">
      <w:startOverride w:val="1"/>
    </w:lvlOverride>
  </w:num>
  <w:num w:numId="21">
    <w:abstractNumId w:val="14"/>
    <w:lvlOverride w:ilvl="0">
      <w:startOverride w:val="1"/>
    </w:lvlOverride>
  </w:num>
  <w:num w:numId="22">
    <w:abstractNumId w:val="30"/>
  </w:num>
  <w:num w:numId="23">
    <w:abstractNumId w:val="23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21"/>
  </w:num>
  <w:num w:numId="30">
    <w:abstractNumId w:val="17"/>
  </w:num>
  <w:num w:numId="31">
    <w:abstractNumId w:val="33"/>
  </w:num>
  <w:num w:numId="32">
    <w:abstractNumId w:val="6"/>
  </w:num>
  <w:num w:numId="33">
    <w:abstractNumId w:val="7"/>
  </w:num>
  <w:num w:numId="34">
    <w:abstractNumId w:val="32"/>
  </w:num>
  <w:num w:numId="35">
    <w:abstractNumId w:val="22"/>
  </w:num>
  <w:num w:numId="36">
    <w:abstractNumId w:val="24"/>
  </w:num>
  <w:num w:numId="37">
    <w:abstractNumId w:val="8"/>
  </w:num>
  <w:num w:numId="38">
    <w:abstractNumId w:val="12"/>
  </w:num>
  <w:num w:numId="39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</w:num>
  <w:num w:numId="41">
    <w:abstractNumId w:val="14"/>
  </w:num>
  <w:num w:numId="42">
    <w:abstractNumId w:val="14"/>
  </w:num>
  <w:num w:numId="43">
    <w:abstractNumId w:val="14"/>
  </w:num>
  <w:num w:numId="44">
    <w:abstractNumId w:val="28"/>
  </w:num>
  <w:num w:numId="45">
    <w:abstractNumId w:val="31"/>
  </w:num>
  <w:num w:numId="46">
    <w:abstractNumId w:val="29"/>
  </w:num>
  <w:num w:numId="47">
    <w:abstractNumId w:val="13"/>
  </w:num>
  <w:num w:numId="48">
    <w:abstractNumId w:val="20"/>
  </w:num>
  <w:num w:numId="4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C5B"/>
    <w:rsid w:val="00002A37"/>
    <w:rsid w:val="00006446"/>
    <w:rsid w:val="00006896"/>
    <w:rsid w:val="00006B58"/>
    <w:rsid w:val="00007CDC"/>
    <w:rsid w:val="00011153"/>
    <w:rsid w:val="00011B28"/>
    <w:rsid w:val="0001207F"/>
    <w:rsid w:val="00012D65"/>
    <w:rsid w:val="00014E6A"/>
    <w:rsid w:val="00015D15"/>
    <w:rsid w:val="00016E88"/>
    <w:rsid w:val="000176B2"/>
    <w:rsid w:val="00020538"/>
    <w:rsid w:val="0002564D"/>
    <w:rsid w:val="00025ECA"/>
    <w:rsid w:val="00026008"/>
    <w:rsid w:val="0002609C"/>
    <w:rsid w:val="00027939"/>
    <w:rsid w:val="000302D0"/>
    <w:rsid w:val="000325B8"/>
    <w:rsid w:val="00033F83"/>
    <w:rsid w:val="000344F1"/>
    <w:rsid w:val="00034AE9"/>
    <w:rsid w:val="00034C15"/>
    <w:rsid w:val="000364F5"/>
    <w:rsid w:val="00036BA1"/>
    <w:rsid w:val="00042049"/>
    <w:rsid w:val="000422E2"/>
    <w:rsid w:val="00042F22"/>
    <w:rsid w:val="000444EF"/>
    <w:rsid w:val="000455B9"/>
    <w:rsid w:val="00050B9F"/>
    <w:rsid w:val="00051FE1"/>
    <w:rsid w:val="00052A07"/>
    <w:rsid w:val="000534E3"/>
    <w:rsid w:val="0005606A"/>
    <w:rsid w:val="00057117"/>
    <w:rsid w:val="00057276"/>
    <w:rsid w:val="00057E2C"/>
    <w:rsid w:val="00060FD1"/>
    <w:rsid w:val="000616E7"/>
    <w:rsid w:val="00063C67"/>
    <w:rsid w:val="0006487E"/>
    <w:rsid w:val="00065E1A"/>
    <w:rsid w:val="00067548"/>
    <w:rsid w:val="00072D36"/>
    <w:rsid w:val="00075168"/>
    <w:rsid w:val="00077E5F"/>
    <w:rsid w:val="0008036A"/>
    <w:rsid w:val="00081AE6"/>
    <w:rsid w:val="00082017"/>
    <w:rsid w:val="000821B8"/>
    <w:rsid w:val="000841B9"/>
    <w:rsid w:val="000841EB"/>
    <w:rsid w:val="0008434E"/>
    <w:rsid w:val="000855EB"/>
    <w:rsid w:val="00085B52"/>
    <w:rsid w:val="000866F2"/>
    <w:rsid w:val="00086FD0"/>
    <w:rsid w:val="0009009F"/>
    <w:rsid w:val="00090B21"/>
    <w:rsid w:val="00091557"/>
    <w:rsid w:val="000924C1"/>
    <w:rsid w:val="000924F0"/>
    <w:rsid w:val="00093474"/>
    <w:rsid w:val="0009510F"/>
    <w:rsid w:val="00096079"/>
    <w:rsid w:val="000A01BF"/>
    <w:rsid w:val="000A0795"/>
    <w:rsid w:val="000A19D5"/>
    <w:rsid w:val="000A1B7B"/>
    <w:rsid w:val="000A2E8D"/>
    <w:rsid w:val="000A56F2"/>
    <w:rsid w:val="000A7958"/>
    <w:rsid w:val="000B2719"/>
    <w:rsid w:val="000B2793"/>
    <w:rsid w:val="000B2AD4"/>
    <w:rsid w:val="000B3A8F"/>
    <w:rsid w:val="000B3BB4"/>
    <w:rsid w:val="000B4AB9"/>
    <w:rsid w:val="000B4CF7"/>
    <w:rsid w:val="000B58C3"/>
    <w:rsid w:val="000B61E9"/>
    <w:rsid w:val="000B7068"/>
    <w:rsid w:val="000B7CF7"/>
    <w:rsid w:val="000C0B03"/>
    <w:rsid w:val="000C0F46"/>
    <w:rsid w:val="000C165A"/>
    <w:rsid w:val="000C1A51"/>
    <w:rsid w:val="000C2E19"/>
    <w:rsid w:val="000C302A"/>
    <w:rsid w:val="000C3084"/>
    <w:rsid w:val="000C3BB5"/>
    <w:rsid w:val="000C65B7"/>
    <w:rsid w:val="000D0D07"/>
    <w:rsid w:val="000D1C00"/>
    <w:rsid w:val="000D2ACE"/>
    <w:rsid w:val="000D4797"/>
    <w:rsid w:val="000D4C5E"/>
    <w:rsid w:val="000E0527"/>
    <w:rsid w:val="000E1E92"/>
    <w:rsid w:val="000E58DF"/>
    <w:rsid w:val="000E5D8D"/>
    <w:rsid w:val="000E7C6F"/>
    <w:rsid w:val="000F06D6"/>
    <w:rsid w:val="000F0EB1"/>
    <w:rsid w:val="000F1106"/>
    <w:rsid w:val="000F2040"/>
    <w:rsid w:val="000F3AF3"/>
    <w:rsid w:val="000F3BE9"/>
    <w:rsid w:val="000F3F6C"/>
    <w:rsid w:val="000F5C00"/>
    <w:rsid w:val="000F6DF3"/>
    <w:rsid w:val="001005FF"/>
    <w:rsid w:val="001062FB"/>
    <w:rsid w:val="001063E6"/>
    <w:rsid w:val="00107197"/>
    <w:rsid w:val="00112BC6"/>
    <w:rsid w:val="00113CF4"/>
    <w:rsid w:val="001153EA"/>
    <w:rsid w:val="00115643"/>
    <w:rsid w:val="00116765"/>
    <w:rsid w:val="00117B7E"/>
    <w:rsid w:val="0012078D"/>
    <w:rsid w:val="0012080F"/>
    <w:rsid w:val="001219F5"/>
    <w:rsid w:val="00121A20"/>
    <w:rsid w:val="00122F2E"/>
    <w:rsid w:val="00123610"/>
    <w:rsid w:val="0012377F"/>
    <w:rsid w:val="00124314"/>
    <w:rsid w:val="001254E8"/>
    <w:rsid w:val="00126B4A"/>
    <w:rsid w:val="001272AC"/>
    <w:rsid w:val="00127B88"/>
    <w:rsid w:val="00127E49"/>
    <w:rsid w:val="00131DAF"/>
    <w:rsid w:val="00131EC3"/>
    <w:rsid w:val="00132FD0"/>
    <w:rsid w:val="00133CEB"/>
    <w:rsid w:val="001344C0"/>
    <w:rsid w:val="001346FA"/>
    <w:rsid w:val="00135252"/>
    <w:rsid w:val="00135588"/>
    <w:rsid w:val="00137194"/>
    <w:rsid w:val="00137AB5"/>
    <w:rsid w:val="00137ED0"/>
    <w:rsid w:val="00137F0B"/>
    <w:rsid w:val="001406B8"/>
    <w:rsid w:val="001416F8"/>
    <w:rsid w:val="00141A7D"/>
    <w:rsid w:val="00145D40"/>
    <w:rsid w:val="00146270"/>
    <w:rsid w:val="00146AD8"/>
    <w:rsid w:val="00151723"/>
    <w:rsid w:val="00151E23"/>
    <w:rsid w:val="001526E0"/>
    <w:rsid w:val="001550E1"/>
    <w:rsid w:val="001551B5"/>
    <w:rsid w:val="0015525E"/>
    <w:rsid w:val="0015531C"/>
    <w:rsid w:val="00155652"/>
    <w:rsid w:val="00155888"/>
    <w:rsid w:val="001608F0"/>
    <w:rsid w:val="00160DD8"/>
    <w:rsid w:val="001632FD"/>
    <w:rsid w:val="001643A8"/>
    <w:rsid w:val="0016465B"/>
    <w:rsid w:val="0016522A"/>
    <w:rsid w:val="001659C1"/>
    <w:rsid w:val="00165A59"/>
    <w:rsid w:val="0016607D"/>
    <w:rsid w:val="00171A1F"/>
    <w:rsid w:val="00171D4D"/>
    <w:rsid w:val="00171D60"/>
    <w:rsid w:val="00173A8E"/>
    <w:rsid w:val="0017489D"/>
    <w:rsid w:val="00177795"/>
    <w:rsid w:val="00180D4C"/>
    <w:rsid w:val="0018143F"/>
    <w:rsid w:val="00181887"/>
    <w:rsid w:val="00184585"/>
    <w:rsid w:val="00190AC1"/>
    <w:rsid w:val="001928DE"/>
    <w:rsid w:val="00192C10"/>
    <w:rsid w:val="0019341A"/>
    <w:rsid w:val="00195520"/>
    <w:rsid w:val="001963B6"/>
    <w:rsid w:val="00197BC4"/>
    <w:rsid w:val="00197DF9"/>
    <w:rsid w:val="001A1987"/>
    <w:rsid w:val="001A2564"/>
    <w:rsid w:val="001A2C49"/>
    <w:rsid w:val="001A45EE"/>
    <w:rsid w:val="001A4EC0"/>
    <w:rsid w:val="001A5E6F"/>
    <w:rsid w:val="001A6173"/>
    <w:rsid w:val="001A6CBA"/>
    <w:rsid w:val="001B0D97"/>
    <w:rsid w:val="001B1B9B"/>
    <w:rsid w:val="001B2E53"/>
    <w:rsid w:val="001B3012"/>
    <w:rsid w:val="001B5A5D"/>
    <w:rsid w:val="001B6053"/>
    <w:rsid w:val="001B6CE0"/>
    <w:rsid w:val="001B7DF3"/>
    <w:rsid w:val="001C1CE5"/>
    <w:rsid w:val="001C3D2A"/>
    <w:rsid w:val="001C3D73"/>
    <w:rsid w:val="001C4A35"/>
    <w:rsid w:val="001C5950"/>
    <w:rsid w:val="001C6495"/>
    <w:rsid w:val="001C67E3"/>
    <w:rsid w:val="001C7060"/>
    <w:rsid w:val="001D02D8"/>
    <w:rsid w:val="001D05CD"/>
    <w:rsid w:val="001D280D"/>
    <w:rsid w:val="001D2FFD"/>
    <w:rsid w:val="001D3AD3"/>
    <w:rsid w:val="001D4132"/>
    <w:rsid w:val="001D4ABC"/>
    <w:rsid w:val="001D51BA"/>
    <w:rsid w:val="001D6342"/>
    <w:rsid w:val="001D6D53"/>
    <w:rsid w:val="001E1D1D"/>
    <w:rsid w:val="001E344E"/>
    <w:rsid w:val="001E58E2"/>
    <w:rsid w:val="001E7AED"/>
    <w:rsid w:val="001F15FB"/>
    <w:rsid w:val="001F3916"/>
    <w:rsid w:val="001F4AB0"/>
    <w:rsid w:val="001F54C5"/>
    <w:rsid w:val="001F662C"/>
    <w:rsid w:val="001F7074"/>
    <w:rsid w:val="001F718F"/>
    <w:rsid w:val="00200490"/>
    <w:rsid w:val="00200F45"/>
    <w:rsid w:val="00201F3A"/>
    <w:rsid w:val="00203F96"/>
    <w:rsid w:val="0020419A"/>
    <w:rsid w:val="00204846"/>
    <w:rsid w:val="0020661F"/>
    <w:rsid w:val="002069B2"/>
    <w:rsid w:val="00206C08"/>
    <w:rsid w:val="00207F96"/>
    <w:rsid w:val="00207FA3"/>
    <w:rsid w:val="00214DA8"/>
    <w:rsid w:val="0021518A"/>
    <w:rsid w:val="00215423"/>
    <w:rsid w:val="002158FA"/>
    <w:rsid w:val="00216564"/>
    <w:rsid w:val="00216EB1"/>
    <w:rsid w:val="002202E1"/>
    <w:rsid w:val="00220600"/>
    <w:rsid w:val="00221997"/>
    <w:rsid w:val="002224DB"/>
    <w:rsid w:val="00222DEF"/>
    <w:rsid w:val="00223FCB"/>
    <w:rsid w:val="002252C3"/>
    <w:rsid w:val="00225C54"/>
    <w:rsid w:val="00225E7C"/>
    <w:rsid w:val="002261EF"/>
    <w:rsid w:val="0023019F"/>
    <w:rsid w:val="00230568"/>
    <w:rsid w:val="00230765"/>
    <w:rsid w:val="002319E4"/>
    <w:rsid w:val="00233AFC"/>
    <w:rsid w:val="00235562"/>
    <w:rsid w:val="00235632"/>
    <w:rsid w:val="00235872"/>
    <w:rsid w:val="00241559"/>
    <w:rsid w:val="00241B98"/>
    <w:rsid w:val="00242973"/>
    <w:rsid w:val="00242A0A"/>
    <w:rsid w:val="002435B3"/>
    <w:rsid w:val="00244DBD"/>
    <w:rsid w:val="0024547B"/>
    <w:rsid w:val="002454D4"/>
    <w:rsid w:val="002458EB"/>
    <w:rsid w:val="002500C8"/>
    <w:rsid w:val="00250F16"/>
    <w:rsid w:val="0025167F"/>
    <w:rsid w:val="00254378"/>
    <w:rsid w:val="002558D7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6214"/>
    <w:rsid w:val="00267C58"/>
    <w:rsid w:val="00267C83"/>
    <w:rsid w:val="0027144F"/>
    <w:rsid w:val="00271F3A"/>
    <w:rsid w:val="0027208A"/>
    <w:rsid w:val="00272796"/>
    <w:rsid w:val="00273278"/>
    <w:rsid w:val="002737F4"/>
    <w:rsid w:val="0027455E"/>
    <w:rsid w:val="00275CAD"/>
    <w:rsid w:val="002803F3"/>
    <w:rsid w:val="002805F5"/>
    <w:rsid w:val="00280751"/>
    <w:rsid w:val="0028280A"/>
    <w:rsid w:val="00286ACD"/>
    <w:rsid w:val="00287838"/>
    <w:rsid w:val="00287895"/>
    <w:rsid w:val="002907B5"/>
    <w:rsid w:val="00292E71"/>
    <w:rsid w:val="00292EB7"/>
    <w:rsid w:val="00293B29"/>
    <w:rsid w:val="00293F02"/>
    <w:rsid w:val="00296227"/>
    <w:rsid w:val="00296F44"/>
    <w:rsid w:val="0029774E"/>
    <w:rsid w:val="0029777D"/>
    <w:rsid w:val="002A036D"/>
    <w:rsid w:val="002A055E"/>
    <w:rsid w:val="002A1D4E"/>
    <w:rsid w:val="002A2117"/>
    <w:rsid w:val="002A2869"/>
    <w:rsid w:val="002A45C6"/>
    <w:rsid w:val="002A50D7"/>
    <w:rsid w:val="002A5160"/>
    <w:rsid w:val="002A75FE"/>
    <w:rsid w:val="002B06F0"/>
    <w:rsid w:val="002B0B1F"/>
    <w:rsid w:val="002B24D6"/>
    <w:rsid w:val="002B2CC5"/>
    <w:rsid w:val="002B467E"/>
    <w:rsid w:val="002B47B7"/>
    <w:rsid w:val="002B7F65"/>
    <w:rsid w:val="002C244C"/>
    <w:rsid w:val="002C31CA"/>
    <w:rsid w:val="002C32A1"/>
    <w:rsid w:val="002C39FD"/>
    <w:rsid w:val="002C40EF"/>
    <w:rsid w:val="002C41E6"/>
    <w:rsid w:val="002D00AE"/>
    <w:rsid w:val="002D022A"/>
    <w:rsid w:val="002D071A"/>
    <w:rsid w:val="002D34B2"/>
    <w:rsid w:val="002D362A"/>
    <w:rsid w:val="002D4ADC"/>
    <w:rsid w:val="002D5402"/>
    <w:rsid w:val="002D5976"/>
    <w:rsid w:val="002D7637"/>
    <w:rsid w:val="002E14D6"/>
    <w:rsid w:val="002E17F2"/>
    <w:rsid w:val="002E3CAE"/>
    <w:rsid w:val="002E3DED"/>
    <w:rsid w:val="002E64DB"/>
    <w:rsid w:val="002E7CAE"/>
    <w:rsid w:val="002F246A"/>
    <w:rsid w:val="002F2771"/>
    <w:rsid w:val="002F3420"/>
    <w:rsid w:val="002F37A9"/>
    <w:rsid w:val="002F421A"/>
    <w:rsid w:val="002F4796"/>
    <w:rsid w:val="00300010"/>
    <w:rsid w:val="00301CE6"/>
    <w:rsid w:val="0030256B"/>
    <w:rsid w:val="00303FC5"/>
    <w:rsid w:val="0030501F"/>
    <w:rsid w:val="00305A9E"/>
    <w:rsid w:val="00305D11"/>
    <w:rsid w:val="003060DE"/>
    <w:rsid w:val="00307047"/>
    <w:rsid w:val="00307BA1"/>
    <w:rsid w:val="00311702"/>
    <w:rsid w:val="00311E82"/>
    <w:rsid w:val="00313FD6"/>
    <w:rsid w:val="003143BD"/>
    <w:rsid w:val="003177E4"/>
    <w:rsid w:val="00317B01"/>
    <w:rsid w:val="003203ED"/>
    <w:rsid w:val="003207D7"/>
    <w:rsid w:val="00322C9F"/>
    <w:rsid w:val="00322CD7"/>
    <w:rsid w:val="003248B5"/>
    <w:rsid w:val="00324D23"/>
    <w:rsid w:val="003261A9"/>
    <w:rsid w:val="00327044"/>
    <w:rsid w:val="00331751"/>
    <w:rsid w:val="00334579"/>
    <w:rsid w:val="00334708"/>
    <w:rsid w:val="00335858"/>
    <w:rsid w:val="00335A88"/>
    <w:rsid w:val="0033621A"/>
    <w:rsid w:val="00336BDA"/>
    <w:rsid w:val="0034033C"/>
    <w:rsid w:val="003408A5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5862"/>
    <w:rsid w:val="00346DB5"/>
    <w:rsid w:val="003477B1"/>
    <w:rsid w:val="003508BF"/>
    <w:rsid w:val="00351A57"/>
    <w:rsid w:val="003526DA"/>
    <w:rsid w:val="0035482C"/>
    <w:rsid w:val="00355135"/>
    <w:rsid w:val="0035709A"/>
    <w:rsid w:val="00357380"/>
    <w:rsid w:val="003602D9"/>
    <w:rsid w:val="003604CE"/>
    <w:rsid w:val="00361478"/>
    <w:rsid w:val="0036161E"/>
    <w:rsid w:val="00362DE3"/>
    <w:rsid w:val="00365A6D"/>
    <w:rsid w:val="00366717"/>
    <w:rsid w:val="00366D3B"/>
    <w:rsid w:val="003670B6"/>
    <w:rsid w:val="00370E47"/>
    <w:rsid w:val="003714E8"/>
    <w:rsid w:val="003735E5"/>
    <w:rsid w:val="003742AC"/>
    <w:rsid w:val="00374C70"/>
    <w:rsid w:val="00375204"/>
    <w:rsid w:val="003768C5"/>
    <w:rsid w:val="00377CE1"/>
    <w:rsid w:val="00385BF0"/>
    <w:rsid w:val="0038629C"/>
    <w:rsid w:val="00387618"/>
    <w:rsid w:val="00387BA7"/>
    <w:rsid w:val="00390264"/>
    <w:rsid w:val="003939FF"/>
    <w:rsid w:val="00396A2D"/>
    <w:rsid w:val="00397681"/>
    <w:rsid w:val="003A127C"/>
    <w:rsid w:val="003A2223"/>
    <w:rsid w:val="003A23C7"/>
    <w:rsid w:val="003A254F"/>
    <w:rsid w:val="003A2A0F"/>
    <w:rsid w:val="003A369D"/>
    <w:rsid w:val="003A45A1"/>
    <w:rsid w:val="003A5B0A"/>
    <w:rsid w:val="003A6BAC"/>
    <w:rsid w:val="003A7EF3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FE5"/>
    <w:rsid w:val="003C0766"/>
    <w:rsid w:val="003C10D1"/>
    <w:rsid w:val="003C11C8"/>
    <w:rsid w:val="003C1869"/>
    <w:rsid w:val="003C2702"/>
    <w:rsid w:val="003C2F3A"/>
    <w:rsid w:val="003C383A"/>
    <w:rsid w:val="003C4788"/>
    <w:rsid w:val="003C7806"/>
    <w:rsid w:val="003D03A4"/>
    <w:rsid w:val="003D109F"/>
    <w:rsid w:val="003D1E65"/>
    <w:rsid w:val="003D2478"/>
    <w:rsid w:val="003D2D9C"/>
    <w:rsid w:val="003D2FC4"/>
    <w:rsid w:val="003D387A"/>
    <w:rsid w:val="003D3C45"/>
    <w:rsid w:val="003D4532"/>
    <w:rsid w:val="003D5B1F"/>
    <w:rsid w:val="003D5E2C"/>
    <w:rsid w:val="003E0F12"/>
    <w:rsid w:val="003E10E7"/>
    <w:rsid w:val="003E15FA"/>
    <w:rsid w:val="003E21B4"/>
    <w:rsid w:val="003E3CA5"/>
    <w:rsid w:val="003E45F5"/>
    <w:rsid w:val="003E4EAD"/>
    <w:rsid w:val="003E55E4"/>
    <w:rsid w:val="003E5613"/>
    <w:rsid w:val="003E6588"/>
    <w:rsid w:val="003E74E3"/>
    <w:rsid w:val="003E75BA"/>
    <w:rsid w:val="003F05C7"/>
    <w:rsid w:val="003F1D11"/>
    <w:rsid w:val="003F1D35"/>
    <w:rsid w:val="003F2CD4"/>
    <w:rsid w:val="003F3088"/>
    <w:rsid w:val="003F38B8"/>
    <w:rsid w:val="003F6BBE"/>
    <w:rsid w:val="003F75E8"/>
    <w:rsid w:val="004000E8"/>
    <w:rsid w:val="00400EA0"/>
    <w:rsid w:val="004014F3"/>
    <w:rsid w:val="00402DD0"/>
    <w:rsid w:val="00402E2B"/>
    <w:rsid w:val="00403E95"/>
    <w:rsid w:val="0040512B"/>
    <w:rsid w:val="00405B22"/>
    <w:rsid w:val="00405CA5"/>
    <w:rsid w:val="0040709E"/>
    <w:rsid w:val="0040715C"/>
    <w:rsid w:val="00407CD3"/>
    <w:rsid w:val="00410134"/>
    <w:rsid w:val="00410B72"/>
    <w:rsid w:val="00410F18"/>
    <w:rsid w:val="0041263E"/>
    <w:rsid w:val="00413AAC"/>
    <w:rsid w:val="00413EFB"/>
    <w:rsid w:val="00415A4C"/>
    <w:rsid w:val="00416B1B"/>
    <w:rsid w:val="00417BAF"/>
    <w:rsid w:val="00417EB0"/>
    <w:rsid w:val="00420DC3"/>
    <w:rsid w:val="00421105"/>
    <w:rsid w:val="00421755"/>
    <w:rsid w:val="004234D8"/>
    <w:rsid w:val="00423C9D"/>
    <w:rsid w:val="004242F4"/>
    <w:rsid w:val="00427248"/>
    <w:rsid w:val="00427C68"/>
    <w:rsid w:val="0043123D"/>
    <w:rsid w:val="004332BB"/>
    <w:rsid w:val="00433B47"/>
    <w:rsid w:val="0043448A"/>
    <w:rsid w:val="004351A3"/>
    <w:rsid w:val="00435213"/>
    <w:rsid w:val="00435CD3"/>
    <w:rsid w:val="00435ECC"/>
    <w:rsid w:val="00437447"/>
    <w:rsid w:val="004374BA"/>
    <w:rsid w:val="00440548"/>
    <w:rsid w:val="00440B16"/>
    <w:rsid w:val="00441A92"/>
    <w:rsid w:val="00443BE9"/>
    <w:rsid w:val="00444AAD"/>
    <w:rsid w:val="00444C54"/>
    <w:rsid w:val="00444C6F"/>
    <w:rsid w:val="00444F56"/>
    <w:rsid w:val="00445D84"/>
    <w:rsid w:val="004462C8"/>
    <w:rsid w:val="00446488"/>
    <w:rsid w:val="004517AA"/>
    <w:rsid w:val="00451811"/>
    <w:rsid w:val="004521EC"/>
    <w:rsid w:val="00452CAC"/>
    <w:rsid w:val="00452F5B"/>
    <w:rsid w:val="00453200"/>
    <w:rsid w:val="00453851"/>
    <w:rsid w:val="00453875"/>
    <w:rsid w:val="00457565"/>
    <w:rsid w:val="00457B71"/>
    <w:rsid w:val="00460DB9"/>
    <w:rsid w:val="00461FDF"/>
    <w:rsid w:val="00462F46"/>
    <w:rsid w:val="0046300D"/>
    <w:rsid w:val="00464200"/>
    <w:rsid w:val="00465F3A"/>
    <w:rsid w:val="004669E2"/>
    <w:rsid w:val="004671E7"/>
    <w:rsid w:val="00470C31"/>
    <w:rsid w:val="0047157F"/>
    <w:rsid w:val="00471AA9"/>
    <w:rsid w:val="004726C7"/>
    <w:rsid w:val="004734D0"/>
    <w:rsid w:val="00474804"/>
    <w:rsid w:val="0047556B"/>
    <w:rsid w:val="004759D0"/>
    <w:rsid w:val="00475AC8"/>
    <w:rsid w:val="004769FA"/>
    <w:rsid w:val="00476B40"/>
    <w:rsid w:val="00477768"/>
    <w:rsid w:val="004835D6"/>
    <w:rsid w:val="004846D1"/>
    <w:rsid w:val="004850E5"/>
    <w:rsid w:val="00485BC6"/>
    <w:rsid w:val="00492BC5"/>
    <w:rsid w:val="00493F23"/>
    <w:rsid w:val="00494430"/>
    <w:rsid w:val="004961CE"/>
    <w:rsid w:val="004963BF"/>
    <w:rsid w:val="004964F1"/>
    <w:rsid w:val="004970B3"/>
    <w:rsid w:val="004A16BC"/>
    <w:rsid w:val="004A2B94"/>
    <w:rsid w:val="004A7E7F"/>
    <w:rsid w:val="004B155E"/>
    <w:rsid w:val="004B2BC9"/>
    <w:rsid w:val="004B2FD1"/>
    <w:rsid w:val="004B3ACB"/>
    <w:rsid w:val="004B563D"/>
    <w:rsid w:val="004B7C0C"/>
    <w:rsid w:val="004C01C8"/>
    <w:rsid w:val="004C2328"/>
    <w:rsid w:val="004C2D6E"/>
    <w:rsid w:val="004C3898"/>
    <w:rsid w:val="004C54C2"/>
    <w:rsid w:val="004C6EDD"/>
    <w:rsid w:val="004D18D8"/>
    <w:rsid w:val="004D2237"/>
    <w:rsid w:val="004D36B1"/>
    <w:rsid w:val="004D7EBD"/>
    <w:rsid w:val="004E0BD6"/>
    <w:rsid w:val="004E1A9A"/>
    <w:rsid w:val="004E2680"/>
    <w:rsid w:val="004E2847"/>
    <w:rsid w:val="004E28F9"/>
    <w:rsid w:val="004E2A64"/>
    <w:rsid w:val="004E38F5"/>
    <w:rsid w:val="004E462E"/>
    <w:rsid w:val="004E4F53"/>
    <w:rsid w:val="004E56DC"/>
    <w:rsid w:val="004E5AC2"/>
    <w:rsid w:val="004E6960"/>
    <w:rsid w:val="004E76F4"/>
    <w:rsid w:val="004E7980"/>
    <w:rsid w:val="004F0B4E"/>
    <w:rsid w:val="004F0B6C"/>
    <w:rsid w:val="004F2078"/>
    <w:rsid w:val="004F4DA3"/>
    <w:rsid w:val="004F7740"/>
    <w:rsid w:val="004F7EA9"/>
    <w:rsid w:val="0050054E"/>
    <w:rsid w:val="00500754"/>
    <w:rsid w:val="00502773"/>
    <w:rsid w:val="0050361D"/>
    <w:rsid w:val="00503A6D"/>
    <w:rsid w:val="0050462F"/>
    <w:rsid w:val="00504651"/>
    <w:rsid w:val="005054B0"/>
    <w:rsid w:val="00506557"/>
    <w:rsid w:val="0050677A"/>
    <w:rsid w:val="00507454"/>
    <w:rsid w:val="005079A0"/>
    <w:rsid w:val="005108D8"/>
    <w:rsid w:val="005111A1"/>
    <w:rsid w:val="005116F9"/>
    <w:rsid w:val="005153A7"/>
    <w:rsid w:val="005154C5"/>
    <w:rsid w:val="00517303"/>
    <w:rsid w:val="005219CF"/>
    <w:rsid w:val="00522D07"/>
    <w:rsid w:val="00525F75"/>
    <w:rsid w:val="005267A6"/>
    <w:rsid w:val="00526C0D"/>
    <w:rsid w:val="00527104"/>
    <w:rsid w:val="00531534"/>
    <w:rsid w:val="00531CAC"/>
    <w:rsid w:val="00531F1D"/>
    <w:rsid w:val="00532331"/>
    <w:rsid w:val="00532546"/>
    <w:rsid w:val="005336B9"/>
    <w:rsid w:val="005338D0"/>
    <w:rsid w:val="005343FA"/>
    <w:rsid w:val="00534B59"/>
    <w:rsid w:val="00536759"/>
    <w:rsid w:val="005369A8"/>
    <w:rsid w:val="00537C62"/>
    <w:rsid w:val="00543336"/>
    <w:rsid w:val="00543775"/>
    <w:rsid w:val="00546970"/>
    <w:rsid w:val="00547A14"/>
    <w:rsid w:val="00547F05"/>
    <w:rsid w:val="0055001B"/>
    <w:rsid w:val="00553715"/>
    <w:rsid w:val="00554E19"/>
    <w:rsid w:val="00555D73"/>
    <w:rsid w:val="005564FC"/>
    <w:rsid w:val="005579C5"/>
    <w:rsid w:val="00561182"/>
    <w:rsid w:val="0056121F"/>
    <w:rsid w:val="00561320"/>
    <w:rsid w:val="00562064"/>
    <w:rsid w:val="0056299D"/>
    <w:rsid w:val="00562A1A"/>
    <w:rsid w:val="0056356C"/>
    <w:rsid w:val="005636E8"/>
    <w:rsid w:val="00572505"/>
    <w:rsid w:val="00572CE8"/>
    <w:rsid w:val="00580202"/>
    <w:rsid w:val="00582746"/>
    <w:rsid w:val="00582809"/>
    <w:rsid w:val="00582A4A"/>
    <w:rsid w:val="00584ABE"/>
    <w:rsid w:val="0058563E"/>
    <w:rsid w:val="005874C6"/>
    <w:rsid w:val="0058798C"/>
    <w:rsid w:val="00587BD2"/>
    <w:rsid w:val="005900FA"/>
    <w:rsid w:val="005923F4"/>
    <w:rsid w:val="005935A4"/>
    <w:rsid w:val="005948C2"/>
    <w:rsid w:val="00595DCA"/>
    <w:rsid w:val="0059779B"/>
    <w:rsid w:val="005A0D5F"/>
    <w:rsid w:val="005A147F"/>
    <w:rsid w:val="005A1D12"/>
    <w:rsid w:val="005A209A"/>
    <w:rsid w:val="005A2A38"/>
    <w:rsid w:val="005A3ADD"/>
    <w:rsid w:val="005A4518"/>
    <w:rsid w:val="005A5323"/>
    <w:rsid w:val="005A662D"/>
    <w:rsid w:val="005B35D7"/>
    <w:rsid w:val="005B392A"/>
    <w:rsid w:val="005B3AA3"/>
    <w:rsid w:val="005B41BD"/>
    <w:rsid w:val="005B4E16"/>
    <w:rsid w:val="005B6F83"/>
    <w:rsid w:val="005C04B6"/>
    <w:rsid w:val="005C25FC"/>
    <w:rsid w:val="005C2995"/>
    <w:rsid w:val="005C32E7"/>
    <w:rsid w:val="005C470A"/>
    <w:rsid w:val="005C493C"/>
    <w:rsid w:val="005C74FB"/>
    <w:rsid w:val="005D1498"/>
    <w:rsid w:val="005D1602"/>
    <w:rsid w:val="005D1A70"/>
    <w:rsid w:val="005D65DE"/>
    <w:rsid w:val="005D6B0B"/>
    <w:rsid w:val="005D7BBD"/>
    <w:rsid w:val="005E12A6"/>
    <w:rsid w:val="005E30FD"/>
    <w:rsid w:val="005E385F"/>
    <w:rsid w:val="005E3915"/>
    <w:rsid w:val="005E45BC"/>
    <w:rsid w:val="005E5B81"/>
    <w:rsid w:val="005E5D85"/>
    <w:rsid w:val="005F06E0"/>
    <w:rsid w:val="005F168C"/>
    <w:rsid w:val="005F2CB1"/>
    <w:rsid w:val="005F3025"/>
    <w:rsid w:val="005F3AC1"/>
    <w:rsid w:val="005F4D03"/>
    <w:rsid w:val="005F50BF"/>
    <w:rsid w:val="005F528E"/>
    <w:rsid w:val="005F5AF7"/>
    <w:rsid w:val="005F618C"/>
    <w:rsid w:val="005F6777"/>
    <w:rsid w:val="005F70BD"/>
    <w:rsid w:val="00601ACA"/>
    <w:rsid w:val="0060283C"/>
    <w:rsid w:val="00602CC9"/>
    <w:rsid w:val="00604F14"/>
    <w:rsid w:val="00605F62"/>
    <w:rsid w:val="00610371"/>
    <w:rsid w:val="00611B83"/>
    <w:rsid w:val="00611BEC"/>
    <w:rsid w:val="00613257"/>
    <w:rsid w:val="00620A71"/>
    <w:rsid w:val="00620D80"/>
    <w:rsid w:val="006234A6"/>
    <w:rsid w:val="00624D23"/>
    <w:rsid w:val="00624F8F"/>
    <w:rsid w:val="00625051"/>
    <w:rsid w:val="006276C5"/>
    <w:rsid w:val="00630001"/>
    <w:rsid w:val="006311B3"/>
    <w:rsid w:val="0063284C"/>
    <w:rsid w:val="00632C35"/>
    <w:rsid w:val="00633833"/>
    <w:rsid w:val="0063397D"/>
    <w:rsid w:val="00634E62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304C"/>
    <w:rsid w:val="00643475"/>
    <w:rsid w:val="0064396A"/>
    <w:rsid w:val="0064624E"/>
    <w:rsid w:val="00646851"/>
    <w:rsid w:val="00650AB9"/>
    <w:rsid w:val="00650C8A"/>
    <w:rsid w:val="00651393"/>
    <w:rsid w:val="006523F3"/>
    <w:rsid w:val="006528F9"/>
    <w:rsid w:val="00652DCB"/>
    <w:rsid w:val="00654D99"/>
    <w:rsid w:val="00655733"/>
    <w:rsid w:val="00655A53"/>
    <w:rsid w:val="00655ACD"/>
    <w:rsid w:val="00656A92"/>
    <w:rsid w:val="00656DDE"/>
    <w:rsid w:val="0066011D"/>
    <w:rsid w:val="006607C0"/>
    <w:rsid w:val="006613A6"/>
    <w:rsid w:val="006627A2"/>
    <w:rsid w:val="006634E6"/>
    <w:rsid w:val="00663BE6"/>
    <w:rsid w:val="0066415F"/>
    <w:rsid w:val="0066547A"/>
    <w:rsid w:val="006655EE"/>
    <w:rsid w:val="00666D72"/>
    <w:rsid w:val="006675F9"/>
    <w:rsid w:val="00667EE7"/>
    <w:rsid w:val="00670051"/>
    <w:rsid w:val="00670922"/>
    <w:rsid w:val="00670BE1"/>
    <w:rsid w:val="00670E0F"/>
    <w:rsid w:val="0067218F"/>
    <w:rsid w:val="00673C16"/>
    <w:rsid w:val="00673DBC"/>
    <w:rsid w:val="006741F2"/>
    <w:rsid w:val="00674CC3"/>
    <w:rsid w:val="00675C72"/>
    <w:rsid w:val="00676012"/>
    <w:rsid w:val="00676AF2"/>
    <w:rsid w:val="006771F9"/>
    <w:rsid w:val="006776D7"/>
    <w:rsid w:val="00681003"/>
    <w:rsid w:val="006817C9"/>
    <w:rsid w:val="00681D82"/>
    <w:rsid w:val="00682BA6"/>
    <w:rsid w:val="00683ECE"/>
    <w:rsid w:val="00687E2C"/>
    <w:rsid w:val="00690B70"/>
    <w:rsid w:val="006913A9"/>
    <w:rsid w:val="00691F27"/>
    <w:rsid w:val="00692B16"/>
    <w:rsid w:val="00695FC2"/>
    <w:rsid w:val="00696949"/>
    <w:rsid w:val="00697052"/>
    <w:rsid w:val="00697220"/>
    <w:rsid w:val="006A30AF"/>
    <w:rsid w:val="006A46FB"/>
    <w:rsid w:val="006A5E28"/>
    <w:rsid w:val="006A6086"/>
    <w:rsid w:val="006A697B"/>
    <w:rsid w:val="006A7988"/>
    <w:rsid w:val="006A7AFF"/>
    <w:rsid w:val="006B1816"/>
    <w:rsid w:val="006B2099"/>
    <w:rsid w:val="006B2FD3"/>
    <w:rsid w:val="006B50CF"/>
    <w:rsid w:val="006B570D"/>
    <w:rsid w:val="006B5727"/>
    <w:rsid w:val="006B5C2B"/>
    <w:rsid w:val="006B5EE4"/>
    <w:rsid w:val="006B67CF"/>
    <w:rsid w:val="006B6BC3"/>
    <w:rsid w:val="006C03B8"/>
    <w:rsid w:val="006C44C2"/>
    <w:rsid w:val="006C5EC9"/>
    <w:rsid w:val="006C6059"/>
    <w:rsid w:val="006C6BE1"/>
    <w:rsid w:val="006C7522"/>
    <w:rsid w:val="006D0580"/>
    <w:rsid w:val="006D2A46"/>
    <w:rsid w:val="006D56C8"/>
    <w:rsid w:val="006D571C"/>
    <w:rsid w:val="006D5D00"/>
    <w:rsid w:val="006D666D"/>
    <w:rsid w:val="006D6F08"/>
    <w:rsid w:val="006D7811"/>
    <w:rsid w:val="006E062C"/>
    <w:rsid w:val="006E28B7"/>
    <w:rsid w:val="006E3310"/>
    <w:rsid w:val="006E4E39"/>
    <w:rsid w:val="006E565E"/>
    <w:rsid w:val="006E64B5"/>
    <w:rsid w:val="006E673D"/>
    <w:rsid w:val="006E7D3B"/>
    <w:rsid w:val="006F0B65"/>
    <w:rsid w:val="006F0CAD"/>
    <w:rsid w:val="006F1B70"/>
    <w:rsid w:val="006F341D"/>
    <w:rsid w:val="006F3CDE"/>
    <w:rsid w:val="006F58D4"/>
    <w:rsid w:val="006F6D56"/>
    <w:rsid w:val="006F7626"/>
    <w:rsid w:val="0070346E"/>
    <w:rsid w:val="00704406"/>
    <w:rsid w:val="00704EDB"/>
    <w:rsid w:val="0070537F"/>
    <w:rsid w:val="00705480"/>
    <w:rsid w:val="00705753"/>
    <w:rsid w:val="00706028"/>
    <w:rsid w:val="00706101"/>
    <w:rsid w:val="00707072"/>
    <w:rsid w:val="00707706"/>
    <w:rsid w:val="00707D61"/>
    <w:rsid w:val="00712287"/>
    <w:rsid w:val="007123B6"/>
    <w:rsid w:val="00712772"/>
    <w:rsid w:val="007146AF"/>
    <w:rsid w:val="007148D3"/>
    <w:rsid w:val="00715B9A"/>
    <w:rsid w:val="0071798B"/>
    <w:rsid w:val="00720376"/>
    <w:rsid w:val="007205B8"/>
    <w:rsid w:val="00721205"/>
    <w:rsid w:val="00721593"/>
    <w:rsid w:val="007231E6"/>
    <w:rsid w:val="00726EA6"/>
    <w:rsid w:val="00726ED5"/>
    <w:rsid w:val="00727208"/>
    <w:rsid w:val="00727680"/>
    <w:rsid w:val="007348B1"/>
    <w:rsid w:val="00734B23"/>
    <w:rsid w:val="007362A6"/>
    <w:rsid w:val="00736D7D"/>
    <w:rsid w:val="00740344"/>
    <w:rsid w:val="00740E58"/>
    <w:rsid w:val="00742612"/>
    <w:rsid w:val="00742E3D"/>
    <w:rsid w:val="0074405B"/>
    <w:rsid w:val="00744142"/>
    <w:rsid w:val="007445A0"/>
    <w:rsid w:val="00744ECC"/>
    <w:rsid w:val="0074524B"/>
    <w:rsid w:val="007460A0"/>
    <w:rsid w:val="00747751"/>
    <w:rsid w:val="00747B4D"/>
    <w:rsid w:val="00747D8B"/>
    <w:rsid w:val="00750580"/>
    <w:rsid w:val="00751228"/>
    <w:rsid w:val="007535D6"/>
    <w:rsid w:val="00753CAE"/>
    <w:rsid w:val="00754B9B"/>
    <w:rsid w:val="007571E1"/>
    <w:rsid w:val="007604B2"/>
    <w:rsid w:val="00763989"/>
    <w:rsid w:val="00764B17"/>
    <w:rsid w:val="00765281"/>
    <w:rsid w:val="00765787"/>
    <w:rsid w:val="00766BAD"/>
    <w:rsid w:val="00767A0C"/>
    <w:rsid w:val="007716C3"/>
    <w:rsid w:val="00772C01"/>
    <w:rsid w:val="007730BD"/>
    <w:rsid w:val="007755F2"/>
    <w:rsid w:val="00775BC4"/>
    <w:rsid w:val="00775C76"/>
    <w:rsid w:val="00776971"/>
    <w:rsid w:val="00777025"/>
    <w:rsid w:val="007804ED"/>
    <w:rsid w:val="0078177E"/>
    <w:rsid w:val="0078242F"/>
    <w:rsid w:val="0078304C"/>
    <w:rsid w:val="00783673"/>
    <w:rsid w:val="00783800"/>
    <w:rsid w:val="00783E9E"/>
    <w:rsid w:val="00785490"/>
    <w:rsid w:val="00790829"/>
    <w:rsid w:val="007913AC"/>
    <w:rsid w:val="007925EA"/>
    <w:rsid w:val="00793CD8"/>
    <w:rsid w:val="00793EEA"/>
    <w:rsid w:val="00795C92"/>
    <w:rsid w:val="00796231"/>
    <w:rsid w:val="007A000A"/>
    <w:rsid w:val="007A18AB"/>
    <w:rsid w:val="007A1CB3"/>
    <w:rsid w:val="007A306F"/>
    <w:rsid w:val="007A3A3A"/>
    <w:rsid w:val="007A3FE1"/>
    <w:rsid w:val="007A43A6"/>
    <w:rsid w:val="007A554B"/>
    <w:rsid w:val="007A58A6"/>
    <w:rsid w:val="007A5C78"/>
    <w:rsid w:val="007A7495"/>
    <w:rsid w:val="007B3D2D"/>
    <w:rsid w:val="007B50AE"/>
    <w:rsid w:val="007B51DF"/>
    <w:rsid w:val="007B5ACB"/>
    <w:rsid w:val="007C05DD"/>
    <w:rsid w:val="007C0A75"/>
    <w:rsid w:val="007C1C0A"/>
    <w:rsid w:val="007C2F4B"/>
    <w:rsid w:val="007C342A"/>
    <w:rsid w:val="007C3D18"/>
    <w:rsid w:val="007C40D0"/>
    <w:rsid w:val="007C528D"/>
    <w:rsid w:val="007C60BF"/>
    <w:rsid w:val="007C6A07"/>
    <w:rsid w:val="007C75A1"/>
    <w:rsid w:val="007C77A5"/>
    <w:rsid w:val="007D04E5"/>
    <w:rsid w:val="007D29A3"/>
    <w:rsid w:val="007D3941"/>
    <w:rsid w:val="007D3AD2"/>
    <w:rsid w:val="007D3FDF"/>
    <w:rsid w:val="007D5901"/>
    <w:rsid w:val="007D65C4"/>
    <w:rsid w:val="007D7526"/>
    <w:rsid w:val="007E050B"/>
    <w:rsid w:val="007E1DCF"/>
    <w:rsid w:val="007E28CE"/>
    <w:rsid w:val="007E324C"/>
    <w:rsid w:val="007E3ED6"/>
    <w:rsid w:val="007E4610"/>
    <w:rsid w:val="007E4715"/>
    <w:rsid w:val="007E505B"/>
    <w:rsid w:val="007E55D7"/>
    <w:rsid w:val="007E5FE8"/>
    <w:rsid w:val="007E6BD5"/>
    <w:rsid w:val="007E7091"/>
    <w:rsid w:val="007F0115"/>
    <w:rsid w:val="007F03C3"/>
    <w:rsid w:val="007F0A6C"/>
    <w:rsid w:val="007F0C73"/>
    <w:rsid w:val="007F1359"/>
    <w:rsid w:val="007F264E"/>
    <w:rsid w:val="007F26F1"/>
    <w:rsid w:val="0080049D"/>
    <w:rsid w:val="00802DCA"/>
    <w:rsid w:val="008036DF"/>
    <w:rsid w:val="00803B8A"/>
    <w:rsid w:val="00803FAE"/>
    <w:rsid w:val="0080605F"/>
    <w:rsid w:val="00807786"/>
    <w:rsid w:val="0081055B"/>
    <w:rsid w:val="00811425"/>
    <w:rsid w:val="00811505"/>
    <w:rsid w:val="00811FCB"/>
    <w:rsid w:val="008144B9"/>
    <w:rsid w:val="008158D6"/>
    <w:rsid w:val="0081606D"/>
    <w:rsid w:val="00817196"/>
    <w:rsid w:val="00817EDE"/>
    <w:rsid w:val="00821D89"/>
    <w:rsid w:val="00823081"/>
    <w:rsid w:val="008235DB"/>
    <w:rsid w:val="00824AB4"/>
    <w:rsid w:val="00824B72"/>
    <w:rsid w:val="00825C42"/>
    <w:rsid w:val="00825D25"/>
    <w:rsid w:val="00827D6F"/>
    <w:rsid w:val="00827E1A"/>
    <w:rsid w:val="008311F3"/>
    <w:rsid w:val="00831210"/>
    <w:rsid w:val="00832D13"/>
    <w:rsid w:val="0083765F"/>
    <w:rsid w:val="008376AC"/>
    <w:rsid w:val="0084116C"/>
    <w:rsid w:val="00841CB3"/>
    <w:rsid w:val="00842451"/>
    <w:rsid w:val="008444E8"/>
    <w:rsid w:val="00844E80"/>
    <w:rsid w:val="00846834"/>
    <w:rsid w:val="00846FE7"/>
    <w:rsid w:val="00847403"/>
    <w:rsid w:val="00847FC4"/>
    <w:rsid w:val="008504A2"/>
    <w:rsid w:val="00850CEC"/>
    <w:rsid w:val="00850E9E"/>
    <w:rsid w:val="0085247B"/>
    <w:rsid w:val="00854B3A"/>
    <w:rsid w:val="00856911"/>
    <w:rsid w:val="00857C84"/>
    <w:rsid w:val="00860458"/>
    <w:rsid w:val="008628C0"/>
    <w:rsid w:val="00865044"/>
    <w:rsid w:val="00865151"/>
    <w:rsid w:val="00865698"/>
    <w:rsid w:val="0086740A"/>
    <w:rsid w:val="0086758D"/>
    <w:rsid w:val="008677FD"/>
    <w:rsid w:val="008706D4"/>
    <w:rsid w:val="00870F8A"/>
    <w:rsid w:val="008719A4"/>
    <w:rsid w:val="00871D23"/>
    <w:rsid w:val="00873C26"/>
    <w:rsid w:val="00874312"/>
    <w:rsid w:val="0087437C"/>
    <w:rsid w:val="00875CD7"/>
    <w:rsid w:val="0087646B"/>
    <w:rsid w:val="00876B4D"/>
    <w:rsid w:val="00877F18"/>
    <w:rsid w:val="0088016B"/>
    <w:rsid w:val="008803CA"/>
    <w:rsid w:val="00884366"/>
    <w:rsid w:val="008864B9"/>
    <w:rsid w:val="0089173C"/>
    <w:rsid w:val="00893C6A"/>
    <w:rsid w:val="008940F7"/>
    <w:rsid w:val="00894A88"/>
    <w:rsid w:val="00895386"/>
    <w:rsid w:val="00895660"/>
    <w:rsid w:val="00897036"/>
    <w:rsid w:val="00897414"/>
    <w:rsid w:val="008A0628"/>
    <w:rsid w:val="008A21FF"/>
    <w:rsid w:val="008A2CE2"/>
    <w:rsid w:val="008A30AC"/>
    <w:rsid w:val="008A44B8"/>
    <w:rsid w:val="008A4CCF"/>
    <w:rsid w:val="008A4CE0"/>
    <w:rsid w:val="008A51A8"/>
    <w:rsid w:val="008A54C7"/>
    <w:rsid w:val="008A77D8"/>
    <w:rsid w:val="008A7858"/>
    <w:rsid w:val="008B0483"/>
    <w:rsid w:val="008B120C"/>
    <w:rsid w:val="008B40D0"/>
    <w:rsid w:val="008B51A0"/>
    <w:rsid w:val="008B592A"/>
    <w:rsid w:val="008B63B8"/>
    <w:rsid w:val="008B7B5C"/>
    <w:rsid w:val="008C0C99"/>
    <w:rsid w:val="008C1BD9"/>
    <w:rsid w:val="008C2017"/>
    <w:rsid w:val="008C4958"/>
    <w:rsid w:val="008C4BAA"/>
    <w:rsid w:val="008C68D0"/>
    <w:rsid w:val="008C6AE8"/>
    <w:rsid w:val="008C7573"/>
    <w:rsid w:val="008D0655"/>
    <w:rsid w:val="008D0BFB"/>
    <w:rsid w:val="008D0CE9"/>
    <w:rsid w:val="008D0EFD"/>
    <w:rsid w:val="008D27D3"/>
    <w:rsid w:val="008D34F1"/>
    <w:rsid w:val="008D39D8"/>
    <w:rsid w:val="008D4336"/>
    <w:rsid w:val="008D6AF5"/>
    <w:rsid w:val="008D6CCC"/>
    <w:rsid w:val="008D6D1A"/>
    <w:rsid w:val="008E05F6"/>
    <w:rsid w:val="008E065E"/>
    <w:rsid w:val="008E0927"/>
    <w:rsid w:val="008E0FF2"/>
    <w:rsid w:val="008E1909"/>
    <w:rsid w:val="008E1B93"/>
    <w:rsid w:val="008E1D88"/>
    <w:rsid w:val="008E25DF"/>
    <w:rsid w:val="008E3445"/>
    <w:rsid w:val="008E6DB3"/>
    <w:rsid w:val="008E76FD"/>
    <w:rsid w:val="008F0B25"/>
    <w:rsid w:val="008F0E93"/>
    <w:rsid w:val="008F109D"/>
    <w:rsid w:val="008F1EAB"/>
    <w:rsid w:val="008F33DC"/>
    <w:rsid w:val="008F477F"/>
    <w:rsid w:val="008F55FE"/>
    <w:rsid w:val="008F6C3F"/>
    <w:rsid w:val="00901136"/>
    <w:rsid w:val="00901380"/>
    <w:rsid w:val="00902350"/>
    <w:rsid w:val="0090336B"/>
    <w:rsid w:val="009053AA"/>
    <w:rsid w:val="009068B4"/>
    <w:rsid w:val="00906939"/>
    <w:rsid w:val="00910B7D"/>
    <w:rsid w:val="00911DFB"/>
    <w:rsid w:val="00912944"/>
    <w:rsid w:val="009139D9"/>
    <w:rsid w:val="0091445A"/>
    <w:rsid w:val="00914AD8"/>
    <w:rsid w:val="00915240"/>
    <w:rsid w:val="00915E3A"/>
    <w:rsid w:val="00916079"/>
    <w:rsid w:val="00916DAC"/>
    <w:rsid w:val="0091703B"/>
    <w:rsid w:val="00917641"/>
    <w:rsid w:val="0091778E"/>
    <w:rsid w:val="00917CE9"/>
    <w:rsid w:val="00920BF2"/>
    <w:rsid w:val="00922010"/>
    <w:rsid w:val="00922A69"/>
    <w:rsid w:val="00926863"/>
    <w:rsid w:val="009270E9"/>
    <w:rsid w:val="00927F40"/>
    <w:rsid w:val="0093103F"/>
    <w:rsid w:val="00931661"/>
    <w:rsid w:val="00931BD9"/>
    <w:rsid w:val="00931F69"/>
    <w:rsid w:val="00934DF8"/>
    <w:rsid w:val="0093601A"/>
    <w:rsid w:val="00936851"/>
    <w:rsid w:val="009368F3"/>
    <w:rsid w:val="00940BAC"/>
    <w:rsid w:val="009414FD"/>
    <w:rsid w:val="00941636"/>
    <w:rsid w:val="0094346C"/>
    <w:rsid w:val="00943742"/>
    <w:rsid w:val="00945C05"/>
    <w:rsid w:val="00946945"/>
    <w:rsid w:val="00947179"/>
    <w:rsid w:val="00947713"/>
    <w:rsid w:val="00947B01"/>
    <w:rsid w:val="009506F9"/>
    <w:rsid w:val="00950DE7"/>
    <w:rsid w:val="00950FBF"/>
    <w:rsid w:val="00951BFD"/>
    <w:rsid w:val="00953920"/>
    <w:rsid w:val="00953D47"/>
    <w:rsid w:val="00956711"/>
    <w:rsid w:val="0095681E"/>
    <w:rsid w:val="009572D4"/>
    <w:rsid w:val="00957337"/>
    <w:rsid w:val="0095740D"/>
    <w:rsid w:val="009579C0"/>
    <w:rsid w:val="00960FEA"/>
    <w:rsid w:val="00961921"/>
    <w:rsid w:val="00961DF7"/>
    <w:rsid w:val="0096430A"/>
    <w:rsid w:val="009646C1"/>
    <w:rsid w:val="00964C30"/>
    <w:rsid w:val="0096554B"/>
    <w:rsid w:val="0096584A"/>
    <w:rsid w:val="00965C53"/>
    <w:rsid w:val="00967A33"/>
    <w:rsid w:val="00970523"/>
    <w:rsid w:val="00971F08"/>
    <w:rsid w:val="009739E6"/>
    <w:rsid w:val="00975997"/>
    <w:rsid w:val="0097603D"/>
    <w:rsid w:val="00976949"/>
    <w:rsid w:val="00980477"/>
    <w:rsid w:val="009827EF"/>
    <w:rsid w:val="0098284E"/>
    <w:rsid w:val="00984217"/>
    <w:rsid w:val="00985253"/>
    <w:rsid w:val="009853B3"/>
    <w:rsid w:val="00985CBE"/>
    <w:rsid w:val="00990630"/>
    <w:rsid w:val="00991761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3421"/>
    <w:rsid w:val="009A41F8"/>
    <w:rsid w:val="009A462D"/>
    <w:rsid w:val="009A54C1"/>
    <w:rsid w:val="009A5CBA"/>
    <w:rsid w:val="009A72AE"/>
    <w:rsid w:val="009B19F5"/>
    <w:rsid w:val="009B1F30"/>
    <w:rsid w:val="009B3AC2"/>
    <w:rsid w:val="009B4B77"/>
    <w:rsid w:val="009B4DF4"/>
    <w:rsid w:val="009B564E"/>
    <w:rsid w:val="009B7E87"/>
    <w:rsid w:val="009C08B0"/>
    <w:rsid w:val="009C2A60"/>
    <w:rsid w:val="009C403E"/>
    <w:rsid w:val="009C4EDC"/>
    <w:rsid w:val="009C527F"/>
    <w:rsid w:val="009C748E"/>
    <w:rsid w:val="009D0B72"/>
    <w:rsid w:val="009D1618"/>
    <w:rsid w:val="009D28C4"/>
    <w:rsid w:val="009D4FF0"/>
    <w:rsid w:val="009D5983"/>
    <w:rsid w:val="009D5E2A"/>
    <w:rsid w:val="009D6AE4"/>
    <w:rsid w:val="009D703C"/>
    <w:rsid w:val="009D718F"/>
    <w:rsid w:val="009D7A4A"/>
    <w:rsid w:val="009E068F"/>
    <w:rsid w:val="009E14E0"/>
    <w:rsid w:val="009E35DB"/>
    <w:rsid w:val="009E407B"/>
    <w:rsid w:val="009E47A3"/>
    <w:rsid w:val="009E537B"/>
    <w:rsid w:val="009E5902"/>
    <w:rsid w:val="009E6AA6"/>
    <w:rsid w:val="009E6AC2"/>
    <w:rsid w:val="009E6F0C"/>
    <w:rsid w:val="009F08F3"/>
    <w:rsid w:val="009F1ECE"/>
    <w:rsid w:val="009F21AA"/>
    <w:rsid w:val="009F344F"/>
    <w:rsid w:val="009F3D98"/>
    <w:rsid w:val="009F4360"/>
    <w:rsid w:val="009F47FE"/>
    <w:rsid w:val="00A00F1F"/>
    <w:rsid w:val="00A032E4"/>
    <w:rsid w:val="00A048A8"/>
    <w:rsid w:val="00A04F49"/>
    <w:rsid w:val="00A0651F"/>
    <w:rsid w:val="00A07855"/>
    <w:rsid w:val="00A10C8A"/>
    <w:rsid w:val="00A11AB7"/>
    <w:rsid w:val="00A1305E"/>
    <w:rsid w:val="00A1364F"/>
    <w:rsid w:val="00A13991"/>
    <w:rsid w:val="00A13E54"/>
    <w:rsid w:val="00A1595C"/>
    <w:rsid w:val="00A17F63"/>
    <w:rsid w:val="00A2193B"/>
    <w:rsid w:val="00A2351A"/>
    <w:rsid w:val="00A23945"/>
    <w:rsid w:val="00A24365"/>
    <w:rsid w:val="00A249D6"/>
    <w:rsid w:val="00A264A9"/>
    <w:rsid w:val="00A27785"/>
    <w:rsid w:val="00A30187"/>
    <w:rsid w:val="00A31044"/>
    <w:rsid w:val="00A3448A"/>
    <w:rsid w:val="00A35099"/>
    <w:rsid w:val="00A35130"/>
    <w:rsid w:val="00A354DD"/>
    <w:rsid w:val="00A36297"/>
    <w:rsid w:val="00A3751A"/>
    <w:rsid w:val="00A4191F"/>
    <w:rsid w:val="00A41E2B"/>
    <w:rsid w:val="00A44B11"/>
    <w:rsid w:val="00A45B74"/>
    <w:rsid w:val="00A50F35"/>
    <w:rsid w:val="00A50FA9"/>
    <w:rsid w:val="00A521B4"/>
    <w:rsid w:val="00A52E1D"/>
    <w:rsid w:val="00A55F73"/>
    <w:rsid w:val="00A56D3F"/>
    <w:rsid w:val="00A571A6"/>
    <w:rsid w:val="00A60917"/>
    <w:rsid w:val="00A61499"/>
    <w:rsid w:val="00A622C6"/>
    <w:rsid w:val="00A62A77"/>
    <w:rsid w:val="00A631EF"/>
    <w:rsid w:val="00A63483"/>
    <w:rsid w:val="00A654B7"/>
    <w:rsid w:val="00A657D7"/>
    <w:rsid w:val="00A65935"/>
    <w:rsid w:val="00A660AC"/>
    <w:rsid w:val="00A670A6"/>
    <w:rsid w:val="00A674D5"/>
    <w:rsid w:val="00A67E6C"/>
    <w:rsid w:val="00A71B99"/>
    <w:rsid w:val="00A739D0"/>
    <w:rsid w:val="00A74E64"/>
    <w:rsid w:val="00A758C5"/>
    <w:rsid w:val="00A761D4"/>
    <w:rsid w:val="00A77EC4"/>
    <w:rsid w:val="00A80BAB"/>
    <w:rsid w:val="00A8392D"/>
    <w:rsid w:val="00A85AE7"/>
    <w:rsid w:val="00A9043E"/>
    <w:rsid w:val="00A908BD"/>
    <w:rsid w:val="00A92879"/>
    <w:rsid w:val="00A93F17"/>
    <w:rsid w:val="00A9442A"/>
    <w:rsid w:val="00A96CC6"/>
    <w:rsid w:val="00AA016F"/>
    <w:rsid w:val="00AA18D0"/>
    <w:rsid w:val="00AA1ED6"/>
    <w:rsid w:val="00AA2677"/>
    <w:rsid w:val="00AA2FDC"/>
    <w:rsid w:val="00AA51D6"/>
    <w:rsid w:val="00AA56AA"/>
    <w:rsid w:val="00AB0BC8"/>
    <w:rsid w:val="00AB11CA"/>
    <w:rsid w:val="00AB14D9"/>
    <w:rsid w:val="00AB1EAE"/>
    <w:rsid w:val="00AB2AA4"/>
    <w:rsid w:val="00AB3A11"/>
    <w:rsid w:val="00AB4AB8"/>
    <w:rsid w:val="00AB54EC"/>
    <w:rsid w:val="00AB655E"/>
    <w:rsid w:val="00AB7AE6"/>
    <w:rsid w:val="00AC007F"/>
    <w:rsid w:val="00AC294B"/>
    <w:rsid w:val="00AC297D"/>
    <w:rsid w:val="00AC2ECD"/>
    <w:rsid w:val="00AC3119"/>
    <w:rsid w:val="00AC4138"/>
    <w:rsid w:val="00AC468A"/>
    <w:rsid w:val="00AC49FB"/>
    <w:rsid w:val="00AC5A10"/>
    <w:rsid w:val="00AC6D53"/>
    <w:rsid w:val="00AD0348"/>
    <w:rsid w:val="00AD0AA3"/>
    <w:rsid w:val="00AD123F"/>
    <w:rsid w:val="00AD3168"/>
    <w:rsid w:val="00AD3F94"/>
    <w:rsid w:val="00AD4A5A"/>
    <w:rsid w:val="00AD7F95"/>
    <w:rsid w:val="00AE0905"/>
    <w:rsid w:val="00AE27AC"/>
    <w:rsid w:val="00AE40E0"/>
    <w:rsid w:val="00AE4DBA"/>
    <w:rsid w:val="00AE4F07"/>
    <w:rsid w:val="00AE62E2"/>
    <w:rsid w:val="00AE7446"/>
    <w:rsid w:val="00AF0DB6"/>
    <w:rsid w:val="00AF1C5D"/>
    <w:rsid w:val="00AF2026"/>
    <w:rsid w:val="00AF42D7"/>
    <w:rsid w:val="00AF43AB"/>
    <w:rsid w:val="00AF50C3"/>
    <w:rsid w:val="00AF53B6"/>
    <w:rsid w:val="00AF5CB5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5084"/>
    <w:rsid w:val="00B05BA5"/>
    <w:rsid w:val="00B0611B"/>
    <w:rsid w:val="00B10B32"/>
    <w:rsid w:val="00B136CA"/>
    <w:rsid w:val="00B14FE8"/>
    <w:rsid w:val="00B157F9"/>
    <w:rsid w:val="00B167F1"/>
    <w:rsid w:val="00B20256"/>
    <w:rsid w:val="00B20D09"/>
    <w:rsid w:val="00B211B2"/>
    <w:rsid w:val="00B21BE8"/>
    <w:rsid w:val="00B253E6"/>
    <w:rsid w:val="00B2763F"/>
    <w:rsid w:val="00B27AAC"/>
    <w:rsid w:val="00B30591"/>
    <w:rsid w:val="00B30929"/>
    <w:rsid w:val="00B31239"/>
    <w:rsid w:val="00B34AC3"/>
    <w:rsid w:val="00B372AA"/>
    <w:rsid w:val="00B37BC2"/>
    <w:rsid w:val="00B40445"/>
    <w:rsid w:val="00B40ECB"/>
    <w:rsid w:val="00B413D6"/>
    <w:rsid w:val="00B41888"/>
    <w:rsid w:val="00B41DF0"/>
    <w:rsid w:val="00B425F8"/>
    <w:rsid w:val="00B42BDB"/>
    <w:rsid w:val="00B43407"/>
    <w:rsid w:val="00B45A52"/>
    <w:rsid w:val="00B46175"/>
    <w:rsid w:val="00B474B4"/>
    <w:rsid w:val="00B51BFF"/>
    <w:rsid w:val="00B51F19"/>
    <w:rsid w:val="00B548DA"/>
    <w:rsid w:val="00B5748F"/>
    <w:rsid w:val="00B6145A"/>
    <w:rsid w:val="00B61615"/>
    <w:rsid w:val="00B61BB1"/>
    <w:rsid w:val="00B61E56"/>
    <w:rsid w:val="00B62AAA"/>
    <w:rsid w:val="00B650C1"/>
    <w:rsid w:val="00B664C7"/>
    <w:rsid w:val="00B666BC"/>
    <w:rsid w:val="00B669AD"/>
    <w:rsid w:val="00B66C81"/>
    <w:rsid w:val="00B67691"/>
    <w:rsid w:val="00B706A1"/>
    <w:rsid w:val="00B70D90"/>
    <w:rsid w:val="00B739F6"/>
    <w:rsid w:val="00B74B6C"/>
    <w:rsid w:val="00B81A6C"/>
    <w:rsid w:val="00B81FDF"/>
    <w:rsid w:val="00B837ED"/>
    <w:rsid w:val="00B85DE5"/>
    <w:rsid w:val="00B90580"/>
    <w:rsid w:val="00B907EA"/>
    <w:rsid w:val="00B90F73"/>
    <w:rsid w:val="00B93188"/>
    <w:rsid w:val="00B93B59"/>
    <w:rsid w:val="00B9406A"/>
    <w:rsid w:val="00B940C7"/>
    <w:rsid w:val="00B959EC"/>
    <w:rsid w:val="00B97D9D"/>
    <w:rsid w:val="00BA04E2"/>
    <w:rsid w:val="00BA181D"/>
    <w:rsid w:val="00BA1FE5"/>
    <w:rsid w:val="00BA2280"/>
    <w:rsid w:val="00BA2A08"/>
    <w:rsid w:val="00BA4150"/>
    <w:rsid w:val="00BA52AA"/>
    <w:rsid w:val="00BA5641"/>
    <w:rsid w:val="00BA56D2"/>
    <w:rsid w:val="00BA76E0"/>
    <w:rsid w:val="00BB2A25"/>
    <w:rsid w:val="00BB346D"/>
    <w:rsid w:val="00BB3E6E"/>
    <w:rsid w:val="00BB40A1"/>
    <w:rsid w:val="00BB51BB"/>
    <w:rsid w:val="00BB51E9"/>
    <w:rsid w:val="00BC0C69"/>
    <w:rsid w:val="00BC0E6A"/>
    <w:rsid w:val="00BC0FDC"/>
    <w:rsid w:val="00BC1DBA"/>
    <w:rsid w:val="00BC1DEE"/>
    <w:rsid w:val="00BC29AB"/>
    <w:rsid w:val="00BC3053"/>
    <w:rsid w:val="00BC4D2E"/>
    <w:rsid w:val="00BC6412"/>
    <w:rsid w:val="00BC762C"/>
    <w:rsid w:val="00BD48AC"/>
    <w:rsid w:val="00BD5F1A"/>
    <w:rsid w:val="00BD63B6"/>
    <w:rsid w:val="00BE00AA"/>
    <w:rsid w:val="00BE0792"/>
    <w:rsid w:val="00BE1234"/>
    <w:rsid w:val="00BE23A9"/>
    <w:rsid w:val="00BE2D8C"/>
    <w:rsid w:val="00BE2FA6"/>
    <w:rsid w:val="00BE32F5"/>
    <w:rsid w:val="00BE333F"/>
    <w:rsid w:val="00BE7406"/>
    <w:rsid w:val="00BE7603"/>
    <w:rsid w:val="00BF058E"/>
    <w:rsid w:val="00BF0B1D"/>
    <w:rsid w:val="00BF16CF"/>
    <w:rsid w:val="00BF20C7"/>
    <w:rsid w:val="00BF3279"/>
    <w:rsid w:val="00BF5B78"/>
    <w:rsid w:val="00BF74C7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1122"/>
    <w:rsid w:val="00C1189B"/>
    <w:rsid w:val="00C11B5A"/>
    <w:rsid w:val="00C12107"/>
    <w:rsid w:val="00C12C66"/>
    <w:rsid w:val="00C145B6"/>
    <w:rsid w:val="00C14D4B"/>
    <w:rsid w:val="00C154BB"/>
    <w:rsid w:val="00C20190"/>
    <w:rsid w:val="00C223E6"/>
    <w:rsid w:val="00C23971"/>
    <w:rsid w:val="00C24DFB"/>
    <w:rsid w:val="00C26F91"/>
    <w:rsid w:val="00C26FAA"/>
    <w:rsid w:val="00C279B5"/>
    <w:rsid w:val="00C27C45"/>
    <w:rsid w:val="00C27E0C"/>
    <w:rsid w:val="00C30437"/>
    <w:rsid w:val="00C317A7"/>
    <w:rsid w:val="00C34167"/>
    <w:rsid w:val="00C3719D"/>
    <w:rsid w:val="00C372D0"/>
    <w:rsid w:val="00C41A9D"/>
    <w:rsid w:val="00C43C3B"/>
    <w:rsid w:val="00C44AE7"/>
    <w:rsid w:val="00C4791A"/>
    <w:rsid w:val="00C47A84"/>
    <w:rsid w:val="00C50C02"/>
    <w:rsid w:val="00C536F2"/>
    <w:rsid w:val="00C5386C"/>
    <w:rsid w:val="00C54995"/>
    <w:rsid w:val="00C54D41"/>
    <w:rsid w:val="00C5639D"/>
    <w:rsid w:val="00C56496"/>
    <w:rsid w:val="00C60783"/>
    <w:rsid w:val="00C60E2B"/>
    <w:rsid w:val="00C644F7"/>
    <w:rsid w:val="00C64672"/>
    <w:rsid w:val="00C66356"/>
    <w:rsid w:val="00C70697"/>
    <w:rsid w:val="00C7229E"/>
    <w:rsid w:val="00C72EF4"/>
    <w:rsid w:val="00C73B76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1534"/>
    <w:rsid w:val="00C81568"/>
    <w:rsid w:val="00C81698"/>
    <w:rsid w:val="00C82B92"/>
    <w:rsid w:val="00C856D5"/>
    <w:rsid w:val="00C86997"/>
    <w:rsid w:val="00C87CDD"/>
    <w:rsid w:val="00C9027A"/>
    <w:rsid w:val="00C905DF"/>
    <w:rsid w:val="00C9068E"/>
    <w:rsid w:val="00C9363F"/>
    <w:rsid w:val="00C93C4B"/>
    <w:rsid w:val="00C94175"/>
    <w:rsid w:val="00C944AB"/>
    <w:rsid w:val="00C9451D"/>
    <w:rsid w:val="00C9474E"/>
    <w:rsid w:val="00C95B40"/>
    <w:rsid w:val="00C968EC"/>
    <w:rsid w:val="00C9793A"/>
    <w:rsid w:val="00C97B29"/>
    <w:rsid w:val="00CA0805"/>
    <w:rsid w:val="00CA0A10"/>
    <w:rsid w:val="00CA1ED8"/>
    <w:rsid w:val="00CA61FB"/>
    <w:rsid w:val="00CA6CFD"/>
    <w:rsid w:val="00CA7170"/>
    <w:rsid w:val="00CB0DE9"/>
    <w:rsid w:val="00CB1F63"/>
    <w:rsid w:val="00CB585C"/>
    <w:rsid w:val="00CB7170"/>
    <w:rsid w:val="00CC040E"/>
    <w:rsid w:val="00CC0818"/>
    <w:rsid w:val="00CC1083"/>
    <w:rsid w:val="00CC111F"/>
    <w:rsid w:val="00CC2011"/>
    <w:rsid w:val="00CC3879"/>
    <w:rsid w:val="00CC3EA0"/>
    <w:rsid w:val="00CC4FF9"/>
    <w:rsid w:val="00CC565C"/>
    <w:rsid w:val="00CC594A"/>
    <w:rsid w:val="00CC7B45"/>
    <w:rsid w:val="00CD0835"/>
    <w:rsid w:val="00CD1188"/>
    <w:rsid w:val="00CD1D2E"/>
    <w:rsid w:val="00CD2ED1"/>
    <w:rsid w:val="00CD337B"/>
    <w:rsid w:val="00CD3A90"/>
    <w:rsid w:val="00CD3F6B"/>
    <w:rsid w:val="00CD5A07"/>
    <w:rsid w:val="00CD5C14"/>
    <w:rsid w:val="00CD7AD3"/>
    <w:rsid w:val="00CE032F"/>
    <w:rsid w:val="00CE0424"/>
    <w:rsid w:val="00CE077B"/>
    <w:rsid w:val="00CE2300"/>
    <w:rsid w:val="00CE3DF2"/>
    <w:rsid w:val="00CE3F6C"/>
    <w:rsid w:val="00CE5905"/>
    <w:rsid w:val="00CE7561"/>
    <w:rsid w:val="00CF1354"/>
    <w:rsid w:val="00CF3332"/>
    <w:rsid w:val="00CF3B1F"/>
    <w:rsid w:val="00CF3BF6"/>
    <w:rsid w:val="00CF46BC"/>
    <w:rsid w:val="00CF4E02"/>
    <w:rsid w:val="00CF4E77"/>
    <w:rsid w:val="00CF50AB"/>
    <w:rsid w:val="00CF625B"/>
    <w:rsid w:val="00CF687E"/>
    <w:rsid w:val="00CF7216"/>
    <w:rsid w:val="00CF7673"/>
    <w:rsid w:val="00D00339"/>
    <w:rsid w:val="00D0194F"/>
    <w:rsid w:val="00D0252F"/>
    <w:rsid w:val="00D0339E"/>
    <w:rsid w:val="00D0349B"/>
    <w:rsid w:val="00D03CBF"/>
    <w:rsid w:val="00D04434"/>
    <w:rsid w:val="00D04BD0"/>
    <w:rsid w:val="00D1001F"/>
    <w:rsid w:val="00D10249"/>
    <w:rsid w:val="00D115C3"/>
    <w:rsid w:val="00D11897"/>
    <w:rsid w:val="00D11F71"/>
    <w:rsid w:val="00D13135"/>
    <w:rsid w:val="00D13ABF"/>
    <w:rsid w:val="00D13E4E"/>
    <w:rsid w:val="00D15089"/>
    <w:rsid w:val="00D1723B"/>
    <w:rsid w:val="00D215AD"/>
    <w:rsid w:val="00D22874"/>
    <w:rsid w:val="00D239A7"/>
    <w:rsid w:val="00D23F47"/>
    <w:rsid w:val="00D2503E"/>
    <w:rsid w:val="00D25B3F"/>
    <w:rsid w:val="00D3005B"/>
    <w:rsid w:val="00D3101D"/>
    <w:rsid w:val="00D32166"/>
    <w:rsid w:val="00D35234"/>
    <w:rsid w:val="00D35F56"/>
    <w:rsid w:val="00D36E71"/>
    <w:rsid w:val="00D37D87"/>
    <w:rsid w:val="00D40B33"/>
    <w:rsid w:val="00D426CB"/>
    <w:rsid w:val="00D4318F"/>
    <w:rsid w:val="00D438BF"/>
    <w:rsid w:val="00D440F8"/>
    <w:rsid w:val="00D45637"/>
    <w:rsid w:val="00D46DC9"/>
    <w:rsid w:val="00D46FA5"/>
    <w:rsid w:val="00D501A9"/>
    <w:rsid w:val="00D51446"/>
    <w:rsid w:val="00D537D6"/>
    <w:rsid w:val="00D546FF"/>
    <w:rsid w:val="00D54AF4"/>
    <w:rsid w:val="00D55AD5"/>
    <w:rsid w:val="00D55B51"/>
    <w:rsid w:val="00D55C96"/>
    <w:rsid w:val="00D576CA"/>
    <w:rsid w:val="00D601A6"/>
    <w:rsid w:val="00D60E13"/>
    <w:rsid w:val="00D61AF5"/>
    <w:rsid w:val="00D62CD5"/>
    <w:rsid w:val="00D63268"/>
    <w:rsid w:val="00D63C72"/>
    <w:rsid w:val="00D6435F"/>
    <w:rsid w:val="00D64A1D"/>
    <w:rsid w:val="00D652B5"/>
    <w:rsid w:val="00D66147"/>
    <w:rsid w:val="00D66155"/>
    <w:rsid w:val="00D661B0"/>
    <w:rsid w:val="00D708B0"/>
    <w:rsid w:val="00D70E73"/>
    <w:rsid w:val="00D71BB9"/>
    <w:rsid w:val="00D75A8B"/>
    <w:rsid w:val="00D76F86"/>
    <w:rsid w:val="00D77B1D"/>
    <w:rsid w:val="00D8021F"/>
    <w:rsid w:val="00D80383"/>
    <w:rsid w:val="00D815D6"/>
    <w:rsid w:val="00D8203B"/>
    <w:rsid w:val="00D823C6"/>
    <w:rsid w:val="00D83426"/>
    <w:rsid w:val="00D85EF7"/>
    <w:rsid w:val="00D86CA3"/>
    <w:rsid w:val="00D871CE"/>
    <w:rsid w:val="00D9196D"/>
    <w:rsid w:val="00D920A7"/>
    <w:rsid w:val="00D92982"/>
    <w:rsid w:val="00D93E15"/>
    <w:rsid w:val="00D95A22"/>
    <w:rsid w:val="00D965C0"/>
    <w:rsid w:val="00DA0701"/>
    <w:rsid w:val="00DA305E"/>
    <w:rsid w:val="00DA5007"/>
    <w:rsid w:val="00DA536E"/>
    <w:rsid w:val="00DA5417"/>
    <w:rsid w:val="00DA56E8"/>
    <w:rsid w:val="00DA67A6"/>
    <w:rsid w:val="00DB06D8"/>
    <w:rsid w:val="00DB0A9F"/>
    <w:rsid w:val="00DB377D"/>
    <w:rsid w:val="00DB7182"/>
    <w:rsid w:val="00DB7A15"/>
    <w:rsid w:val="00DC21E1"/>
    <w:rsid w:val="00DC2396"/>
    <w:rsid w:val="00DC2D36"/>
    <w:rsid w:val="00DC33E4"/>
    <w:rsid w:val="00DC3DD8"/>
    <w:rsid w:val="00DC53EF"/>
    <w:rsid w:val="00DC552C"/>
    <w:rsid w:val="00DC6D71"/>
    <w:rsid w:val="00DC7FEA"/>
    <w:rsid w:val="00DD1F9F"/>
    <w:rsid w:val="00DD7867"/>
    <w:rsid w:val="00DE3A33"/>
    <w:rsid w:val="00DE5608"/>
    <w:rsid w:val="00DE58D0"/>
    <w:rsid w:val="00DE654F"/>
    <w:rsid w:val="00DF0B6E"/>
    <w:rsid w:val="00DF15E0"/>
    <w:rsid w:val="00DF20A7"/>
    <w:rsid w:val="00DF37A0"/>
    <w:rsid w:val="00DF5C56"/>
    <w:rsid w:val="00E008FB"/>
    <w:rsid w:val="00E009BE"/>
    <w:rsid w:val="00E02CFE"/>
    <w:rsid w:val="00E03DCD"/>
    <w:rsid w:val="00E05B34"/>
    <w:rsid w:val="00E110E7"/>
    <w:rsid w:val="00E11B20"/>
    <w:rsid w:val="00E141E3"/>
    <w:rsid w:val="00E156FA"/>
    <w:rsid w:val="00E174CA"/>
    <w:rsid w:val="00E17970"/>
    <w:rsid w:val="00E17B45"/>
    <w:rsid w:val="00E17FA2"/>
    <w:rsid w:val="00E22330"/>
    <w:rsid w:val="00E25B80"/>
    <w:rsid w:val="00E30776"/>
    <w:rsid w:val="00E30B5A"/>
    <w:rsid w:val="00E3123D"/>
    <w:rsid w:val="00E31461"/>
    <w:rsid w:val="00E31C0F"/>
    <w:rsid w:val="00E31D43"/>
    <w:rsid w:val="00E32608"/>
    <w:rsid w:val="00E32C7B"/>
    <w:rsid w:val="00E33E4A"/>
    <w:rsid w:val="00E34188"/>
    <w:rsid w:val="00E345CD"/>
    <w:rsid w:val="00E34B6E"/>
    <w:rsid w:val="00E35559"/>
    <w:rsid w:val="00E36156"/>
    <w:rsid w:val="00E371BC"/>
    <w:rsid w:val="00E3723A"/>
    <w:rsid w:val="00E372E0"/>
    <w:rsid w:val="00E37860"/>
    <w:rsid w:val="00E41503"/>
    <w:rsid w:val="00E446F1"/>
    <w:rsid w:val="00E44B94"/>
    <w:rsid w:val="00E46886"/>
    <w:rsid w:val="00E47AEF"/>
    <w:rsid w:val="00E52397"/>
    <w:rsid w:val="00E53037"/>
    <w:rsid w:val="00E53B29"/>
    <w:rsid w:val="00E53B75"/>
    <w:rsid w:val="00E54E3B"/>
    <w:rsid w:val="00E557CC"/>
    <w:rsid w:val="00E57565"/>
    <w:rsid w:val="00E57A1C"/>
    <w:rsid w:val="00E604AE"/>
    <w:rsid w:val="00E62B73"/>
    <w:rsid w:val="00E63838"/>
    <w:rsid w:val="00E64022"/>
    <w:rsid w:val="00E64434"/>
    <w:rsid w:val="00E67C51"/>
    <w:rsid w:val="00E70D86"/>
    <w:rsid w:val="00E72EFC"/>
    <w:rsid w:val="00E758EC"/>
    <w:rsid w:val="00E7599C"/>
    <w:rsid w:val="00E76569"/>
    <w:rsid w:val="00E81B9B"/>
    <w:rsid w:val="00E8234C"/>
    <w:rsid w:val="00E83AA9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B98"/>
    <w:rsid w:val="00E94F8A"/>
    <w:rsid w:val="00E9719C"/>
    <w:rsid w:val="00EA3284"/>
    <w:rsid w:val="00EA5B73"/>
    <w:rsid w:val="00EA6E0E"/>
    <w:rsid w:val="00EA7A41"/>
    <w:rsid w:val="00EB077B"/>
    <w:rsid w:val="00EB3697"/>
    <w:rsid w:val="00EB45F9"/>
    <w:rsid w:val="00EB4EA2"/>
    <w:rsid w:val="00EB62EC"/>
    <w:rsid w:val="00EB6361"/>
    <w:rsid w:val="00EC27C6"/>
    <w:rsid w:val="00EC38A0"/>
    <w:rsid w:val="00EC4207"/>
    <w:rsid w:val="00EC4A0B"/>
    <w:rsid w:val="00EC4A1E"/>
    <w:rsid w:val="00EC4C96"/>
    <w:rsid w:val="00EC5653"/>
    <w:rsid w:val="00EC60B5"/>
    <w:rsid w:val="00EC66B4"/>
    <w:rsid w:val="00EC71CE"/>
    <w:rsid w:val="00EC7304"/>
    <w:rsid w:val="00EC7CBE"/>
    <w:rsid w:val="00ED1006"/>
    <w:rsid w:val="00ED129F"/>
    <w:rsid w:val="00ED5DF4"/>
    <w:rsid w:val="00ED6E06"/>
    <w:rsid w:val="00EE0956"/>
    <w:rsid w:val="00EE1975"/>
    <w:rsid w:val="00EE22C9"/>
    <w:rsid w:val="00EE25E7"/>
    <w:rsid w:val="00EE57B6"/>
    <w:rsid w:val="00EE6379"/>
    <w:rsid w:val="00EE6561"/>
    <w:rsid w:val="00EF0038"/>
    <w:rsid w:val="00EF10BC"/>
    <w:rsid w:val="00EF18FE"/>
    <w:rsid w:val="00EF2E6C"/>
    <w:rsid w:val="00EF2EE3"/>
    <w:rsid w:val="00EF5787"/>
    <w:rsid w:val="00EF60D0"/>
    <w:rsid w:val="00EF669D"/>
    <w:rsid w:val="00EF7136"/>
    <w:rsid w:val="00F0201B"/>
    <w:rsid w:val="00F020A9"/>
    <w:rsid w:val="00F03E8C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5FA5"/>
    <w:rsid w:val="00F1625B"/>
    <w:rsid w:val="00F209B7"/>
    <w:rsid w:val="00F20C4B"/>
    <w:rsid w:val="00F21C47"/>
    <w:rsid w:val="00F2376F"/>
    <w:rsid w:val="00F243D8"/>
    <w:rsid w:val="00F24E55"/>
    <w:rsid w:val="00F30828"/>
    <w:rsid w:val="00F30E66"/>
    <w:rsid w:val="00F313D6"/>
    <w:rsid w:val="00F31E10"/>
    <w:rsid w:val="00F33DF2"/>
    <w:rsid w:val="00F34D6D"/>
    <w:rsid w:val="00F35233"/>
    <w:rsid w:val="00F40806"/>
    <w:rsid w:val="00F40C33"/>
    <w:rsid w:val="00F40F0C"/>
    <w:rsid w:val="00F4350D"/>
    <w:rsid w:val="00F4352A"/>
    <w:rsid w:val="00F4766C"/>
    <w:rsid w:val="00F47D9C"/>
    <w:rsid w:val="00F507D1"/>
    <w:rsid w:val="00F519CE"/>
    <w:rsid w:val="00F51ADA"/>
    <w:rsid w:val="00F51CB3"/>
    <w:rsid w:val="00F539FE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302A"/>
    <w:rsid w:val="00F64295"/>
    <w:rsid w:val="00F64C2B"/>
    <w:rsid w:val="00F64C55"/>
    <w:rsid w:val="00F651BE"/>
    <w:rsid w:val="00F65DAC"/>
    <w:rsid w:val="00F668D2"/>
    <w:rsid w:val="00F66DDF"/>
    <w:rsid w:val="00F67F53"/>
    <w:rsid w:val="00F703BE"/>
    <w:rsid w:val="00F71F69"/>
    <w:rsid w:val="00F72052"/>
    <w:rsid w:val="00F72A1E"/>
    <w:rsid w:val="00F72A83"/>
    <w:rsid w:val="00F72B72"/>
    <w:rsid w:val="00F73C2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83B"/>
    <w:rsid w:val="00F90F8D"/>
    <w:rsid w:val="00F92782"/>
    <w:rsid w:val="00F93AA9"/>
    <w:rsid w:val="00F968DC"/>
    <w:rsid w:val="00F96985"/>
    <w:rsid w:val="00F96EAE"/>
    <w:rsid w:val="00F96EFF"/>
    <w:rsid w:val="00F97838"/>
    <w:rsid w:val="00F97BE1"/>
    <w:rsid w:val="00FA05D5"/>
    <w:rsid w:val="00FA0C03"/>
    <w:rsid w:val="00FA12B0"/>
    <w:rsid w:val="00FA1A08"/>
    <w:rsid w:val="00FA2BB3"/>
    <w:rsid w:val="00FA5D49"/>
    <w:rsid w:val="00FA7B90"/>
    <w:rsid w:val="00FB005F"/>
    <w:rsid w:val="00FB2583"/>
    <w:rsid w:val="00FB3D52"/>
    <w:rsid w:val="00FB46E6"/>
    <w:rsid w:val="00FB4C80"/>
    <w:rsid w:val="00FB6A6A"/>
    <w:rsid w:val="00FB6ACF"/>
    <w:rsid w:val="00FC0206"/>
    <w:rsid w:val="00FC076D"/>
    <w:rsid w:val="00FC4767"/>
    <w:rsid w:val="00FC4AD0"/>
    <w:rsid w:val="00FC5AA0"/>
    <w:rsid w:val="00FC7429"/>
    <w:rsid w:val="00FD07F6"/>
    <w:rsid w:val="00FD14F7"/>
    <w:rsid w:val="00FD1D12"/>
    <w:rsid w:val="00FD1EC8"/>
    <w:rsid w:val="00FD20E5"/>
    <w:rsid w:val="00FD21A9"/>
    <w:rsid w:val="00FD3FB3"/>
    <w:rsid w:val="00FD434C"/>
    <w:rsid w:val="00FD47ED"/>
    <w:rsid w:val="00FD74DB"/>
    <w:rsid w:val="00FD7660"/>
    <w:rsid w:val="00FD7F47"/>
    <w:rsid w:val="00FE0655"/>
    <w:rsid w:val="00FE20DB"/>
    <w:rsid w:val="00FE2365"/>
    <w:rsid w:val="00FE2722"/>
    <w:rsid w:val="00FE2927"/>
    <w:rsid w:val="00FE4C7B"/>
    <w:rsid w:val="00FE7336"/>
    <w:rsid w:val="00FE787C"/>
    <w:rsid w:val="00FF05B7"/>
    <w:rsid w:val="00FF1440"/>
    <w:rsid w:val="00FF1E31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13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11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113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44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44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44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44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789c8df-cd92-43c1-8a83-195dbc0f0a0a"/>
    <ds:schemaRef ds:uri="http://purl.org/dc/elements/1.1/"/>
    <ds:schemaRef ds:uri="http://schemas.microsoft.com/office/2006/metadata/properties"/>
    <ds:schemaRef ds:uri="08b2df90-05d3-4030-90d4-c9feeb4a1cd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7140CC9-2536-4CDE-81F5-D821749A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1426</Words>
  <Characters>8130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dc:description/>
  <cp:lastModifiedBy>Quan Kuang</cp:lastModifiedBy>
  <cp:revision>4</cp:revision>
  <cp:lastPrinted>2008-01-31T06:09:00Z</cp:lastPrinted>
  <dcterms:created xsi:type="dcterms:W3CDTF">2019-01-09T09:06:00Z</dcterms:created>
  <dcterms:modified xsi:type="dcterms:W3CDTF">2019-01-09T09:17:00Z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