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B361C" w14:textId="0D18E14E" w:rsidR="00E52616" w:rsidRPr="00FF02E2" w:rsidRDefault="00D27D13" w:rsidP="001333AD">
      <w:pPr>
        <w:widowControl w:val="0"/>
        <w:tabs>
          <w:tab w:val="right" w:pos="9216"/>
        </w:tabs>
        <w:spacing w:after="0"/>
        <w:rPr>
          <w:b/>
          <w:bCs/>
          <w:noProof/>
          <w:lang w:val="en-GB"/>
        </w:rPr>
      </w:pPr>
      <w:r>
        <w:rPr>
          <w:b/>
          <w:bCs/>
        </w:rPr>
        <w:t>3GPP TSG RAN WG1 Ad-Hoc Meeting 1901</w:t>
      </w:r>
      <w:r w:rsidR="00E52616" w:rsidRPr="00FF02E2">
        <w:rPr>
          <w:b/>
          <w:bCs/>
          <w:noProof/>
          <w:lang w:val="en-GB"/>
        </w:rPr>
        <w:tab/>
        <w:t>R1-</w:t>
      </w:r>
      <w:r w:rsidR="00B9601C" w:rsidRPr="00B9601C">
        <w:rPr>
          <w:b/>
          <w:bCs/>
          <w:noProof/>
          <w:lang w:val="en-GB"/>
        </w:rPr>
        <w:t>1900056</w:t>
      </w:r>
    </w:p>
    <w:p w14:paraId="04E7D5A0" w14:textId="53A3DB8D" w:rsidR="00ED3C55" w:rsidRPr="00D27D13" w:rsidRDefault="00D27D13" w:rsidP="00D27D13">
      <w:pPr>
        <w:rPr>
          <w:b/>
          <w:bCs/>
          <w:lang w:eastAsia="zh-CN"/>
        </w:rPr>
      </w:pPr>
      <w:bookmarkStart w:id="0" w:name="OLE_LINK54"/>
      <w:r>
        <w:rPr>
          <w:b/>
          <w:bCs/>
        </w:rPr>
        <w:t>Taipei, 21</w:t>
      </w:r>
      <w:r>
        <w:rPr>
          <w:b/>
          <w:bCs/>
          <w:vertAlign w:val="superscript"/>
        </w:rPr>
        <w:t>st</w:t>
      </w:r>
      <w:r>
        <w:rPr>
          <w:b/>
          <w:bCs/>
        </w:rPr>
        <w:t xml:space="preserve"> – 25</w:t>
      </w:r>
      <w:r>
        <w:rPr>
          <w:b/>
          <w:bCs/>
          <w:vertAlign w:val="superscript"/>
        </w:rPr>
        <w:t>th</w:t>
      </w:r>
      <w:r>
        <w:rPr>
          <w:b/>
          <w:bCs/>
        </w:rPr>
        <w:t xml:space="preserve"> January, 2019</w:t>
      </w:r>
      <w:bookmarkEnd w:id="0"/>
    </w:p>
    <w:p w14:paraId="4CFAFB92" w14:textId="77777777" w:rsidR="009C0564" w:rsidRPr="00A25500" w:rsidRDefault="009C0564" w:rsidP="00CF195E">
      <w:pPr>
        <w:pBdr>
          <w:top w:val="single" w:sz="4" w:space="1" w:color="auto"/>
        </w:pBdr>
        <w:spacing w:after="0"/>
        <w:jc w:val="left"/>
        <w:rPr>
          <w:b/>
          <w:kern w:val="2"/>
          <w:sz w:val="16"/>
          <w:szCs w:val="16"/>
          <w:lang w:eastAsia="zh-CN"/>
        </w:rPr>
      </w:pPr>
    </w:p>
    <w:p w14:paraId="5391DC77" w14:textId="5218C7C3" w:rsidR="009C0564" w:rsidRPr="00C33793" w:rsidRDefault="00110D31" w:rsidP="00C33793">
      <w:pPr>
        <w:spacing w:after="60"/>
        <w:ind w:left="1555" w:hanging="1555"/>
        <w:jc w:val="left"/>
        <w:rPr>
          <w:b/>
          <w:lang w:eastAsia="zh-CN"/>
        </w:rPr>
      </w:pPr>
      <w:r>
        <w:rPr>
          <w:b/>
          <w:kern w:val="2"/>
          <w:lang w:eastAsia="zh-CN"/>
        </w:rPr>
        <w:t>Agenda Item:</w:t>
      </w:r>
      <w:r>
        <w:rPr>
          <w:b/>
          <w:kern w:val="2"/>
          <w:lang w:eastAsia="zh-CN"/>
        </w:rPr>
        <w:tab/>
      </w:r>
      <w:r w:rsidR="008721A2">
        <w:rPr>
          <w:b/>
          <w:kern w:val="2"/>
          <w:lang w:eastAsia="zh-CN"/>
        </w:rPr>
        <w:t>7.</w:t>
      </w:r>
      <w:r w:rsidR="00787A1A">
        <w:rPr>
          <w:rFonts w:hint="eastAsia"/>
          <w:b/>
          <w:kern w:val="2"/>
          <w:lang w:eastAsia="zh-CN"/>
        </w:rPr>
        <w:t>2.2.</w:t>
      </w:r>
      <w:r w:rsidR="00D27D13">
        <w:rPr>
          <w:b/>
          <w:kern w:val="2"/>
          <w:lang w:eastAsia="zh-CN"/>
        </w:rPr>
        <w:t>2.5</w:t>
      </w:r>
    </w:p>
    <w:p w14:paraId="1DC3A59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33793" w:rsidRPr="00EE5B3E">
        <w:rPr>
          <w:b/>
        </w:rPr>
        <w:t>Huawei</w:t>
      </w:r>
      <w:r w:rsidR="00C33793" w:rsidRPr="00EE5B3E">
        <w:rPr>
          <w:rFonts w:hint="eastAsia"/>
          <w:b/>
        </w:rPr>
        <w:t xml:space="preserve">, </w:t>
      </w:r>
      <w:r w:rsidR="00C33793" w:rsidRPr="00EE5B3E">
        <w:rPr>
          <w:b/>
        </w:rPr>
        <w:t>HiSilicon</w:t>
      </w:r>
    </w:p>
    <w:p w14:paraId="75B3411A" w14:textId="1BB465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27D13" w:rsidRPr="00D27D13">
        <w:rPr>
          <w:b/>
          <w:kern w:val="2"/>
          <w:lang w:eastAsia="zh-CN"/>
        </w:rPr>
        <w:t>NRU wideband BWP operation</w:t>
      </w:r>
    </w:p>
    <w:p w14:paraId="78D580B2" w14:textId="212B09E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14:paraId="31B72F6A" w14:textId="77777777" w:rsidR="009C0564" w:rsidRPr="00CF195E" w:rsidRDefault="009C0564" w:rsidP="00CF195E">
      <w:pPr>
        <w:pBdr>
          <w:bottom w:val="single" w:sz="4" w:space="1" w:color="auto"/>
        </w:pBdr>
        <w:spacing w:after="0"/>
        <w:jc w:val="left"/>
        <w:rPr>
          <w:b/>
          <w:kern w:val="2"/>
          <w:sz w:val="16"/>
          <w:szCs w:val="16"/>
          <w:lang w:eastAsia="zh-CN"/>
        </w:rPr>
      </w:pPr>
    </w:p>
    <w:p w14:paraId="5BA2CDFF" w14:textId="77777777" w:rsidR="009C0564" w:rsidRPr="00CF195E" w:rsidRDefault="009C0564">
      <w:pPr>
        <w:pStyle w:val="1"/>
      </w:pPr>
      <w:bookmarkStart w:id="1" w:name="_Ref124589705"/>
      <w:bookmarkStart w:id="2" w:name="_Ref129681862"/>
      <w:r w:rsidRPr="00CF195E">
        <w:t>Introduction</w:t>
      </w:r>
      <w:bookmarkEnd w:id="1"/>
      <w:bookmarkEnd w:id="2"/>
    </w:p>
    <w:p w14:paraId="4A08BE95" w14:textId="3DD71968" w:rsidR="006961F8" w:rsidRDefault="006961F8" w:rsidP="006961F8">
      <w:pPr>
        <w:rPr>
          <w:kern w:val="2"/>
          <w:lang w:eastAsia="zh-CN"/>
        </w:rPr>
      </w:pPr>
      <w:r>
        <w:rPr>
          <w:kern w:val="2"/>
          <w:lang w:eastAsia="zh-CN"/>
        </w:rPr>
        <w:t xml:space="preserve">In RAN#82, the WID </w:t>
      </w:r>
      <w:r w:rsidR="00C85008">
        <w:rPr>
          <w:kern w:val="2"/>
          <w:lang w:eastAsia="zh-CN"/>
        </w:rPr>
        <w:fldChar w:fldCharType="begin"/>
      </w:r>
      <w:r w:rsidR="00C85008">
        <w:rPr>
          <w:kern w:val="2"/>
          <w:lang w:eastAsia="zh-CN"/>
        </w:rPr>
        <w:instrText xml:space="preserve"> REF _Ref533529357 \r \h </w:instrText>
      </w:r>
      <w:r w:rsidR="00C85008">
        <w:rPr>
          <w:kern w:val="2"/>
          <w:lang w:eastAsia="zh-CN"/>
        </w:rPr>
      </w:r>
      <w:r w:rsidR="00C85008">
        <w:rPr>
          <w:kern w:val="2"/>
          <w:lang w:eastAsia="zh-CN"/>
        </w:rPr>
        <w:fldChar w:fldCharType="separate"/>
      </w:r>
      <w:r w:rsidR="00C85008">
        <w:rPr>
          <w:kern w:val="2"/>
          <w:lang w:eastAsia="zh-CN"/>
        </w:rPr>
        <w:t>[1]</w:t>
      </w:r>
      <w:r w:rsidR="00C85008">
        <w:rPr>
          <w:kern w:val="2"/>
          <w:lang w:eastAsia="zh-CN"/>
        </w:rPr>
        <w:fldChar w:fldCharType="end"/>
      </w:r>
      <w:r>
        <w:rPr>
          <w:kern w:val="2"/>
          <w:lang w:eastAsia="zh-CN"/>
        </w:rPr>
        <w:t xml:space="preserve"> of </w:t>
      </w:r>
      <w:r w:rsidRPr="006961F8">
        <w:rPr>
          <w:kern w:val="2"/>
          <w:lang w:eastAsia="zh-CN"/>
        </w:rPr>
        <w:t xml:space="preserve">NR-based Access to Unlicensed Spectrum </w:t>
      </w:r>
      <w:r>
        <w:rPr>
          <w:kern w:val="2"/>
          <w:lang w:eastAsia="zh-CN"/>
        </w:rPr>
        <w:t xml:space="preserve">was approved. One of the objective is to specify the wideband operation procedure in RAN1 and RAN4. </w:t>
      </w:r>
    </w:p>
    <w:p w14:paraId="3626D523" w14:textId="0ACB6BC5" w:rsidR="006961F8" w:rsidRDefault="006961F8" w:rsidP="00D27D13">
      <w:pPr>
        <w:pStyle w:val="af7"/>
        <w:numPr>
          <w:ilvl w:val="0"/>
          <w:numId w:val="35"/>
        </w:numPr>
        <w:ind w:leftChars="0"/>
        <w:rPr>
          <w:i/>
          <w:kern w:val="2"/>
          <w:lang w:eastAsia="zh-CN"/>
        </w:rPr>
      </w:pPr>
      <w:r>
        <w:rPr>
          <w:i/>
          <w:kern w:val="2"/>
          <w:lang w:eastAsia="zh-CN"/>
        </w:rPr>
        <w:t>RAN1</w:t>
      </w:r>
    </w:p>
    <w:p w14:paraId="75444C17" w14:textId="05F5F873" w:rsidR="006961F8" w:rsidRDefault="006961F8" w:rsidP="00D27D13">
      <w:pPr>
        <w:pStyle w:val="af7"/>
        <w:numPr>
          <w:ilvl w:val="1"/>
          <w:numId w:val="35"/>
        </w:numPr>
        <w:ind w:leftChars="0"/>
        <w:rPr>
          <w:i/>
          <w:kern w:val="2"/>
          <w:lang w:eastAsia="zh-CN"/>
        </w:rPr>
      </w:pPr>
      <w:r w:rsidRPr="00D27D13">
        <w:rPr>
          <w:i/>
          <w:kern w:val="2"/>
          <w:lang w:eastAsia="zh-CN"/>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r>
        <w:rPr>
          <w:i/>
          <w:kern w:val="2"/>
          <w:lang w:eastAsia="zh-CN"/>
        </w:rPr>
        <w:t xml:space="preserve"> [RAN1]</w:t>
      </w:r>
    </w:p>
    <w:p w14:paraId="71A557CF" w14:textId="77777777" w:rsidR="006961F8" w:rsidRDefault="006961F8" w:rsidP="00D27D13">
      <w:pPr>
        <w:pStyle w:val="af7"/>
        <w:ind w:leftChars="0" w:left="720" w:firstLine="0"/>
        <w:rPr>
          <w:i/>
          <w:kern w:val="2"/>
          <w:lang w:eastAsia="zh-CN"/>
        </w:rPr>
      </w:pPr>
    </w:p>
    <w:p w14:paraId="38F2260E" w14:textId="77777777" w:rsidR="006961F8" w:rsidRPr="00D27D13" w:rsidRDefault="006961F8" w:rsidP="006961F8">
      <w:pPr>
        <w:pStyle w:val="B2"/>
        <w:numPr>
          <w:ilvl w:val="0"/>
          <w:numId w:val="35"/>
        </w:numPr>
        <w:rPr>
          <w:i/>
          <w:lang w:val="en-US"/>
        </w:rPr>
      </w:pPr>
      <w:r>
        <w:rPr>
          <w:i/>
          <w:lang w:eastAsia="ja-JP"/>
        </w:rPr>
        <w:t>RAN4</w:t>
      </w:r>
    </w:p>
    <w:p w14:paraId="41FD0C3B" w14:textId="7D701402" w:rsidR="006961F8" w:rsidRPr="00D27D13" w:rsidRDefault="006961F8" w:rsidP="00D27D13">
      <w:pPr>
        <w:pStyle w:val="B2"/>
        <w:numPr>
          <w:ilvl w:val="1"/>
          <w:numId w:val="35"/>
        </w:numPr>
        <w:rPr>
          <w:i/>
          <w:lang w:val="en-US"/>
        </w:rPr>
      </w:pPr>
      <w:r w:rsidRPr="00D27D13">
        <w:rPr>
          <w:i/>
          <w:lang w:eastAsia="ja-JP"/>
        </w:rPr>
        <w:t xml:space="preserve">Specify </w:t>
      </w:r>
      <w:r w:rsidRPr="00D27D13">
        <w:rPr>
          <w:i/>
          <w:lang w:eastAsia="zh-CN"/>
        </w:rPr>
        <w:t>gNB and UE RF core requirements for the band(s) in the above frequency range</w:t>
      </w:r>
      <w:r w:rsidR="00704641" w:rsidRPr="006961F8">
        <w:rPr>
          <w:i/>
          <w:lang w:eastAsia="zh-CN"/>
        </w:rPr>
        <w:t>, including</w:t>
      </w:r>
      <w:r w:rsidRPr="00D27D13">
        <w:rPr>
          <w:i/>
          <w:lang w:eastAsia="zh-CN"/>
        </w:rPr>
        <w:t xml:space="preserve"> </w:t>
      </w:r>
      <w:r w:rsidRPr="00D27D13">
        <w:rPr>
          <w:i/>
          <w:lang w:val="en-US"/>
        </w:rPr>
        <w:t>a limited set of example band combinations (see Note 2). [RAN4]</w:t>
      </w:r>
    </w:p>
    <w:p w14:paraId="6CB1AC7F" w14:textId="71987B5D" w:rsidR="00CC217B" w:rsidRPr="009469AB" w:rsidRDefault="00CC217B" w:rsidP="00ED3C55">
      <w:pPr>
        <w:rPr>
          <w:kern w:val="2"/>
          <w:lang w:eastAsia="zh-CN"/>
        </w:rPr>
      </w:pPr>
      <w:r w:rsidRPr="009469AB">
        <w:rPr>
          <w:kern w:val="2"/>
          <w:lang w:eastAsia="zh-CN"/>
        </w:rPr>
        <w:t xml:space="preserve">In </w:t>
      </w:r>
      <w:r w:rsidR="00FF3744">
        <w:rPr>
          <w:kern w:val="2"/>
          <w:lang w:eastAsia="zh-CN"/>
        </w:rPr>
        <w:t>the T</w:t>
      </w:r>
      <w:r w:rsidR="006F0740">
        <w:rPr>
          <w:kern w:val="2"/>
          <w:lang w:eastAsia="zh-CN"/>
        </w:rPr>
        <w:t xml:space="preserve">echnical </w:t>
      </w:r>
      <w:r w:rsidR="00FF3744">
        <w:rPr>
          <w:kern w:val="2"/>
          <w:lang w:eastAsia="zh-CN"/>
        </w:rPr>
        <w:t>R</w:t>
      </w:r>
      <w:r w:rsidR="006F0740">
        <w:rPr>
          <w:kern w:val="2"/>
          <w:lang w:eastAsia="zh-CN"/>
        </w:rPr>
        <w:t xml:space="preserve">eport of SI </w:t>
      </w:r>
      <w:r w:rsidR="00C85008">
        <w:rPr>
          <w:kern w:val="2"/>
          <w:lang w:eastAsia="zh-CN"/>
        </w:rPr>
        <w:fldChar w:fldCharType="begin"/>
      </w:r>
      <w:r w:rsidR="00C85008">
        <w:rPr>
          <w:kern w:val="2"/>
          <w:lang w:eastAsia="zh-CN"/>
        </w:rPr>
        <w:instrText xml:space="preserve"> REF _Ref533529370 \r \h </w:instrText>
      </w:r>
      <w:r w:rsidR="00C85008">
        <w:rPr>
          <w:kern w:val="2"/>
          <w:lang w:eastAsia="zh-CN"/>
        </w:rPr>
      </w:r>
      <w:r w:rsidR="00C85008">
        <w:rPr>
          <w:kern w:val="2"/>
          <w:lang w:eastAsia="zh-CN"/>
        </w:rPr>
        <w:fldChar w:fldCharType="separate"/>
      </w:r>
      <w:r w:rsidR="00C85008">
        <w:rPr>
          <w:kern w:val="2"/>
          <w:lang w:eastAsia="zh-CN"/>
        </w:rPr>
        <w:t>[2]</w:t>
      </w:r>
      <w:r w:rsidR="00C85008">
        <w:rPr>
          <w:kern w:val="2"/>
          <w:lang w:eastAsia="zh-CN"/>
        </w:rPr>
        <w:fldChar w:fldCharType="end"/>
      </w:r>
      <w:r w:rsidRPr="009469AB">
        <w:rPr>
          <w:kern w:val="2"/>
          <w:lang w:eastAsia="zh-CN"/>
        </w:rPr>
        <w:t xml:space="preserve">, the following </w:t>
      </w:r>
      <w:r w:rsidR="006F0740">
        <w:rPr>
          <w:kern w:val="2"/>
          <w:lang w:eastAsia="zh-CN"/>
        </w:rPr>
        <w:t>candidates were listed and will be down selected in WI</w:t>
      </w:r>
      <w:r w:rsidRPr="009469AB">
        <w:rPr>
          <w:kern w:val="2"/>
          <w:lang w:eastAsia="zh-CN"/>
        </w:rPr>
        <w:t>.</w:t>
      </w:r>
    </w:p>
    <w:p w14:paraId="4AD3C7BC" w14:textId="77777777" w:rsidR="006F0740" w:rsidRPr="00D27D13" w:rsidRDefault="006F0740" w:rsidP="00D27D13">
      <w:pPr>
        <w:pStyle w:val="af7"/>
        <w:numPr>
          <w:ilvl w:val="0"/>
          <w:numId w:val="36"/>
        </w:numPr>
        <w:spacing w:after="180"/>
        <w:ind w:leftChars="0"/>
        <w:rPr>
          <w:rFonts w:eastAsia="Malgun Gothic"/>
          <w:i/>
          <w:szCs w:val="20"/>
          <w:lang w:eastAsia="ko-KR"/>
        </w:rPr>
      </w:pPr>
      <w:r w:rsidRPr="00D27D13">
        <w:rPr>
          <w:rFonts w:eastAsia="Malgun Gothic"/>
          <w:i/>
          <w:szCs w:val="20"/>
          <w:lang w:eastAsia="ko-KR"/>
        </w:rPr>
        <w:t>For DL operation, the following options for BWP-based operation within a carrier with bandwidth larger than 20 MHz can be considered.</w:t>
      </w:r>
    </w:p>
    <w:p w14:paraId="39A24FF0" w14:textId="0F90C95D" w:rsidR="006F0740" w:rsidRPr="00D27D13" w:rsidRDefault="006F0740" w:rsidP="00D27D13">
      <w:pPr>
        <w:pStyle w:val="af7"/>
        <w:numPr>
          <w:ilvl w:val="1"/>
          <w:numId w:val="36"/>
        </w:numPr>
        <w:spacing w:after="180"/>
        <w:ind w:leftChars="0"/>
        <w:rPr>
          <w:i/>
          <w:szCs w:val="20"/>
        </w:rPr>
      </w:pPr>
      <w:r w:rsidRPr="00D27D13">
        <w:rPr>
          <w:i/>
          <w:szCs w:val="20"/>
        </w:rPr>
        <w:t>Option 1a: Multiple BWPs configured, multiple BWPs activated, transmission of PDSCH on one or more BWPs</w:t>
      </w:r>
    </w:p>
    <w:p w14:paraId="22E17F75" w14:textId="030BEC3F" w:rsidR="006F0740" w:rsidRPr="00D27D13" w:rsidRDefault="006F0740" w:rsidP="00D27D13">
      <w:pPr>
        <w:pStyle w:val="af7"/>
        <w:numPr>
          <w:ilvl w:val="1"/>
          <w:numId w:val="36"/>
        </w:numPr>
        <w:spacing w:after="180"/>
        <w:ind w:leftChars="0"/>
        <w:rPr>
          <w:i/>
          <w:szCs w:val="20"/>
        </w:rPr>
      </w:pPr>
      <w:r w:rsidRPr="00D27D13">
        <w:rPr>
          <w:i/>
          <w:szCs w:val="20"/>
        </w:rPr>
        <w:t>Option 1b: Multiple BWPs configured, multiple BWPs activated, transmission of PDSCH on single BWP</w:t>
      </w:r>
    </w:p>
    <w:p w14:paraId="3FE37A1B" w14:textId="518233DD" w:rsidR="006F0740" w:rsidRPr="00D27D13" w:rsidRDefault="006F0740" w:rsidP="00D27D13">
      <w:pPr>
        <w:pStyle w:val="af7"/>
        <w:numPr>
          <w:ilvl w:val="1"/>
          <w:numId w:val="36"/>
        </w:numPr>
        <w:spacing w:after="180"/>
        <w:ind w:leftChars="0"/>
        <w:rPr>
          <w:i/>
          <w:szCs w:val="20"/>
        </w:rPr>
      </w:pPr>
      <w:r w:rsidRPr="00D27D13">
        <w:rPr>
          <w:i/>
          <w:szCs w:val="20"/>
        </w:rPr>
        <w:t>Option 2: Multiple BWPs can be configured, single BWP activated, gNB transmits PDSCH on a single BWP if CCA is successful at gNB for the whole BWP</w:t>
      </w:r>
    </w:p>
    <w:p w14:paraId="14D0260B" w14:textId="4F8CDBE7" w:rsidR="006F0740" w:rsidRPr="00D27D13" w:rsidRDefault="006F0740" w:rsidP="00D27D13">
      <w:pPr>
        <w:pStyle w:val="af7"/>
        <w:numPr>
          <w:ilvl w:val="1"/>
          <w:numId w:val="36"/>
        </w:numPr>
        <w:spacing w:after="180"/>
        <w:ind w:leftChars="0"/>
        <w:rPr>
          <w:i/>
          <w:szCs w:val="20"/>
        </w:rPr>
      </w:pPr>
      <w:r w:rsidRPr="00D27D13">
        <w:rPr>
          <w:i/>
          <w:szCs w:val="20"/>
        </w:rPr>
        <w:t>Option 3: Multiple BWPs can be configured, single BWP activated, gNB transmits PDSCH on parts or whole of single BWP where CCA is successful at gNB</w:t>
      </w:r>
    </w:p>
    <w:p w14:paraId="10502B5F" w14:textId="77777777" w:rsidR="006F0740" w:rsidRPr="00D27D13" w:rsidRDefault="006F0740" w:rsidP="00D27D13">
      <w:pPr>
        <w:pStyle w:val="af7"/>
        <w:numPr>
          <w:ilvl w:val="0"/>
          <w:numId w:val="36"/>
        </w:numPr>
        <w:spacing w:after="180"/>
        <w:ind w:leftChars="0"/>
        <w:rPr>
          <w:rFonts w:eastAsia="Malgun Gothic"/>
          <w:i/>
          <w:szCs w:val="20"/>
          <w:lang w:eastAsia="ko-KR"/>
        </w:rPr>
      </w:pPr>
      <w:r w:rsidRPr="00D27D13">
        <w:rPr>
          <w:i/>
          <w:szCs w:val="20"/>
        </w:rPr>
        <w:t>For UL operation, the following options for BWP-based operation within a carrier with bandwidth larger than 20 MHz can be considered.</w:t>
      </w:r>
    </w:p>
    <w:p w14:paraId="6E9C97E7" w14:textId="063B41FB" w:rsidR="006F0740" w:rsidRPr="00D27D13" w:rsidRDefault="006F0740" w:rsidP="00D27D13">
      <w:pPr>
        <w:pStyle w:val="af7"/>
        <w:numPr>
          <w:ilvl w:val="1"/>
          <w:numId w:val="36"/>
        </w:numPr>
        <w:spacing w:after="180"/>
        <w:ind w:leftChars="0"/>
        <w:rPr>
          <w:i/>
          <w:szCs w:val="20"/>
        </w:rPr>
      </w:pPr>
      <w:r w:rsidRPr="00D27D13">
        <w:rPr>
          <w:i/>
          <w:szCs w:val="20"/>
        </w:rPr>
        <w:t>Option 1a: Multiple BWPs configured, multiple BWPs activated, transmission of PUSCH on one or more BWPs</w:t>
      </w:r>
    </w:p>
    <w:p w14:paraId="087C6232" w14:textId="3C060077" w:rsidR="006F0740" w:rsidRPr="00D27D13" w:rsidRDefault="006F0740" w:rsidP="00D27D13">
      <w:pPr>
        <w:pStyle w:val="af7"/>
        <w:numPr>
          <w:ilvl w:val="1"/>
          <w:numId w:val="36"/>
        </w:numPr>
        <w:spacing w:after="180"/>
        <w:ind w:leftChars="0"/>
        <w:rPr>
          <w:i/>
          <w:szCs w:val="20"/>
        </w:rPr>
      </w:pPr>
      <w:r w:rsidRPr="00D27D13">
        <w:rPr>
          <w:i/>
          <w:szCs w:val="20"/>
        </w:rPr>
        <w:t>Option 1b: Multiple BWPs configured, multiple BWPs activated, transmission of PUSCH on single BWP</w:t>
      </w:r>
    </w:p>
    <w:p w14:paraId="26CFD396" w14:textId="04D9DB93" w:rsidR="006F0740" w:rsidRPr="00D27D13" w:rsidRDefault="006F0740" w:rsidP="00D27D13">
      <w:pPr>
        <w:pStyle w:val="af7"/>
        <w:numPr>
          <w:ilvl w:val="1"/>
          <w:numId w:val="36"/>
        </w:numPr>
        <w:spacing w:after="180"/>
        <w:ind w:leftChars="0"/>
        <w:rPr>
          <w:i/>
          <w:szCs w:val="20"/>
        </w:rPr>
      </w:pPr>
      <w:r w:rsidRPr="00D27D13">
        <w:rPr>
          <w:i/>
          <w:szCs w:val="20"/>
        </w:rPr>
        <w:t>Option 2: Multiple BWPs can be configured, single BWP activated, UE transmits PUSCH on a single BWP if CCA is successful at UE for the whole BWP</w:t>
      </w:r>
    </w:p>
    <w:p w14:paraId="0DF4D68B" w14:textId="5BFF88BB" w:rsidR="006F0740" w:rsidRPr="00D27D13" w:rsidRDefault="006F0740" w:rsidP="00D27D13">
      <w:pPr>
        <w:pStyle w:val="af7"/>
        <w:numPr>
          <w:ilvl w:val="1"/>
          <w:numId w:val="36"/>
        </w:numPr>
        <w:spacing w:after="180"/>
        <w:ind w:leftChars="0"/>
        <w:rPr>
          <w:i/>
          <w:szCs w:val="20"/>
        </w:rPr>
      </w:pPr>
      <w:r w:rsidRPr="00D27D13">
        <w:rPr>
          <w:i/>
          <w:szCs w:val="20"/>
        </w:rPr>
        <w:t>Option 3: Multiple BWPs can be configured, single BWP activated, UE transmits PUSCH on parts or whole of single BWP where CCA is successful at UE</w:t>
      </w:r>
    </w:p>
    <w:p w14:paraId="04D75D0E" w14:textId="77777777" w:rsidR="006F0740" w:rsidRPr="00D27D13" w:rsidRDefault="006F0740" w:rsidP="00D27D13">
      <w:pPr>
        <w:pStyle w:val="af7"/>
        <w:numPr>
          <w:ilvl w:val="0"/>
          <w:numId w:val="36"/>
        </w:numPr>
        <w:spacing w:after="180"/>
        <w:ind w:leftChars="0"/>
        <w:rPr>
          <w:rFonts w:eastAsia="Malgun Gothic"/>
          <w:i/>
          <w:szCs w:val="20"/>
          <w:lang w:eastAsia="ko-KR"/>
        </w:rPr>
      </w:pPr>
      <w:r w:rsidRPr="00D27D13">
        <w:rPr>
          <w:rFonts w:eastAsia="Malgun Gothic"/>
          <w:i/>
          <w:szCs w:val="20"/>
          <w:lang w:eastAsia="ko-KR"/>
        </w:rPr>
        <w:t>It is noted that CCA is declared to be successful or not in multiples of 20 MHz.</w:t>
      </w:r>
    </w:p>
    <w:p w14:paraId="55198B4C" w14:textId="77777777" w:rsidR="006F0740" w:rsidRDefault="006F0740" w:rsidP="00D27D13">
      <w:pPr>
        <w:pStyle w:val="af7"/>
        <w:numPr>
          <w:ilvl w:val="0"/>
          <w:numId w:val="36"/>
        </w:numPr>
        <w:spacing w:after="180"/>
        <w:ind w:leftChars="0"/>
        <w:rPr>
          <w:rFonts w:eastAsia="Malgun Gothic"/>
          <w:i/>
          <w:szCs w:val="20"/>
          <w:lang w:eastAsia="ko-KR"/>
        </w:rPr>
      </w:pPr>
      <w:r w:rsidRPr="00D27D13">
        <w:rPr>
          <w:rFonts w:eastAsia="Malgun Gothic"/>
          <w:i/>
          <w:szCs w:val="20"/>
          <w:lang w:eastAsia="ko-KR"/>
        </w:rPr>
        <w:lastRenderedPageBreak/>
        <w:t xml:space="preserve">Detailed design and potential selection from the above options can be further discussed when specifications are developed considering protocol and RF aspects. </w:t>
      </w:r>
    </w:p>
    <w:p w14:paraId="5E815EE3" w14:textId="14775792" w:rsidR="002548D5" w:rsidRDefault="002548D5" w:rsidP="002548D5">
      <w:pPr>
        <w:rPr>
          <w:kern w:val="2"/>
          <w:lang w:eastAsia="zh-CN"/>
        </w:rPr>
      </w:pPr>
      <w:r w:rsidRPr="002548D5">
        <w:rPr>
          <w:kern w:val="2"/>
          <w:lang w:eastAsia="zh-CN"/>
        </w:rPr>
        <w:t>After RAN1#95, a LS</w:t>
      </w:r>
      <w:r>
        <w:rPr>
          <w:kern w:val="2"/>
          <w:lang w:eastAsia="zh-CN"/>
        </w:rPr>
        <w:t xml:space="preserve"> </w:t>
      </w:r>
      <w:r>
        <w:rPr>
          <w:kern w:val="2"/>
          <w:lang w:eastAsia="zh-CN"/>
        </w:rPr>
        <w:fldChar w:fldCharType="begin"/>
      </w:r>
      <w:r>
        <w:rPr>
          <w:kern w:val="2"/>
          <w:lang w:eastAsia="zh-CN"/>
        </w:rPr>
        <w:instrText xml:space="preserve"> REF _Ref533604749 \n \h </w:instrText>
      </w:r>
      <w:r>
        <w:rPr>
          <w:kern w:val="2"/>
          <w:lang w:eastAsia="zh-CN"/>
        </w:rPr>
      </w:r>
      <w:r>
        <w:rPr>
          <w:kern w:val="2"/>
          <w:lang w:eastAsia="zh-CN"/>
        </w:rPr>
        <w:fldChar w:fldCharType="separate"/>
      </w:r>
      <w:r>
        <w:rPr>
          <w:kern w:val="2"/>
          <w:lang w:eastAsia="zh-CN"/>
        </w:rPr>
        <w:t>[3]</w:t>
      </w:r>
      <w:r>
        <w:rPr>
          <w:kern w:val="2"/>
          <w:lang w:eastAsia="zh-CN"/>
        </w:rPr>
        <w:fldChar w:fldCharType="end"/>
      </w:r>
      <w:r w:rsidRPr="002548D5">
        <w:rPr>
          <w:kern w:val="2"/>
          <w:lang w:eastAsia="zh-CN"/>
        </w:rPr>
        <w:t xml:space="preserve"> was received from RAN4 mentioned</w:t>
      </w:r>
      <w:r>
        <w:rPr>
          <w:kern w:val="2"/>
          <w:lang w:eastAsia="zh-CN"/>
        </w:rPr>
        <w:t xml:space="preserve"> that</w:t>
      </w:r>
    </w:p>
    <w:p w14:paraId="013643C5" w14:textId="77777777" w:rsidR="002548D5" w:rsidRPr="002548D5" w:rsidRDefault="002548D5" w:rsidP="002548D5">
      <w:pPr>
        <w:pStyle w:val="af7"/>
        <w:numPr>
          <w:ilvl w:val="0"/>
          <w:numId w:val="36"/>
        </w:numPr>
        <w:spacing w:after="180"/>
        <w:ind w:leftChars="0"/>
        <w:rPr>
          <w:rFonts w:eastAsia="Malgun Gothic"/>
          <w:i/>
          <w:szCs w:val="20"/>
          <w:lang w:eastAsia="ko-KR"/>
        </w:rPr>
      </w:pPr>
      <w:r w:rsidRPr="002548D5">
        <w:rPr>
          <w:rFonts w:eastAsia="Malgun Gothic"/>
          <w:i/>
          <w:szCs w:val="20"/>
          <w:lang w:eastAsia="ko-KR"/>
        </w:rPr>
        <w:t>RAN4 understands that there are potential challenges to define such requirements for some of the transmission options as shown in the LS (more than 20MHz transmission bandwidth when LBT fails in any “internal” LBT sub-band in the transmission bandwidth). However, for transmissions spanning multiple contiguous LBT sub-bands, requirements can be specified. RAN4 will study all these further in future meetings.</w:t>
      </w:r>
    </w:p>
    <w:p w14:paraId="356FAD11" w14:textId="729FE0B0" w:rsidR="00C416EA" w:rsidRDefault="00ED3C55" w:rsidP="00605345">
      <w:pPr>
        <w:rPr>
          <w:kern w:val="2"/>
          <w:lang w:eastAsia="zh-CN"/>
        </w:rPr>
      </w:pPr>
      <w:r w:rsidRPr="00DC45BD">
        <w:rPr>
          <w:kern w:val="2"/>
          <w:lang w:eastAsia="zh-CN"/>
        </w:rPr>
        <w:t xml:space="preserve">In this contribution, we </w:t>
      </w:r>
      <w:r w:rsidR="00FF3744">
        <w:rPr>
          <w:kern w:val="2"/>
          <w:lang w:eastAsia="zh-CN"/>
        </w:rPr>
        <w:t>further discuss and compare all these four options</w:t>
      </w:r>
      <w:r w:rsidR="003F05BC">
        <w:rPr>
          <w:kern w:val="2"/>
          <w:lang w:eastAsia="zh-CN"/>
        </w:rPr>
        <w:t>. We propose</w:t>
      </w:r>
      <w:r w:rsidR="00D27D13">
        <w:rPr>
          <w:kern w:val="2"/>
          <w:lang w:eastAsia="zh-CN"/>
        </w:rPr>
        <w:t xml:space="preserve"> that</w:t>
      </w:r>
      <w:r w:rsidR="003F05BC">
        <w:rPr>
          <w:kern w:val="2"/>
          <w:lang w:eastAsia="zh-CN"/>
        </w:rPr>
        <w:t xml:space="preserve"> </w:t>
      </w:r>
      <w:r w:rsidR="00FF3744">
        <w:rPr>
          <w:kern w:val="2"/>
          <w:lang w:eastAsia="zh-CN"/>
        </w:rPr>
        <w:t>NR-U should support</w:t>
      </w:r>
      <w:r w:rsidR="003F05BC">
        <w:rPr>
          <w:kern w:val="2"/>
          <w:lang w:eastAsia="zh-CN"/>
        </w:rPr>
        <w:t xml:space="preserve"> option1a and option 3 considering its obvious performance gain and acceptable standard impact.</w:t>
      </w:r>
      <w:r w:rsidR="00C416EA">
        <w:rPr>
          <w:kern w:val="2"/>
          <w:lang w:eastAsia="zh-CN"/>
        </w:rPr>
        <w:t xml:space="preserve">  </w:t>
      </w:r>
    </w:p>
    <w:p w14:paraId="6ABD7E9F" w14:textId="68268646" w:rsidR="00704641" w:rsidRPr="00C81837" w:rsidRDefault="00704641" w:rsidP="00D27D13">
      <w:pPr>
        <w:pStyle w:val="1"/>
      </w:pPr>
      <w:r>
        <w:rPr>
          <w:lang w:eastAsia="zh-CN"/>
        </w:rPr>
        <w:t>Dynamic transmission bandwidth adaptation</w:t>
      </w:r>
    </w:p>
    <w:p w14:paraId="02AF7DCC" w14:textId="3B9AE367" w:rsidR="00704641" w:rsidRDefault="00704641" w:rsidP="00704641">
      <w:pPr>
        <w:rPr>
          <w:lang w:eastAsia="x-none"/>
        </w:rPr>
      </w:pPr>
      <w:r>
        <w:rPr>
          <w:lang w:eastAsia="x-none"/>
        </w:rPr>
        <w:t>When free of narrow band operation of coexistence systems cannot be guaranteed, subband</w:t>
      </w:r>
      <w:r>
        <w:rPr>
          <w:lang w:eastAsia="zh-CN"/>
        </w:rPr>
        <w:t xml:space="preserve"> LBT performed in units of 20MHz is necessary for transmitter to avoid using the subband already occupied. O</w:t>
      </w:r>
      <w:r>
        <w:rPr>
          <w:lang w:eastAsia="x-none"/>
        </w:rPr>
        <w:t xml:space="preserve">ption 1a, 1b and 3 can </w:t>
      </w:r>
      <w:r w:rsidRPr="00377F23">
        <w:rPr>
          <w:lang w:eastAsia="x-none"/>
        </w:rPr>
        <w:t>dynamic</w:t>
      </w:r>
      <w:r>
        <w:rPr>
          <w:lang w:eastAsia="x-none"/>
        </w:rPr>
        <w:t xml:space="preserve">ally adapt </w:t>
      </w:r>
      <w:r w:rsidRPr="00377F23">
        <w:rPr>
          <w:lang w:eastAsia="x-none"/>
        </w:rPr>
        <w:t xml:space="preserve">transmission bandwidth </w:t>
      </w:r>
      <w:r>
        <w:rPr>
          <w:lang w:eastAsia="x-none"/>
        </w:rPr>
        <w:t>based on LBT results while option 2 only allows transmission when all subband LBT succeed. In</w:t>
      </w:r>
      <w:r w:rsidR="006318AC">
        <w:rPr>
          <w:lang w:eastAsia="x-none"/>
        </w:rPr>
        <w:t xml:space="preserve"> </w:t>
      </w:r>
      <w:r w:rsidR="006318AC">
        <w:rPr>
          <w:lang w:eastAsia="x-none"/>
        </w:rPr>
        <w:fldChar w:fldCharType="begin"/>
      </w:r>
      <w:r w:rsidR="006318AC">
        <w:rPr>
          <w:lang w:eastAsia="x-none"/>
        </w:rPr>
        <w:instrText xml:space="preserve"> REF _Ref533529217 \h </w:instrText>
      </w:r>
      <w:r w:rsidR="006318AC">
        <w:rPr>
          <w:lang w:eastAsia="x-none"/>
        </w:rPr>
      </w:r>
      <w:r w:rsidR="006318AC">
        <w:rPr>
          <w:lang w:eastAsia="x-none"/>
        </w:rPr>
        <w:fldChar w:fldCharType="separate"/>
      </w:r>
      <w:r w:rsidR="006318AC">
        <w:t xml:space="preserve">Figure </w:t>
      </w:r>
      <w:r w:rsidR="006318AC">
        <w:rPr>
          <w:noProof/>
        </w:rPr>
        <w:t>1</w:t>
      </w:r>
      <w:r w:rsidR="006318AC">
        <w:rPr>
          <w:lang w:eastAsia="x-none"/>
        </w:rPr>
        <w:fldChar w:fldCharType="end"/>
      </w:r>
      <w:r>
        <w:rPr>
          <w:lang w:eastAsia="x-none"/>
        </w:rPr>
        <w:t xml:space="preserve">, it is observed that system suffers around 16% UPT loss when wideband transmission is only allowed if all LBT subbands succeed channel contention. </w:t>
      </w:r>
      <w:r w:rsidR="008E2999">
        <w:rPr>
          <w:lang w:eastAsia="x-none"/>
        </w:rPr>
        <w:t>The simulation assumption is attached in appendix.</w:t>
      </w:r>
      <w:r>
        <w:rPr>
          <w:lang w:eastAsia="x-none"/>
        </w:rPr>
        <w:t xml:space="preserve"> </w:t>
      </w:r>
    </w:p>
    <w:p w14:paraId="21799B08" w14:textId="77777777" w:rsidR="00704641" w:rsidRDefault="00704641" w:rsidP="00704641">
      <w:pPr>
        <w:jc w:val="center"/>
        <w:rPr>
          <w:lang w:eastAsia="x-none"/>
        </w:rPr>
      </w:pPr>
      <w:r w:rsidRPr="00B46847">
        <w:rPr>
          <w:noProof/>
          <w:lang w:eastAsia="zh-CN"/>
        </w:rPr>
        <w:drawing>
          <wp:inline distT="0" distB="0" distL="0" distR="0" wp14:anchorId="245A39ED" wp14:editId="346CFDA8">
            <wp:extent cx="4428490" cy="2498725"/>
            <wp:effectExtent l="0" t="0" r="10160" b="15875"/>
            <wp:docPr id="31" name="图表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13D43EB" w14:textId="7A7BC156" w:rsidR="00704641" w:rsidRDefault="006318AC">
      <w:pPr>
        <w:pStyle w:val="a5"/>
        <w:rPr>
          <w:lang w:eastAsia="x-none"/>
        </w:rPr>
      </w:pPr>
      <w:bookmarkStart w:id="3" w:name="_Ref533529217"/>
      <w:r>
        <w:t xml:space="preserve">Figure </w:t>
      </w:r>
      <w:r>
        <w:fldChar w:fldCharType="begin"/>
      </w:r>
      <w:r>
        <w:instrText xml:space="preserve"> SEQ Figure \* ARABIC </w:instrText>
      </w:r>
      <w:r>
        <w:fldChar w:fldCharType="separate"/>
      </w:r>
      <w:r w:rsidR="005708F4">
        <w:rPr>
          <w:noProof/>
        </w:rPr>
        <w:t>1</w:t>
      </w:r>
      <w:r>
        <w:fldChar w:fldCharType="end"/>
      </w:r>
      <w:bookmarkEnd w:id="3"/>
      <w:r w:rsidR="00704641">
        <w:t xml:space="preserve"> </w:t>
      </w:r>
      <w:r w:rsidR="00704641" w:rsidRPr="002548D5">
        <w:rPr>
          <w:b w:val="0"/>
        </w:rPr>
        <w:t>UPT comparison of NRU with and without dynamic transmission bandwidth adaptation when coexists with 20MHz coexisting system</w:t>
      </w:r>
      <w:r w:rsidR="00D27D13" w:rsidRPr="002548D5">
        <w:rPr>
          <w:b w:val="0"/>
        </w:rPr>
        <w:t>s</w:t>
      </w:r>
      <w:r w:rsidR="00704641">
        <w:t xml:space="preserve"> </w:t>
      </w:r>
    </w:p>
    <w:p w14:paraId="36638030" w14:textId="6C8CB37B" w:rsidR="00704641" w:rsidRPr="000F08EF" w:rsidRDefault="00704641" w:rsidP="00D27D13">
      <w:pPr>
        <w:pStyle w:val="a5"/>
        <w:keepNext/>
        <w:jc w:val="left"/>
        <w:rPr>
          <w:rFonts w:eastAsia="Calibri"/>
          <w:i/>
          <w:sz w:val="22"/>
          <w:szCs w:val="22"/>
          <w:lang w:eastAsia="sv-SE"/>
        </w:rPr>
      </w:pPr>
      <w:bookmarkStart w:id="4" w:name="_Ref528079263"/>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6318AC">
        <w:rPr>
          <w:i/>
          <w:noProof/>
          <w:sz w:val="22"/>
          <w:szCs w:val="22"/>
        </w:rPr>
        <w:t>1</w:t>
      </w:r>
      <w:r w:rsidRPr="0005291E">
        <w:rPr>
          <w:i/>
          <w:sz w:val="22"/>
          <w:szCs w:val="22"/>
        </w:rPr>
        <w:fldChar w:fldCharType="end"/>
      </w:r>
      <w:r w:rsidRPr="000F08EF">
        <w:rPr>
          <w:rFonts w:eastAsia="Calibri"/>
          <w:i/>
          <w:sz w:val="22"/>
          <w:szCs w:val="22"/>
          <w:lang w:eastAsia="sv-SE"/>
        </w:rPr>
        <w:t xml:space="preserve">: </w:t>
      </w:r>
      <w:r w:rsidR="00667F2A">
        <w:rPr>
          <w:rFonts w:eastAsia="Calibri"/>
          <w:i/>
          <w:sz w:val="22"/>
          <w:szCs w:val="22"/>
          <w:lang w:eastAsia="sv-SE"/>
        </w:rPr>
        <w:t>W</w:t>
      </w:r>
      <w:r w:rsidR="00D27D13">
        <w:rPr>
          <w:rFonts w:eastAsia="Calibri"/>
          <w:i/>
          <w:sz w:val="22"/>
          <w:szCs w:val="22"/>
          <w:lang w:eastAsia="sv-SE"/>
        </w:rPr>
        <w:t xml:space="preserve">hen </w:t>
      </w:r>
      <w:r w:rsidR="00667F2A">
        <w:rPr>
          <w:rFonts w:eastAsia="Calibri"/>
          <w:i/>
          <w:sz w:val="22"/>
          <w:szCs w:val="22"/>
          <w:lang w:eastAsia="sv-SE"/>
        </w:rPr>
        <w:t xml:space="preserve">a carrier with bandwidth larger than 20MHz is configured, </w:t>
      </w:r>
      <w:r w:rsidR="00D27D13">
        <w:rPr>
          <w:rFonts w:eastAsia="Calibri"/>
          <w:i/>
          <w:sz w:val="22"/>
          <w:szCs w:val="22"/>
          <w:lang w:eastAsia="sv-SE"/>
        </w:rPr>
        <w:t>NRU should</w:t>
      </w:r>
      <w:r w:rsidRPr="000F08EF">
        <w:rPr>
          <w:rFonts w:eastAsia="Calibri"/>
          <w:i/>
          <w:sz w:val="22"/>
          <w:szCs w:val="22"/>
          <w:lang w:eastAsia="sv-SE"/>
        </w:rPr>
        <w:t xml:space="preserve"> support</w:t>
      </w:r>
      <w:r w:rsidR="00667F2A">
        <w:rPr>
          <w:rFonts w:eastAsia="Calibri"/>
          <w:i/>
          <w:sz w:val="22"/>
          <w:szCs w:val="22"/>
          <w:lang w:eastAsia="sv-SE"/>
        </w:rPr>
        <w:t xml:space="preserve"> transmission on parts or whole carrier bandwidth where CCA is successful</w:t>
      </w:r>
      <w:r w:rsidRPr="000F08EF">
        <w:rPr>
          <w:rFonts w:eastAsia="Calibri"/>
          <w:i/>
          <w:sz w:val="22"/>
          <w:szCs w:val="22"/>
          <w:lang w:eastAsia="sv-SE"/>
        </w:rPr>
        <w:t>.</w:t>
      </w:r>
      <w:bookmarkEnd w:id="4"/>
    </w:p>
    <w:p w14:paraId="223987E8" w14:textId="77777777" w:rsidR="00704641" w:rsidRDefault="00704641" w:rsidP="00D27D13">
      <w:pPr>
        <w:pStyle w:val="1"/>
        <w:rPr>
          <w:lang w:eastAsia="zh-CN"/>
        </w:rPr>
      </w:pPr>
      <w:r>
        <w:rPr>
          <w:lang w:eastAsia="zh-CN"/>
        </w:rPr>
        <w:t>Review of active BWP switching operation in NR licensed carrier</w:t>
      </w:r>
    </w:p>
    <w:p w14:paraId="013752DE" w14:textId="451F5960" w:rsidR="00704641" w:rsidRDefault="00704641" w:rsidP="00704641">
      <w:pPr>
        <w:rPr>
          <w:lang w:val="en-GB" w:eastAsia="zh-CN"/>
        </w:rPr>
      </w:pPr>
      <w:r>
        <w:rPr>
          <w:lang w:eastAsia="zh-CN"/>
        </w:rPr>
        <w:t xml:space="preserve">Option 1b achieves dynamic transmission bandwidth adaptation by active BWP switching. It is supported </w:t>
      </w:r>
      <w:r>
        <w:rPr>
          <w:rFonts w:hint="eastAsia"/>
          <w:lang w:val="en-GB" w:eastAsia="zh-CN"/>
        </w:rPr>
        <w:t xml:space="preserve">in NR </w:t>
      </w:r>
      <w:r>
        <w:rPr>
          <w:lang w:val="en-GB" w:eastAsia="zh-CN"/>
        </w:rPr>
        <w:t>R15.</w:t>
      </w:r>
      <w:r>
        <w:rPr>
          <w:rFonts w:hint="eastAsia"/>
          <w:lang w:val="en-GB" w:eastAsia="zh-CN"/>
        </w:rPr>
        <w:t xml:space="preserve"> </w:t>
      </w:r>
      <w:r>
        <w:rPr>
          <w:lang w:val="en-GB" w:eastAsia="zh-CN"/>
        </w:rPr>
        <w:t>In</w:t>
      </w:r>
      <w:r>
        <w:rPr>
          <w:rFonts w:hint="eastAsia"/>
          <w:lang w:val="en-GB" w:eastAsia="zh-CN"/>
        </w:rPr>
        <w:t xml:space="preserve"> </w:t>
      </w:r>
      <w:r>
        <w:rPr>
          <w:lang w:val="en-GB" w:eastAsia="zh-CN"/>
        </w:rPr>
        <w:t xml:space="preserve">current design, active BWP switching can be performed via scheduling DCI or a timer-based mechanism or RRC reconfiguration. </w:t>
      </w:r>
      <w:r w:rsidRPr="00DC6FD4">
        <w:rPr>
          <w:lang w:val="en-GB" w:eastAsia="zh-CN"/>
        </w:rPr>
        <w:t>3GPP RAN4 has discussed a number of aspects associated with BWP reconfiguration scenarios and the associated switching delays</w:t>
      </w:r>
      <w:r>
        <w:rPr>
          <w:lang w:val="en-GB" w:eastAsia="zh-CN"/>
        </w:rPr>
        <w:t>. The minimum BWP switching time is 750us assuming 60 kHz SCS</w:t>
      </w:r>
      <w:r w:rsidR="00C85008">
        <w:rPr>
          <w:lang w:val="en-GB" w:eastAsia="zh-CN"/>
        </w:rPr>
        <w:t xml:space="preserve"> </w:t>
      </w:r>
      <w:r w:rsidR="00C85008">
        <w:rPr>
          <w:lang w:val="en-GB" w:eastAsia="zh-CN"/>
        </w:rPr>
        <w:fldChar w:fldCharType="begin"/>
      </w:r>
      <w:r w:rsidR="00C85008">
        <w:rPr>
          <w:lang w:val="en-GB" w:eastAsia="zh-CN"/>
        </w:rPr>
        <w:instrText xml:space="preserve"> REF _Ref528849571 \r \h </w:instrText>
      </w:r>
      <w:r w:rsidR="00C85008">
        <w:rPr>
          <w:lang w:val="en-GB" w:eastAsia="zh-CN"/>
        </w:rPr>
      </w:r>
      <w:r w:rsidR="00C85008">
        <w:rPr>
          <w:lang w:val="en-GB" w:eastAsia="zh-CN"/>
        </w:rPr>
        <w:fldChar w:fldCharType="separate"/>
      </w:r>
      <w:r w:rsidR="00F040B1">
        <w:rPr>
          <w:lang w:val="en-GB" w:eastAsia="zh-CN"/>
        </w:rPr>
        <w:t>[4]</w:t>
      </w:r>
      <w:r w:rsidR="00C85008">
        <w:rPr>
          <w:lang w:val="en-GB" w:eastAsia="zh-CN"/>
        </w:rPr>
        <w:fldChar w:fldCharType="end"/>
      </w:r>
      <w:r>
        <w:rPr>
          <w:lang w:val="en-GB" w:eastAsia="zh-CN"/>
        </w:rPr>
        <w:t xml:space="preserve">. gNB can transmit scheduling DCI for BWP switching after acquiring the new BWP. However since gNB can only generate this DCI after LBT, there exists a delay between acquiring the new BWP and transmitting DCI. </w:t>
      </w:r>
      <w:r w:rsidR="00A77F9C">
        <w:rPr>
          <w:lang w:val="en-GB" w:eastAsia="zh-CN"/>
        </w:rPr>
        <w:t>All t</w:t>
      </w:r>
      <w:r w:rsidR="00667F2A">
        <w:rPr>
          <w:lang w:val="en-GB" w:eastAsia="zh-CN"/>
        </w:rPr>
        <w:t xml:space="preserve">hese delay </w:t>
      </w:r>
      <w:r w:rsidR="00A77F9C">
        <w:rPr>
          <w:lang w:val="en-GB" w:eastAsia="zh-CN"/>
        </w:rPr>
        <w:t xml:space="preserve">before the transmission </w:t>
      </w:r>
      <w:r w:rsidR="00667F2A">
        <w:rPr>
          <w:lang w:val="en-GB" w:eastAsia="zh-CN"/>
        </w:rPr>
        <w:t>will reduce the channel access efficiency in unlicensed carrier, especially when the channel occupancy time is small.</w:t>
      </w:r>
      <w:r w:rsidR="00A77F9C">
        <w:rPr>
          <w:lang w:val="en-GB" w:eastAsia="zh-CN"/>
        </w:rPr>
        <w:t xml:space="preserve"> </w:t>
      </w:r>
      <w:r>
        <w:rPr>
          <w:lang w:val="en-GB" w:eastAsia="zh-CN"/>
        </w:rPr>
        <w:t>On the other side, gNB can transmit the scheduling DCI for BWP switching before acquiring the new BWP. However there would be a mismatch between the previous scheduling DCI and available BWP after LBT.</w:t>
      </w:r>
      <w:r w:rsidR="00667F2A">
        <w:rPr>
          <w:lang w:val="en-GB" w:eastAsia="zh-CN"/>
        </w:rPr>
        <w:t xml:space="preserve"> </w:t>
      </w:r>
      <w:r>
        <w:rPr>
          <w:rFonts w:hint="eastAsia"/>
          <w:lang w:val="en-GB" w:eastAsia="zh-CN"/>
        </w:rPr>
        <w:t xml:space="preserve">In summary, </w:t>
      </w:r>
      <w:r>
        <w:rPr>
          <w:lang w:val="en-GB" w:eastAsia="zh-CN"/>
        </w:rPr>
        <w:lastRenderedPageBreak/>
        <w:t>the current BWP switching mechanism in NR licensed carrier is not sufficient to support dynamic bandwidth adaption after LBT especially due to the switching delay.</w:t>
      </w:r>
    </w:p>
    <w:p w14:paraId="4272B90F" w14:textId="21AFA74D" w:rsidR="00704641" w:rsidRPr="00B66181" w:rsidRDefault="00704641" w:rsidP="00D27D13">
      <w:pPr>
        <w:pStyle w:val="a5"/>
        <w:keepNext/>
        <w:jc w:val="left"/>
      </w:pPr>
      <w:bookmarkStart w:id="5" w:name="_Ref528079154"/>
      <w:r w:rsidRPr="00B66181">
        <w:rPr>
          <w:i/>
          <w:sz w:val="22"/>
          <w:szCs w:val="22"/>
        </w:rPr>
        <w:t xml:space="preserve">Observation </w:t>
      </w:r>
      <w:r w:rsidRPr="00B66181">
        <w:rPr>
          <w:i/>
          <w:sz w:val="22"/>
          <w:szCs w:val="22"/>
        </w:rPr>
        <w:fldChar w:fldCharType="begin"/>
      </w:r>
      <w:r w:rsidRPr="00B66181">
        <w:rPr>
          <w:i/>
          <w:sz w:val="22"/>
          <w:szCs w:val="22"/>
        </w:rPr>
        <w:instrText xml:space="preserve"> SEQ Observation \* ARABIC </w:instrText>
      </w:r>
      <w:r w:rsidRPr="00B66181">
        <w:rPr>
          <w:i/>
          <w:sz w:val="22"/>
          <w:szCs w:val="22"/>
        </w:rPr>
        <w:fldChar w:fldCharType="separate"/>
      </w:r>
      <w:r w:rsidR="005E4633">
        <w:rPr>
          <w:i/>
          <w:noProof/>
          <w:sz w:val="22"/>
          <w:szCs w:val="22"/>
        </w:rPr>
        <w:t>1</w:t>
      </w:r>
      <w:r w:rsidRPr="00B66181">
        <w:rPr>
          <w:i/>
          <w:sz w:val="22"/>
          <w:szCs w:val="22"/>
        </w:rPr>
        <w:fldChar w:fldCharType="end"/>
      </w:r>
      <w:r w:rsidRPr="00B66181">
        <w:rPr>
          <w:rFonts w:eastAsia="Calibri"/>
          <w:bCs w:val="0"/>
          <w:i/>
          <w:lang w:eastAsia="sv-SE"/>
        </w:rPr>
        <w:t>: BWP switching mechanism in NR licensed carrier is not sufficient to support dynamic bandwidth adaption after LBT due to the switching delay.</w:t>
      </w:r>
      <w:bookmarkEnd w:id="5"/>
      <w:r w:rsidRPr="00B66181">
        <w:t xml:space="preserve"> </w:t>
      </w:r>
    </w:p>
    <w:p w14:paraId="463246F2" w14:textId="77777777" w:rsidR="00704641" w:rsidRPr="00097EAA" w:rsidRDefault="00704641" w:rsidP="00D27D13">
      <w:pPr>
        <w:pStyle w:val="1"/>
      </w:pPr>
      <w:r>
        <w:rPr>
          <w:lang w:eastAsia="zh-CN"/>
        </w:rPr>
        <w:t xml:space="preserve">Enhancements on BWP operation in NR unlicensed carrier </w:t>
      </w:r>
    </w:p>
    <w:p w14:paraId="75BEF13E" w14:textId="192056CF" w:rsidR="00FF22B2" w:rsidRDefault="00FF22B2" w:rsidP="00342728">
      <w:pPr>
        <w:rPr>
          <w:lang w:eastAsia="zh-CN"/>
        </w:rPr>
      </w:pPr>
      <w:r>
        <w:rPr>
          <w:lang w:eastAsia="zh-CN"/>
        </w:rPr>
        <w:t xml:space="preserve">From the RAN1 perspective, there are following two approaches to achieve dynamic transmission bandwidth adaptation. </w:t>
      </w:r>
    </w:p>
    <w:p w14:paraId="3D19E9E7" w14:textId="3088FDD6" w:rsidR="00704641" w:rsidRPr="009529EF" w:rsidRDefault="00704641" w:rsidP="00D27D13">
      <w:pPr>
        <w:pStyle w:val="2"/>
        <w:rPr>
          <w:lang w:val="en-GB" w:eastAsia="zh-CN"/>
        </w:rPr>
      </w:pPr>
      <w:r w:rsidRPr="009529EF">
        <w:rPr>
          <w:lang w:val="en-GB" w:eastAsia="zh-CN"/>
        </w:rPr>
        <w:t>Multiple active BWP</w:t>
      </w:r>
      <w:r>
        <w:rPr>
          <w:lang w:val="en-GB" w:eastAsia="zh-CN"/>
        </w:rPr>
        <w:t>s (option 1a)</w:t>
      </w:r>
    </w:p>
    <w:p w14:paraId="262F2873" w14:textId="77777777" w:rsidR="00704641" w:rsidRDefault="00704641" w:rsidP="00704641">
      <w:pPr>
        <w:rPr>
          <w:lang w:eastAsia="zh-CN"/>
        </w:rPr>
      </w:pPr>
      <w:r>
        <w:rPr>
          <w:lang w:val="en-GB" w:eastAsia="zh-CN"/>
        </w:rPr>
        <w:t xml:space="preserve">One approach is to activate </w:t>
      </w:r>
      <w:r>
        <w:rPr>
          <w:rFonts w:hint="eastAsia"/>
          <w:lang w:eastAsia="zh-CN"/>
        </w:rPr>
        <w:t xml:space="preserve">multiple </w:t>
      </w:r>
      <w:r>
        <w:rPr>
          <w:lang w:eastAsia="zh-CN"/>
        </w:rPr>
        <w:t xml:space="preserve">non-overlapping </w:t>
      </w:r>
      <w:r>
        <w:rPr>
          <w:rFonts w:hint="eastAsia"/>
          <w:lang w:eastAsia="zh-CN"/>
        </w:rPr>
        <w:t>BWPs</w:t>
      </w:r>
      <w:r>
        <w:rPr>
          <w:lang w:eastAsia="zh-CN"/>
        </w:rPr>
        <w:t xml:space="preserve"> for a UE </w:t>
      </w:r>
      <w:r>
        <w:rPr>
          <w:rFonts w:hint="eastAsia"/>
          <w:lang w:eastAsia="zh-CN"/>
        </w:rPr>
        <w:t xml:space="preserve">within a </w:t>
      </w:r>
      <w:r>
        <w:rPr>
          <w:lang w:eastAsia="zh-CN"/>
        </w:rPr>
        <w:t xml:space="preserve">wide </w:t>
      </w:r>
      <w:r w:rsidRPr="007738E3">
        <w:rPr>
          <w:lang w:eastAsia="zh-CN"/>
        </w:rPr>
        <w:t>component carrier</w:t>
      </w:r>
      <w:r>
        <w:rPr>
          <w:lang w:eastAsia="zh-CN"/>
        </w:rPr>
        <w:t xml:space="preserve">, as illustrated in </w:t>
      </w:r>
      <w:r>
        <w:rPr>
          <w:lang w:eastAsia="zh-CN"/>
        </w:rPr>
        <w:fldChar w:fldCharType="begin"/>
      </w:r>
      <w:r>
        <w:rPr>
          <w:lang w:eastAsia="zh-CN"/>
        </w:rPr>
        <w:instrText xml:space="preserve"> REF _Ref528585887 \h </w:instrText>
      </w:r>
      <w:r>
        <w:rPr>
          <w:lang w:eastAsia="zh-CN"/>
        </w:rPr>
      </w:r>
      <w:r>
        <w:rPr>
          <w:lang w:eastAsia="zh-CN"/>
        </w:rPr>
        <w:fldChar w:fldCharType="separate"/>
      </w:r>
      <w:r>
        <w:t xml:space="preserve">Figure </w:t>
      </w:r>
      <w:r>
        <w:rPr>
          <w:noProof/>
        </w:rPr>
        <w:t>8</w:t>
      </w:r>
      <w:r>
        <w:rPr>
          <w:lang w:eastAsia="zh-CN"/>
        </w:rPr>
        <w:fldChar w:fldCharType="end"/>
      </w:r>
      <w:r>
        <w:rPr>
          <w:rFonts w:hint="eastAsia"/>
          <w:lang w:eastAsia="zh-CN"/>
        </w:rPr>
        <w:t xml:space="preserve">. </w:t>
      </w:r>
      <w:r>
        <w:rPr>
          <w:lang w:eastAsia="zh-CN"/>
        </w:rPr>
        <w:t>T</w:t>
      </w:r>
      <w:r>
        <w:rPr>
          <w:rFonts w:hint="eastAsia"/>
          <w:lang w:eastAsia="zh-CN"/>
        </w:rPr>
        <w:t xml:space="preserve">o maximize the </w:t>
      </w:r>
      <w:r>
        <w:rPr>
          <w:lang w:eastAsia="zh-CN"/>
        </w:rPr>
        <w:t>resource</w:t>
      </w:r>
      <w:r>
        <w:rPr>
          <w:rFonts w:hint="eastAsia"/>
          <w:lang w:eastAsia="zh-CN"/>
        </w:rPr>
        <w:t xml:space="preserve"> utilization efficiency, the BWP bandwidth can be the </w:t>
      </w:r>
      <w:r>
        <w:rPr>
          <w:lang w:eastAsia="zh-CN"/>
        </w:rPr>
        <w:t>same</w:t>
      </w:r>
      <w:r>
        <w:rPr>
          <w:rFonts w:hint="eastAsia"/>
          <w:lang w:eastAsia="zh-CN"/>
        </w:rPr>
        <w:t xml:space="preserve"> as the bandwidth of </w:t>
      </w:r>
      <w:r>
        <w:rPr>
          <w:lang w:eastAsia="zh-CN"/>
        </w:rPr>
        <w:t xml:space="preserve">LBT </w:t>
      </w:r>
      <w:r>
        <w:rPr>
          <w:rFonts w:hint="eastAsia"/>
          <w:lang w:eastAsia="zh-CN"/>
        </w:rPr>
        <w:t>subband, i.e. LBT is carrie</w:t>
      </w:r>
      <w:r>
        <w:rPr>
          <w:lang w:eastAsia="zh-CN"/>
        </w:rPr>
        <w:t>d</w:t>
      </w:r>
      <w:r>
        <w:rPr>
          <w:rFonts w:hint="eastAsia"/>
          <w:lang w:eastAsia="zh-CN"/>
        </w:rPr>
        <w:t xml:space="preserve"> out on each BWP. </w:t>
      </w:r>
      <w:r>
        <w:rPr>
          <w:lang w:eastAsia="zh-CN"/>
        </w:rPr>
        <w:t>Since more than one LBT subband can succeed, this approach requires</w:t>
      </w:r>
      <w:r>
        <w:rPr>
          <w:rFonts w:hint="eastAsia"/>
          <w:lang w:eastAsia="zh-CN"/>
        </w:rPr>
        <w:t xml:space="preserve"> </w:t>
      </w:r>
      <w:r>
        <w:rPr>
          <w:lang w:eastAsia="zh-CN"/>
        </w:rPr>
        <w:t xml:space="preserve">the </w:t>
      </w:r>
      <w:r>
        <w:rPr>
          <w:rFonts w:hint="eastAsia"/>
          <w:lang w:eastAsia="zh-CN"/>
        </w:rPr>
        <w:t xml:space="preserve">UE to have the capability </w:t>
      </w:r>
      <w:r>
        <w:rPr>
          <w:lang w:eastAsia="zh-CN"/>
        </w:rPr>
        <w:t>of</w:t>
      </w:r>
      <w:r>
        <w:rPr>
          <w:rFonts w:hint="eastAsia"/>
          <w:lang w:eastAsia="zh-CN"/>
        </w:rPr>
        <w:t xml:space="preserve"> support</w:t>
      </w:r>
      <w:r>
        <w:rPr>
          <w:lang w:eastAsia="zh-CN"/>
        </w:rPr>
        <w:t>ing</w:t>
      </w:r>
      <w:r>
        <w:rPr>
          <w:rFonts w:hint="eastAsia"/>
          <w:lang w:eastAsia="zh-CN"/>
        </w:rPr>
        <w:t xml:space="preserve"> </w:t>
      </w:r>
      <w:r>
        <w:rPr>
          <w:lang w:eastAsia="zh-CN"/>
        </w:rPr>
        <w:t>multiple</w:t>
      </w:r>
      <w:r>
        <w:rPr>
          <w:rFonts w:hint="eastAsia"/>
          <w:lang w:eastAsia="zh-CN"/>
        </w:rPr>
        <w:t xml:space="preserve"> narrow RF</w:t>
      </w:r>
      <w:r>
        <w:rPr>
          <w:lang w:eastAsia="zh-CN"/>
        </w:rPr>
        <w:t xml:space="preserve"> bandwidths</w:t>
      </w:r>
      <w:r>
        <w:rPr>
          <w:rFonts w:hint="eastAsia"/>
          <w:lang w:eastAsia="zh-CN"/>
        </w:rPr>
        <w:t xml:space="preserve"> or a wide RF </w:t>
      </w:r>
      <w:r>
        <w:rPr>
          <w:lang w:eastAsia="zh-CN"/>
        </w:rPr>
        <w:t xml:space="preserve">bandwidth </w:t>
      </w:r>
      <w:r>
        <w:rPr>
          <w:rFonts w:hint="eastAsia"/>
          <w:lang w:eastAsia="zh-CN"/>
        </w:rPr>
        <w:t xml:space="preserve">which includes these </w:t>
      </w:r>
      <w:r>
        <w:rPr>
          <w:lang w:eastAsia="zh-CN"/>
        </w:rPr>
        <w:t>multiple</w:t>
      </w:r>
      <w:r>
        <w:rPr>
          <w:rFonts w:hint="eastAsia"/>
          <w:lang w:eastAsia="zh-CN"/>
        </w:rPr>
        <w:t xml:space="preserve"> activ</w:t>
      </w:r>
      <w:r>
        <w:rPr>
          <w:lang w:eastAsia="zh-CN"/>
        </w:rPr>
        <w:t>e</w:t>
      </w:r>
      <w:r>
        <w:rPr>
          <w:rFonts w:hint="eastAsia"/>
          <w:lang w:eastAsia="zh-CN"/>
        </w:rPr>
        <w:t xml:space="preserve"> BWP</w:t>
      </w:r>
      <w:r>
        <w:rPr>
          <w:lang w:eastAsia="zh-CN"/>
        </w:rPr>
        <w:t>s</w:t>
      </w:r>
      <w:r>
        <w:rPr>
          <w:rFonts w:hint="eastAsia"/>
          <w:lang w:eastAsia="zh-CN"/>
        </w:rPr>
        <w:t xml:space="preserve">. </w:t>
      </w:r>
      <w:r>
        <w:rPr>
          <w:lang w:eastAsia="zh-CN"/>
        </w:rPr>
        <w:t>Since all BWPs are active simultaneously for a UE, there is no BWP switching in this approach. The operation of each active BWP is independent of the others, which has the following benefits</w:t>
      </w:r>
    </w:p>
    <w:p w14:paraId="7A2F7BF8" w14:textId="77777777" w:rsidR="00704641" w:rsidRDefault="00704641" w:rsidP="00704641">
      <w:pPr>
        <w:numPr>
          <w:ilvl w:val="0"/>
          <w:numId w:val="37"/>
        </w:numPr>
        <w:rPr>
          <w:lang w:eastAsia="zh-CN"/>
        </w:rPr>
      </w:pPr>
      <w:r>
        <w:rPr>
          <w:lang w:eastAsia="zh-CN"/>
        </w:rPr>
        <w:t xml:space="preserve">Each BWP is scheduled independently. One TB is transmitted over each active BWP (if corresponding LBT succeeds), and so, link adaptation gain can be achieved by adapting the MCS of the TB transmit over each BWP based on the narrowband CSI of the BWP. </w:t>
      </w:r>
    </w:p>
    <w:p w14:paraId="0AB3E224" w14:textId="77777777" w:rsidR="00704641" w:rsidRDefault="00704641" w:rsidP="00704641">
      <w:pPr>
        <w:numPr>
          <w:ilvl w:val="0"/>
          <w:numId w:val="37"/>
        </w:numPr>
        <w:rPr>
          <w:lang w:eastAsia="zh-CN"/>
        </w:rPr>
      </w:pPr>
      <w:r>
        <w:rPr>
          <w:lang w:eastAsia="zh-CN"/>
        </w:rPr>
        <w:t>The BWP operation per active BWP is a limited version of the BWP operation supported in NR Rel-15 (e.g. BWP switching is not supported here). Therefore, the BWP operation of NR Rel-15 can be reused for each active BWP here.</w:t>
      </w:r>
    </w:p>
    <w:p w14:paraId="51087EE5" w14:textId="77777777" w:rsidR="00AB4507" w:rsidRDefault="00AB4507" w:rsidP="00D27D13">
      <w:pPr>
        <w:pStyle w:val="af7"/>
        <w:ind w:leftChars="0" w:left="720" w:firstLine="0"/>
        <w:jc w:val="center"/>
      </w:pPr>
      <w:r w:rsidRPr="00F71340">
        <w:rPr>
          <w:noProof/>
          <w:lang w:val="en-US" w:eastAsia="zh-CN"/>
        </w:rPr>
        <w:drawing>
          <wp:inline distT="0" distB="0" distL="0" distR="0" wp14:anchorId="6503D1E4" wp14:editId="7FEB83D2">
            <wp:extent cx="2527935" cy="1089329"/>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9">
                      <a:extLst>
                        <a:ext uri="{28A0092B-C50C-407E-A947-70E740481C1C}">
                          <a14:useLocalDpi xmlns:a14="http://schemas.microsoft.com/office/drawing/2010/main" val="0"/>
                        </a:ext>
                      </a:extLst>
                    </a:blip>
                    <a:srcRect r="53352" b="20782"/>
                    <a:stretch/>
                  </pic:blipFill>
                  <pic:spPr bwMode="auto">
                    <a:xfrm>
                      <a:off x="0" y="0"/>
                      <a:ext cx="2528514" cy="1089579"/>
                    </a:xfrm>
                    <a:prstGeom prst="rect">
                      <a:avLst/>
                    </a:prstGeom>
                    <a:noFill/>
                    <a:ln>
                      <a:noFill/>
                    </a:ln>
                    <a:extLst>
                      <a:ext uri="{53640926-AAD7-44D8-BBD7-CCE9431645EC}">
                        <a14:shadowObscured xmlns:a14="http://schemas.microsoft.com/office/drawing/2010/main"/>
                      </a:ext>
                    </a:extLst>
                  </pic:spPr>
                </pic:pic>
              </a:graphicData>
            </a:graphic>
          </wp:inline>
        </w:drawing>
      </w:r>
    </w:p>
    <w:p w14:paraId="4DF90363" w14:textId="3BDDEA0F" w:rsidR="00AB4507" w:rsidRDefault="00AB4507" w:rsidP="00D27D13">
      <w:pPr>
        <w:pStyle w:val="a5"/>
        <w:rPr>
          <w:b w:val="0"/>
        </w:rPr>
      </w:pPr>
      <w:bookmarkStart w:id="6" w:name="_Ref528585887"/>
      <w:r>
        <w:t xml:space="preserve">Figure </w:t>
      </w:r>
      <w:r>
        <w:fldChar w:fldCharType="begin"/>
      </w:r>
      <w:r>
        <w:instrText xml:space="preserve"> SEQ Figure \* ARABIC </w:instrText>
      </w:r>
      <w:r>
        <w:fldChar w:fldCharType="separate"/>
      </w:r>
      <w:r w:rsidR="005708F4">
        <w:rPr>
          <w:noProof/>
        </w:rPr>
        <w:t>2</w:t>
      </w:r>
      <w:r>
        <w:fldChar w:fldCharType="end"/>
      </w:r>
      <w:bookmarkEnd w:id="6"/>
      <w:r>
        <w:t xml:space="preserve"> </w:t>
      </w:r>
      <w:r w:rsidRPr="00D27D13">
        <w:rPr>
          <w:b w:val="0"/>
        </w:rPr>
        <w:t>Option 1a for BWP operation in NR unlicensed carrier</w:t>
      </w:r>
    </w:p>
    <w:p w14:paraId="1A73DAE5" w14:textId="684D36D7" w:rsidR="00FF22B2" w:rsidRDefault="00FF22B2" w:rsidP="00FF22B2">
      <w:pPr>
        <w:rPr>
          <w:lang w:val="en-GB" w:eastAsia="zh-CN"/>
        </w:rPr>
      </w:pPr>
      <w:r>
        <w:rPr>
          <w:lang w:val="en-GB" w:eastAsia="zh-CN"/>
        </w:rPr>
        <w:t xml:space="preserve">The HARQ-ACK codebook for multiple BWPs may be pointed out. It should be noted that both semi-static and dynamic HARQ-ACK codebook for CA have been specified in NR Rel-15. The </w:t>
      </w:r>
      <w:r>
        <w:rPr>
          <w:rFonts w:hint="eastAsia"/>
          <w:lang w:val="en-GB" w:eastAsia="zh-CN"/>
        </w:rPr>
        <w:t xml:space="preserve">HARQ-ACK codebook </w:t>
      </w:r>
      <w:r>
        <w:rPr>
          <w:lang w:val="en-GB" w:eastAsia="zh-CN"/>
        </w:rPr>
        <w:t xml:space="preserve">for multiple BWPs can reuse the principle of HARQ-ACK codebook generation for CA </w:t>
      </w:r>
      <w:r w:rsidR="00A77F9C">
        <w:rPr>
          <w:lang w:val="en-GB" w:eastAsia="zh-CN"/>
        </w:rPr>
        <w:t xml:space="preserve">by </w:t>
      </w:r>
      <w:r>
        <w:rPr>
          <w:lang w:val="en-GB" w:eastAsia="zh-CN"/>
        </w:rPr>
        <w:t xml:space="preserve">using BWP ID instead of serving cell index for single cell case. For semi-static HARQ-ACK codebook, UE determines the candidate PDSCH occasions </w:t>
      </w:r>
      <w:r w:rsidR="00A77F9C">
        <w:rPr>
          <w:lang w:val="en-GB" w:eastAsia="zh-CN"/>
        </w:rPr>
        <w:t xml:space="preserve">and corresponding codebook </w:t>
      </w:r>
      <w:r>
        <w:rPr>
          <w:lang w:val="en-GB" w:eastAsia="zh-CN"/>
        </w:rPr>
        <w:t xml:space="preserve">for each active BWP </w:t>
      </w:r>
      <w:r w:rsidR="00A77F9C">
        <w:rPr>
          <w:lang w:val="en-GB" w:eastAsia="zh-CN"/>
        </w:rPr>
        <w:t>and aggregate them for the whole wideband serving cell</w:t>
      </w:r>
      <w:r>
        <w:rPr>
          <w:lang w:val="en-GB" w:eastAsia="zh-CN"/>
        </w:rPr>
        <w:t>. For dynamic HARQ-ACK codebook, BWP</w:t>
      </w:r>
      <w:r w:rsidR="00A77F9C">
        <w:rPr>
          <w:lang w:val="en-GB" w:eastAsia="zh-CN"/>
        </w:rPr>
        <w:t>-wise</w:t>
      </w:r>
      <w:r>
        <w:rPr>
          <w:lang w:val="en-GB" w:eastAsia="zh-CN"/>
        </w:rPr>
        <w:t xml:space="preserve"> counter-D</w:t>
      </w:r>
      <w:r w:rsidR="000A24B9">
        <w:rPr>
          <w:lang w:val="en-GB" w:eastAsia="zh-CN"/>
        </w:rPr>
        <w:t>A</w:t>
      </w:r>
      <w:r>
        <w:rPr>
          <w:lang w:val="en-GB" w:eastAsia="zh-CN"/>
        </w:rPr>
        <w:t>I and total-D</w:t>
      </w:r>
      <w:r w:rsidR="000A24B9">
        <w:rPr>
          <w:lang w:val="en-GB" w:eastAsia="zh-CN"/>
        </w:rPr>
        <w:t>A</w:t>
      </w:r>
      <w:r>
        <w:rPr>
          <w:lang w:val="en-GB" w:eastAsia="zh-CN"/>
        </w:rPr>
        <w:t xml:space="preserve">I can be </w:t>
      </w:r>
      <w:r w:rsidR="00A77F9C">
        <w:rPr>
          <w:lang w:val="en-GB" w:eastAsia="zh-CN"/>
        </w:rPr>
        <w:t>introduce</w:t>
      </w:r>
      <w:r w:rsidR="000A24B9">
        <w:rPr>
          <w:lang w:val="en-GB" w:eastAsia="zh-CN"/>
        </w:rPr>
        <w:t>d</w:t>
      </w:r>
      <w:r w:rsidR="00A77F9C">
        <w:rPr>
          <w:lang w:val="en-GB" w:eastAsia="zh-CN"/>
        </w:rPr>
        <w:t xml:space="preserve"> as well </w:t>
      </w:r>
      <w:r w:rsidR="000A24B9">
        <w:rPr>
          <w:lang w:val="en-GB" w:eastAsia="zh-CN"/>
        </w:rPr>
        <w:t xml:space="preserve">as carrier-wise DAI. </w:t>
      </w:r>
    </w:p>
    <w:p w14:paraId="31F73B19" w14:textId="127ED196" w:rsidR="00704641" w:rsidRPr="009529EF" w:rsidRDefault="00704641" w:rsidP="00D27D13">
      <w:pPr>
        <w:pStyle w:val="2"/>
        <w:rPr>
          <w:lang w:val="en-GB" w:eastAsia="zh-CN"/>
        </w:rPr>
      </w:pPr>
      <w:r w:rsidRPr="009529EF">
        <w:rPr>
          <w:lang w:eastAsia="zh-CN"/>
        </w:rPr>
        <w:t>Single active BWP</w:t>
      </w:r>
      <w:r>
        <w:rPr>
          <w:lang w:eastAsia="zh-CN"/>
        </w:rPr>
        <w:t xml:space="preserve"> (option 3)</w:t>
      </w:r>
    </w:p>
    <w:p w14:paraId="5C6435C6" w14:textId="77DD93F1" w:rsidR="003A1D12" w:rsidRDefault="00AB4507" w:rsidP="00704641">
      <w:pPr>
        <w:rPr>
          <w:lang w:eastAsia="zh-CN"/>
        </w:rPr>
      </w:pPr>
      <w:r>
        <w:rPr>
          <w:lang w:eastAsia="zh-CN"/>
        </w:rPr>
        <w:t xml:space="preserve">Another </w:t>
      </w:r>
      <w:r w:rsidR="00704641">
        <w:rPr>
          <w:lang w:eastAsia="zh-CN"/>
        </w:rPr>
        <w:t>approach is to activate single wideband BWP for a UE within a component carrier, as illustrated in</w:t>
      </w:r>
      <w:r>
        <w:rPr>
          <w:lang w:eastAsia="zh-CN"/>
        </w:rPr>
        <w:t xml:space="preserve"> </w:t>
      </w:r>
      <w:r>
        <w:rPr>
          <w:lang w:eastAsia="zh-CN"/>
        </w:rPr>
        <w:fldChar w:fldCharType="begin"/>
      </w:r>
      <w:r>
        <w:rPr>
          <w:lang w:eastAsia="zh-CN"/>
        </w:rPr>
        <w:instrText xml:space="preserve"> REF _Ref533529856 \h </w:instrText>
      </w:r>
      <w:r>
        <w:rPr>
          <w:lang w:eastAsia="zh-CN"/>
        </w:rPr>
      </w:r>
      <w:r>
        <w:rPr>
          <w:lang w:eastAsia="zh-CN"/>
        </w:rPr>
        <w:fldChar w:fldCharType="separate"/>
      </w:r>
      <w:r>
        <w:t xml:space="preserve">Figure </w:t>
      </w:r>
      <w:r>
        <w:rPr>
          <w:noProof/>
        </w:rPr>
        <w:t>3</w:t>
      </w:r>
      <w:r>
        <w:rPr>
          <w:lang w:eastAsia="zh-CN"/>
        </w:rPr>
        <w:fldChar w:fldCharType="end"/>
      </w:r>
      <w:r w:rsidR="00704641">
        <w:rPr>
          <w:lang w:eastAsia="zh-CN"/>
        </w:rPr>
        <w:t xml:space="preserve">. </w:t>
      </w:r>
      <w:r w:rsidR="00704641" w:rsidRPr="003E454A">
        <w:rPr>
          <w:lang w:eastAsia="zh-CN"/>
        </w:rPr>
        <w:t>T</w:t>
      </w:r>
      <w:r w:rsidR="00704641">
        <w:rPr>
          <w:rFonts w:hint="eastAsia"/>
          <w:lang w:eastAsia="zh-CN"/>
        </w:rPr>
        <w:t xml:space="preserve">he </w:t>
      </w:r>
      <w:r w:rsidR="00704641">
        <w:rPr>
          <w:lang w:eastAsia="zh-CN"/>
        </w:rPr>
        <w:t xml:space="preserve">bandwidth of </w:t>
      </w:r>
      <w:r w:rsidR="00704641">
        <w:rPr>
          <w:rFonts w:hint="eastAsia"/>
          <w:lang w:eastAsia="zh-CN"/>
        </w:rPr>
        <w:t xml:space="preserve">wideband BWP can be in </w:t>
      </w:r>
      <w:r w:rsidR="00704641">
        <w:rPr>
          <w:lang w:eastAsia="zh-CN"/>
        </w:rPr>
        <w:t>multiple</w:t>
      </w:r>
      <w:r w:rsidR="00704641">
        <w:rPr>
          <w:rFonts w:hint="eastAsia"/>
          <w:lang w:eastAsia="zh-CN"/>
        </w:rPr>
        <w:t xml:space="preserve"> </w:t>
      </w:r>
      <w:r w:rsidR="00704641">
        <w:rPr>
          <w:lang w:eastAsia="zh-CN"/>
        </w:rPr>
        <w:t xml:space="preserve">LBT </w:t>
      </w:r>
      <w:r w:rsidR="00704641">
        <w:rPr>
          <w:rFonts w:hint="eastAsia"/>
          <w:lang w:eastAsia="zh-CN"/>
        </w:rPr>
        <w:t xml:space="preserve">subband. For </w:t>
      </w:r>
      <w:r w:rsidR="00704641">
        <w:rPr>
          <w:lang w:eastAsia="zh-CN"/>
        </w:rPr>
        <w:t>example</w:t>
      </w:r>
      <w:r w:rsidR="00704641">
        <w:rPr>
          <w:rFonts w:hint="eastAsia"/>
          <w:lang w:eastAsia="zh-CN"/>
        </w:rPr>
        <w:t xml:space="preserve">, if the </w:t>
      </w:r>
      <w:r w:rsidR="00704641">
        <w:rPr>
          <w:lang w:eastAsia="zh-CN"/>
        </w:rPr>
        <w:t xml:space="preserve">LBT </w:t>
      </w:r>
      <w:r w:rsidR="00704641">
        <w:rPr>
          <w:rFonts w:hint="eastAsia"/>
          <w:lang w:eastAsia="zh-CN"/>
        </w:rPr>
        <w:t>subband is 20MHz in 5GHz band, the wideband BWP can consist of multiple 20MHz.</w:t>
      </w:r>
      <w:r w:rsidR="00704641">
        <w:rPr>
          <w:lang w:eastAsia="zh-CN"/>
        </w:rPr>
        <w:t xml:space="preserve"> </w:t>
      </w:r>
      <w:r w:rsidR="00704641">
        <w:rPr>
          <w:rFonts w:hint="eastAsia"/>
          <w:lang w:eastAsia="zh-CN"/>
        </w:rPr>
        <w:t xml:space="preserve">The </w:t>
      </w:r>
      <w:r w:rsidR="00704641">
        <w:rPr>
          <w:lang w:eastAsia="zh-CN"/>
        </w:rPr>
        <w:t>actual transmission</w:t>
      </w:r>
      <w:r w:rsidR="00704641">
        <w:rPr>
          <w:rFonts w:hint="eastAsia"/>
          <w:lang w:eastAsia="zh-CN"/>
        </w:rPr>
        <w:t xml:space="preserve"> bandwidth is subject to subband LBT success, which will </w:t>
      </w:r>
      <w:r w:rsidR="00704641">
        <w:rPr>
          <w:lang w:eastAsia="zh-CN"/>
        </w:rPr>
        <w:t>result</w:t>
      </w:r>
      <w:r w:rsidR="00704641">
        <w:rPr>
          <w:rFonts w:hint="eastAsia"/>
          <w:lang w:eastAsia="zh-CN"/>
        </w:rPr>
        <w:t xml:space="preserve"> in dynamic </w:t>
      </w:r>
      <w:r w:rsidR="00704641">
        <w:rPr>
          <w:lang w:eastAsia="zh-CN"/>
        </w:rPr>
        <w:t xml:space="preserve">transmission </w:t>
      </w:r>
      <w:r w:rsidR="00704641">
        <w:rPr>
          <w:rFonts w:hint="eastAsia"/>
          <w:lang w:eastAsia="zh-CN"/>
        </w:rPr>
        <w:t>bandwidth</w:t>
      </w:r>
      <w:r w:rsidR="00704641">
        <w:rPr>
          <w:lang w:eastAsia="zh-CN"/>
        </w:rPr>
        <w:t xml:space="preserve"> within this active wideband BWP</w:t>
      </w:r>
      <w:r w:rsidR="00704641">
        <w:rPr>
          <w:rFonts w:hint="eastAsia"/>
          <w:lang w:eastAsia="zh-CN"/>
        </w:rPr>
        <w:t>.</w:t>
      </w:r>
      <w:r w:rsidR="00704641">
        <w:rPr>
          <w:lang w:eastAsia="zh-CN"/>
        </w:rPr>
        <w:t xml:space="preserve"> </w:t>
      </w:r>
    </w:p>
    <w:p w14:paraId="7717CA43" w14:textId="77777777" w:rsidR="003A1D12" w:rsidRDefault="003A1D12" w:rsidP="003A1D12">
      <w:pPr>
        <w:jc w:val="center"/>
        <w:rPr>
          <w:lang w:eastAsia="zh-CN"/>
        </w:rPr>
      </w:pPr>
      <w:r w:rsidRPr="00F71340">
        <w:rPr>
          <w:noProof/>
          <w:lang w:eastAsia="zh-CN"/>
        </w:rPr>
        <w:lastRenderedPageBreak/>
        <w:drawing>
          <wp:inline distT="0" distB="0" distL="0" distR="0" wp14:anchorId="26C5F711" wp14:editId="6EE1AAAF">
            <wp:extent cx="2788285" cy="1105231"/>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rotWithShape="1">
                    <a:blip r:embed="rId9">
                      <a:extLst>
                        <a:ext uri="{28A0092B-C50C-407E-A947-70E740481C1C}">
                          <a14:useLocalDpi xmlns:a14="http://schemas.microsoft.com/office/drawing/2010/main" val="0"/>
                        </a:ext>
                      </a:extLst>
                    </a:blip>
                    <a:srcRect l="48555" b="19638"/>
                    <a:stretch/>
                  </pic:blipFill>
                  <pic:spPr bwMode="auto">
                    <a:xfrm>
                      <a:off x="0" y="0"/>
                      <a:ext cx="2788478" cy="1105308"/>
                    </a:xfrm>
                    <a:prstGeom prst="rect">
                      <a:avLst/>
                    </a:prstGeom>
                    <a:noFill/>
                    <a:ln>
                      <a:noFill/>
                    </a:ln>
                    <a:extLst>
                      <a:ext uri="{53640926-AAD7-44D8-BBD7-CCE9431645EC}">
                        <a14:shadowObscured xmlns:a14="http://schemas.microsoft.com/office/drawing/2010/main"/>
                      </a:ext>
                    </a:extLst>
                  </pic:spPr>
                </pic:pic>
              </a:graphicData>
            </a:graphic>
          </wp:inline>
        </w:drawing>
      </w:r>
    </w:p>
    <w:p w14:paraId="66B7730F" w14:textId="019C93BD" w:rsidR="003A1D12" w:rsidRPr="00F63AF1" w:rsidRDefault="003A1D12" w:rsidP="003A1D12">
      <w:pPr>
        <w:pStyle w:val="a5"/>
        <w:rPr>
          <w:b w:val="0"/>
        </w:rPr>
      </w:pPr>
      <w:bookmarkStart w:id="7" w:name="_Ref533529856"/>
      <w:r>
        <w:t xml:space="preserve">Figure </w:t>
      </w:r>
      <w:r>
        <w:fldChar w:fldCharType="begin"/>
      </w:r>
      <w:r>
        <w:instrText xml:space="preserve"> SEQ Figure \* ARABIC </w:instrText>
      </w:r>
      <w:r>
        <w:fldChar w:fldCharType="separate"/>
      </w:r>
      <w:r w:rsidR="005708F4">
        <w:rPr>
          <w:noProof/>
        </w:rPr>
        <w:t>3</w:t>
      </w:r>
      <w:r>
        <w:fldChar w:fldCharType="end"/>
      </w:r>
      <w:bookmarkEnd w:id="7"/>
      <w:r>
        <w:t xml:space="preserve"> </w:t>
      </w:r>
      <w:r w:rsidR="00FF22B2" w:rsidRPr="00F63AF1">
        <w:rPr>
          <w:b w:val="0"/>
        </w:rPr>
        <w:t>Option 1a for BWP operation in NR unlicensed carrier</w:t>
      </w:r>
    </w:p>
    <w:p w14:paraId="0B6884E4" w14:textId="00D8A0E1" w:rsidR="003A1D12" w:rsidRDefault="003A1D12" w:rsidP="00D27D13">
      <w:pPr>
        <w:pStyle w:val="3"/>
        <w:rPr>
          <w:lang w:eastAsia="zh-CN"/>
        </w:rPr>
      </w:pPr>
      <w:r>
        <w:rPr>
          <w:lang w:eastAsia="zh-CN"/>
        </w:rPr>
        <w:t xml:space="preserve">Impacts on </w:t>
      </w:r>
      <w:r w:rsidR="00DD7C32">
        <w:rPr>
          <w:lang w:eastAsia="zh-CN"/>
        </w:rPr>
        <w:t>PDSCH/PDCCH</w:t>
      </w:r>
    </w:p>
    <w:p w14:paraId="659B8406" w14:textId="77278AD2" w:rsidR="00434698" w:rsidRDefault="00905788">
      <w:pPr>
        <w:rPr>
          <w:lang w:eastAsia="x-none"/>
        </w:rPr>
      </w:pPr>
      <w:r>
        <w:rPr>
          <w:lang w:eastAsia="zh-CN"/>
        </w:rPr>
        <w:t>Considering the hardware restriction,</w:t>
      </w:r>
      <w:r w:rsidR="00E272C4">
        <w:rPr>
          <w:lang w:eastAsia="zh-CN"/>
        </w:rPr>
        <w:t xml:space="preserve"> it</w:t>
      </w:r>
      <w:r>
        <w:rPr>
          <w:lang w:eastAsia="zh-CN"/>
        </w:rPr>
        <w:t xml:space="preserve"> usually takes some time for the gNB to schedule and prepare the transmission in advance before </w:t>
      </w:r>
      <w:r w:rsidR="000A24B9">
        <w:rPr>
          <w:lang w:eastAsia="zh-CN"/>
        </w:rPr>
        <w:t>LBT</w:t>
      </w:r>
      <w:r>
        <w:rPr>
          <w:lang w:eastAsia="zh-CN"/>
        </w:rPr>
        <w:t xml:space="preserve">. </w:t>
      </w:r>
      <w:r w:rsidR="00D4632B">
        <w:rPr>
          <w:lang w:eastAsia="zh-CN"/>
        </w:rPr>
        <w:t xml:space="preserve">The LBT subband(s) available for DL transmission might be different from those scheduled. Similar as the case in time domain, </w:t>
      </w:r>
      <w:r w:rsidR="00E272C4">
        <w:rPr>
          <w:lang w:eastAsia="zh-CN"/>
        </w:rPr>
        <w:t xml:space="preserve">gNB should </w:t>
      </w:r>
      <w:r w:rsidR="00D4632B">
        <w:rPr>
          <w:lang w:eastAsia="zh-CN"/>
        </w:rPr>
        <w:t xml:space="preserve">also </w:t>
      </w:r>
      <w:r w:rsidR="00E272C4">
        <w:rPr>
          <w:lang w:eastAsia="zh-CN"/>
        </w:rPr>
        <w:t>avoid changing the pre-determined TBS</w:t>
      </w:r>
      <w:r w:rsidR="00D4632B">
        <w:rPr>
          <w:lang w:eastAsia="zh-CN"/>
        </w:rPr>
        <w:t xml:space="preserve"> at least at the beginning of the gNB’s COT,</w:t>
      </w:r>
      <w:r w:rsidR="00D4632B" w:rsidRPr="00D4632B">
        <w:rPr>
          <w:lang w:eastAsia="zh-CN"/>
        </w:rPr>
        <w:t xml:space="preserve"> </w:t>
      </w:r>
      <w:r w:rsidR="00D4632B">
        <w:rPr>
          <w:lang w:eastAsia="zh-CN"/>
        </w:rPr>
        <w:t xml:space="preserve">in order to </w:t>
      </w:r>
      <w:r w:rsidR="00DF526C">
        <w:rPr>
          <w:lang w:eastAsia="zh-CN"/>
        </w:rPr>
        <w:t xml:space="preserve">avoid </w:t>
      </w:r>
      <w:r w:rsidR="000A24B9">
        <w:rPr>
          <w:lang w:eastAsia="zh-CN"/>
        </w:rPr>
        <w:t>additional</w:t>
      </w:r>
      <w:r w:rsidR="00D4632B">
        <w:rPr>
          <w:lang w:eastAsia="zh-CN"/>
        </w:rPr>
        <w:t xml:space="preserve"> gap between end of LBT and start of transmission. For the rest of COT, gNB has enough time to </w:t>
      </w:r>
      <w:r w:rsidR="000A24B9">
        <w:rPr>
          <w:lang w:eastAsia="zh-CN"/>
        </w:rPr>
        <w:t>re-</w:t>
      </w:r>
      <w:r w:rsidR="00D4632B">
        <w:rPr>
          <w:lang w:eastAsia="zh-CN"/>
        </w:rPr>
        <w:t>schedule based on the acquired bandwidth.</w:t>
      </w:r>
      <w:r w:rsidR="00DF526C">
        <w:rPr>
          <w:lang w:eastAsia="zh-CN"/>
        </w:rPr>
        <w:t xml:space="preserve"> </w:t>
      </w:r>
      <w:r w:rsidR="00D4632B">
        <w:rPr>
          <w:lang w:eastAsia="x-none"/>
        </w:rPr>
        <w:t xml:space="preserve">Several candidates can be considered for gNB to handle the mismatching </w:t>
      </w:r>
      <w:r w:rsidR="00434698">
        <w:rPr>
          <w:lang w:eastAsia="x-none"/>
        </w:rPr>
        <w:t>between the scheduling and transmission at beginning of COT, similar as the discussion in time domain for flexible start point</w:t>
      </w:r>
      <w:r w:rsidR="00DF526C">
        <w:rPr>
          <w:lang w:eastAsia="x-none"/>
        </w:rPr>
        <w:t>.</w:t>
      </w:r>
    </w:p>
    <w:p w14:paraId="6F89E460" w14:textId="334B87E7" w:rsidR="00434698" w:rsidRDefault="001D2D99">
      <w:pPr>
        <w:rPr>
          <w:lang w:eastAsia="x-none"/>
        </w:rPr>
      </w:pPr>
      <w:r>
        <w:rPr>
          <w:b/>
          <w:lang w:eastAsia="x-none"/>
        </w:rPr>
        <w:t xml:space="preserve">Alternative </w:t>
      </w:r>
      <w:r w:rsidR="00434698" w:rsidRPr="00D27D13">
        <w:rPr>
          <w:b/>
          <w:lang w:eastAsia="x-none"/>
        </w:rPr>
        <w:t>1:</w:t>
      </w:r>
      <w:r w:rsidR="00434698">
        <w:rPr>
          <w:lang w:eastAsia="x-none"/>
        </w:rPr>
        <w:t xml:space="preserve"> gNB could schedule </w:t>
      </w:r>
      <w:r w:rsidR="000A24B9">
        <w:rPr>
          <w:lang w:eastAsia="x-none"/>
        </w:rPr>
        <w:t xml:space="preserve">one or </w:t>
      </w:r>
      <w:r w:rsidR="00434698">
        <w:rPr>
          <w:lang w:eastAsia="x-none"/>
        </w:rPr>
        <w:t>multiple PDSCH(s)</w:t>
      </w:r>
      <w:r w:rsidR="000A24B9">
        <w:rPr>
          <w:lang w:eastAsia="x-none"/>
        </w:rPr>
        <w:t>,</w:t>
      </w:r>
      <w:r w:rsidR="00434698">
        <w:rPr>
          <w:lang w:eastAsia="x-none"/>
        </w:rPr>
        <w:t xml:space="preserve"> each </w:t>
      </w:r>
      <w:r w:rsidR="000A24B9">
        <w:rPr>
          <w:lang w:eastAsia="x-none"/>
        </w:rPr>
        <w:t xml:space="preserve">restricted </w:t>
      </w:r>
      <w:r w:rsidR="00434698">
        <w:rPr>
          <w:lang w:eastAsia="x-none"/>
        </w:rPr>
        <w:t>within an LBT subband at beginning of COT, e.g. 1</w:t>
      </w:r>
      <w:r w:rsidR="00434698" w:rsidRPr="00D27D13">
        <w:rPr>
          <w:vertAlign w:val="superscript"/>
          <w:lang w:eastAsia="x-none"/>
        </w:rPr>
        <w:t>st</w:t>
      </w:r>
      <w:r w:rsidR="00434698">
        <w:rPr>
          <w:lang w:eastAsia="x-none"/>
        </w:rPr>
        <w:t xml:space="preserve"> slot/mini-slot</w:t>
      </w:r>
      <w:r w:rsidR="00DF526C">
        <w:rPr>
          <w:lang w:eastAsia="x-none"/>
        </w:rPr>
        <w:t xml:space="preserve">,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9A476A">
        <w:t xml:space="preserve">Figure </w:t>
      </w:r>
      <w:r w:rsidR="009A476A">
        <w:rPr>
          <w:noProof/>
        </w:rPr>
        <w:t>4</w:t>
      </w:r>
      <w:r w:rsidR="009A476A">
        <w:rPr>
          <w:highlight w:val="yellow"/>
          <w:lang w:eastAsia="x-none"/>
        </w:rPr>
        <w:fldChar w:fldCharType="end"/>
      </w:r>
      <w:r w:rsidR="00DF526C">
        <w:rPr>
          <w:lang w:eastAsia="x-none"/>
        </w:rPr>
        <w:t xml:space="preserve">. </w:t>
      </w:r>
      <w:r w:rsidR="00434698">
        <w:rPr>
          <w:lang w:eastAsia="x-none"/>
        </w:rPr>
        <w:t>If LBT on certain LBT subband fails, gNB just drop the PDSCH on that LBT subband. gNB can schedule these multiple PDSCH(s) multiple PDCCH on the corresponding LBT subband where PDSCH is scheduled.</w:t>
      </w:r>
    </w:p>
    <w:p w14:paraId="6FEA0C9A" w14:textId="030AFE45" w:rsidR="00DF526C" w:rsidRDefault="001D2D99">
      <w:pPr>
        <w:rPr>
          <w:lang w:eastAsia="x-none"/>
        </w:rPr>
      </w:pPr>
      <w:r>
        <w:rPr>
          <w:b/>
          <w:lang w:eastAsia="x-none"/>
        </w:rPr>
        <w:t>Alternative</w:t>
      </w:r>
      <w:r w:rsidR="00434698" w:rsidRPr="00D27D13">
        <w:rPr>
          <w:b/>
          <w:lang w:eastAsia="x-none"/>
        </w:rPr>
        <w:t xml:space="preserve"> 2:</w:t>
      </w:r>
      <w:r w:rsidR="00434698">
        <w:rPr>
          <w:lang w:eastAsia="x-none"/>
        </w:rPr>
        <w:t xml:space="preserve"> gNB could schedule one PDSCH</w:t>
      </w:r>
      <w:r w:rsidR="004F5C6E">
        <w:rPr>
          <w:lang w:eastAsia="x-none"/>
        </w:rPr>
        <w:t xml:space="preserve"> across multiple LBT subband assuming all of them are available. If LBT on certain LBT</w:t>
      </w:r>
      <w:r w:rsidR="000A24B9">
        <w:rPr>
          <w:lang w:eastAsia="x-none"/>
        </w:rPr>
        <w:t xml:space="preserve"> subband(s) fail, gNB punctures</w:t>
      </w:r>
      <w:r w:rsidR="004F5C6E">
        <w:rPr>
          <w:lang w:eastAsia="x-none"/>
        </w:rPr>
        <w:t xml:space="preserve"> the corresponding RE on those LBT subband</w:t>
      </w:r>
      <w:r w:rsidR="000A24B9">
        <w:rPr>
          <w:lang w:eastAsia="x-none"/>
        </w:rPr>
        <w:t>(s)</w:t>
      </w:r>
      <w:r w:rsidR="004F5C6E">
        <w:rPr>
          <w:lang w:eastAsia="x-none"/>
        </w:rPr>
        <w:t xml:space="preserve">. As CBG based feedback and retransmission is supported in NR R15, gNB </w:t>
      </w:r>
      <w:r w:rsidR="000A24B9">
        <w:rPr>
          <w:lang w:eastAsia="x-none"/>
        </w:rPr>
        <w:t xml:space="preserve">could </w:t>
      </w:r>
      <w:r w:rsidR="004F5C6E">
        <w:rPr>
          <w:lang w:eastAsia="x-none"/>
        </w:rPr>
        <w:t xml:space="preserve">only retransmit the CBG affected by LBT subband puncturing. Further enhancement can be considered to restrict mapping a CBG within the LBT subband. It could minimize the number of CBG affected </w:t>
      </w:r>
      <w:r w:rsidR="00DF526C">
        <w:rPr>
          <w:lang w:eastAsia="x-none"/>
        </w:rPr>
        <w:t xml:space="preserve">due to LBT subband puncturing, as plotted in </w:t>
      </w:r>
      <w:r w:rsidR="009A476A">
        <w:rPr>
          <w:highlight w:val="yellow"/>
          <w:lang w:eastAsia="x-none"/>
        </w:rPr>
        <w:fldChar w:fldCharType="begin"/>
      </w:r>
      <w:r w:rsidR="009A476A">
        <w:rPr>
          <w:lang w:eastAsia="x-none"/>
        </w:rPr>
        <w:instrText xml:space="preserve"> REF _Ref533600711 \h </w:instrText>
      </w:r>
      <w:r w:rsidR="009A476A">
        <w:rPr>
          <w:highlight w:val="yellow"/>
          <w:lang w:eastAsia="x-none"/>
        </w:rPr>
      </w:r>
      <w:r w:rsidR="009A476A">
        <w:rPr>
          <w:highlight w:val="yellow"/>
          <w:lang w:eastAsia="x-none"/>
        </w:rPr>
        <w:fldChar w:fldCharType="separate"/>
      </w:r>
      <w:r w:rsidR="009A476A">
        <w:t xml:space="preserve">Figure </w:t>
      </w:r>
      <w:r w:rsidR="009A476A">
        <w:rPr>
          <w:noProof/>
        </w:rPr>
        <w:t>4</w:t>
      </w:r>
      <w:r w:rsidR="009A476A">
        <w:rPr>
          <w:highlight w:val="yellow"/>
          <w:lang w:eastAsia="x-none"/>
        </w:rPr>
        <w:fldChar w:fldCharType="end"/>
      </w:r>
      <w:r w:rsidR="00DF526C">
        <w:rPr>
          <w:lang w:eastAsia="x-none"/>
        </w:rPr>
        <w:t>.</w:t>
      </w:r>
    </w:p>
    <w:p w14:paraId="5BFA0A98" w14:textId="6B4FA82D" w:rsidR="009A476A" w:rsidRDefault="00856F22" w:rsidP="00D27D13">
      <w:pPr>
        <w:jc w:val="center"/>
        <w:rPr>
          <w:lang w:eastAsia="x-none"/>
        </w:rPr>
      </w:pPr>
      <w:r>
        <w:rPr>
          <w:noProof/>
          <w:lang w:eastAsia="zh-CN"/>
        </w:rPr>
        <w:drawing>
          <wp:inline distT="0" distB="0" distL="0" distR="0" wp14:anchorId="42BB81DD" wp14:editId="07769570">
            <wp:extent cx="5908040" cy="1765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08040" cy="1765300"/>
                    </a:xfrm>
                    <a:prstGeom prst="rect">
                      <a:avLst/>
                    </a:prstGeom>
                    <a:noFill/>
                    <a:ln>
                      <a:noFill/>
                    </a:ln>
                  </pic:spPr>
                </pic:pic>
              </a:graphicData>
            </a:graphic>
          </wp:inline>
        </w:drawing>
      </w:r>
    </w:p>
    <w:p w14:paraId="76373FCE" w14:textId="20B627A8" w:rsidR="001941A7" w:rsidRDefault="009A476A" w:rsidP="00D27D13">
      <w:pPr>
        <w:pStyle w:val="a5"/>
        <w:rPr>
          <w:lang w:eastAsia="x-none"/>
        </w:rPr>
      </w:pPr>
      <w:bookmarkStart w:id="8" w:name="_Ref533600711"/>
      <w:r>
        <w:t xml:space="preserve">Figure </w:t>
      </w:r>
      <w:r>
        <w:fldChar w:fldCharType="begin"/>
      </w:r>
      <w:r>
        <w:instrText xml:space="preserve"> SEQ Figure \* ARABIC </w:instrText>
      </w:r>
      <w:r>
        <w:fldChar w:fldCharType="separate"/>
      </w:r>
      <w:r w:rsidR="005708F4">
        <w:rPr>
          <w:noProof/>
        </w:rPr>
        <w:t>4</w:t>
      </w:r>
      <w:r>
        <w:fldChar w:fldCharType="end"/>
      </w:r>
      <w:bookmarkEnd w:id="8"/>
      <w:r>
        <w:t xml:space="preserve"> </w:t>
      </w:r>
      <w:r w:rsidRPr="002548D5">
        <w:rPr>
          <w:b w:val="0"/>
        </w:rPr>
        <w:t>PDSCH and PDCCH in single wideband BWP</w:t>
      </w:r>
      <w:r>
        <w:t xml:space="preserve"> </w:t>
      </w:r>
    </w:p>
    <w:p w14:paraId="64F6C345" w14:textId="45525ADA" w:rsidR="00905788" w:rsidRPr="00D27D13" w:rsidRDefault="001D2D99">
      <w:pPr>
        <w:rPr>
          <w:lang w:eastAsia="x-none"/>
        </w:rPr>
      </w:pPr>
      <w:r>
        <w:rPr>
          <w:lang w:eastAsia="zh-CN"/>
        </w:rPr>
        <w:t xml:space="preserve">It is beneficial for the UE to know about the actual transmission bandwidth from gNB. UE could adjust baseband filter at receiver to improve ACS performance. If alternative 2 were adopted, the RE punctured could be excluded from decoding of initial transmission or combination of retransmission. The transmission bandwidth can be either indicated implicitly. For example, </w:t>
      </w:r>
      <w:r w:rsidR="00E04697">
        <w:rPr>
          <w:lang w:eastAsia="zh-CN"/>
        </w:rPr>
        <w:t xml:space="preserve">UE could detect initial signal on each LBT subband of the configured wideband BWP assuming </w:t>
      </w:r>
      <w:r>
        <w:rPr>
          <w:lang w:eastAsia="zh-CN"/>
        </w:rPr>
        <w:t xml:space="preserve">gNB </w:t>
      </w:r>
      <w:r w:rsidR="00E04697">
        <w:rPr>
          <w:lang w:eastAsia="zh-CN"/>
        </w:rPr>
        <w:t xml:space="preserve">would </w:t>
      </w:r>
      <w:r>
        <w:rPr>
          <w:lang w:eastAsia="zh-CN"/>
        </w:rPr>
        <w:t xml:space="preserve">transmit initial signal on each transmitted LBT subband. </w:t>
      </w:r>
      <w:r w:rsidR="00E04697">
        <w:rPr>
          <w:lang w:eastAsia="zh-CN"/>
        </w:rPr>
        <w:t xml:space="preserve">The transmission bandwidth indication could also be carried in group common PDCCH. It can reduce times of blind detection of initial signals and false detection rate. </w:t>
      </w:r>
      <w:r w:rsidR="009E3837">
        <w:rPr>
          <w:lang w:eastAsia="zh-CN"/>
        </w:rPr>
        <w:t>T</w:t>
      </w:r>
      <w:r w:rsidR="00E04697">
        <w:rPr>
          <w:lang w:eastAsia="zh-CN"/>
        </w:rPr>
        <w:t xml:space="preserve">he </w:t>
      </w:r>
      <w:r w:rsidR="009E3837">
        <w:rPr>
          <w:lang w:eastAsia="zh-CN"/>
        </w:rPr>
        <w:t>GC-PDCCH</w:t>
      </w:r>
      <w:r w:rsidR="00E04697">
        <w:rPr>
          <w:lang w:eastAsia="zh-CN"/>
        </w:rPr>
        <w:t xml:space="preserve"> can transmit together with initial signal at beginning of the COT (pre-indication) or transmit in the </w:t>
      </w:r>
      <w:r w:rsidR="009E3837">
        <w:rPr>
          <w:lang w:eastAsia="zh-CN"/>
        </w:rPr>
        <w:t xml:space="preserve">earliest pre-defined GC-PDCCH monitoring occasion within the </w:t>
      </w:r>
      <w:r w:rsidR="00E04697">
        <w:rPr>
          <w:lang w:eastAsia="zh-CN"/>
        </w:rPr>
        <w:t xml:space="preserve">COT (post-indication). </w:t>
      </w:r>
      <w:r w:rsidR="009E3837">
        <w:rPr>
          <w:lang w:eastAsia="zh-CN"/>
        </w:rPr>
        <w:t xml:space="preserve">Some guard tones between adjacent LBT subband might be reserved at beginning of COT, which facilitate </w:t>
      </w:r>
      <w:r w:rsidR="009E3B5D">
        <w:rPr>
          <w:lang w:eastAsia="zh-CN"/>
        </w:rPr>
        <w:t>UE to reliably</w:t>
      </w:r>
      <w:r w:rsidR="009E3837">
        <w:rPr>
          <w:lang w:eastAsia="zh-CN"/>
        </w:rPr>
        <w:t xml:space="preserve"> detect </w:t>
      </w:r>
      <w:r w:rsidR="009E3B5D">
        <w:rPr>
          <w:lang w:eastAsia="zh-CN"/>
        </w:rPr>
        <w:t xml:space="preserve">indication of actual </w:t>
      </w:r>
      <w:r w:rsidR="009E3837">
        <w:rPr>
          <w:lang w:eastAsia="zh-CN"/>
        </w:rPr>
        <w:t xml:space="preserve">transmission bandwidth indication.  </w:t>
      </w:r>
      <w:r w:rsidR="00E04697">
        <w:rPr>
          <w:lang w:eastAsia="zh-CN"/>
        </w:rPr>
        <w:t xml:space="preserve"> </w:t>
      </w:r>
      <w:r w:rsidR="00905788">
        <w:rPr>
          <w:lang w:eastAsia="zh-CN"/>
        </w:rPr>
        <w:t xml:space="preserve"> </w:t>
      </w:r>
    </w:p>
    <w:p w14:paraId="621AB9DA" w14:textId="5BFD03FF" w:rsidR="003A1D12" w:rsidRDefault="003A1D12" w:rsidP="00D27D13">
      <w:pPr>
        <w:pStyle w:val="3"/>
        <w:rPr>
          <w:lang w:eastAsia="zh-CN"/>
        </w:rPr>
      </w:pPr>
      <w:r>
        <w:rPr>
          <w:lang w:eastAsia="zh-CN"/>
        </w:rPr>
        <w:lastRenderedPageBreak/>
        <w:t xml:space="preserve">Impacts on </w:t>
      </w:r>
      <w:r w:rsidR="00DD7C32">
        <w:rPr>
          <w:lang w:eastAsia="zh-CN"/>
        </w:rPr>
        <w:t>PUSCH/P</w:t>
      </w:r>
      <w:r w:rsidR="00893550">
        <w:rPr>
          <w:lang w:eastAsia="zh-CN"/>
        </w:rPr>
        <w:t>UC</w:t>
      </w:r>
      <w:r w:rsidR="00DD7C32">
        <w:rPr>
          <w:lang w:eastAsia="zh-CN"/>
        </w:rPr>
        <w:t>CH</w:t>
      </w:r>
    </w:p>
    <w:p w14:paraId="26D9069C" w14:textId="4B682075" w:rsidR="00F55FE9" w:rsidRDefault="00F55FE9" w:rsidP="00704641">
      <w:pPr>
        <w:rPr>
          <w:lang w:eastAsia="zh-CN"/>
        </w:rPr>
      </w:pPr>
      <w:r>
        <w:rPr>
          <w:lang w:eastAsia="zh-CN"/>
        </w:rPr>
        <w:t xml:space="preserve">The mismatch between </w:t>
      </w:r>
      <w:r w:rsidR="006C0D21">
        <w:rPr>
          <w:lang w:eastAsia="zh-CN"/>
        </w:rPr>
        <w:t xml:space="preserve">resource allocation in </w:t>
      </w:r>
      <w:r>
        <w:rPr>
          <w:lang w:eastAsia="zh-CN"/>
        </w:rPr>
        <w:t xml:space="preserve">UL grant and LBT </w:t>
      </w:r>
      <w:r w:rsidR="00527E3F">
        <w:rPr>
          <w:lang w:eastAsia="zh-CN"/>
        </w:rPr>
        <w:t>outcome</w:t>
      </w:r>
      <w:r>
        <w:rPr>
          <w:lang w:eastAsia="zh-CN"/>
        </w:rPr>
        <w:t xml:space="preserve"> becomes </w:t>
      </w:r>
      <w:r w:rsidR="00527E3F">
        <w:rPr>
          <w:lang w:eastAsia="zh-CN"/>
        </w:rPr>
        <w:t xml:space="preserve">even </w:t>
      </w:r>
      <w:r>
        <w:rPr>
          <w:lang w:eastAsia="zh-CN"/>
        </w:rPr>
        <w:t xml:space="preserve">more severe, as gNB has no idea about the LBT result </w:t>
      </w:r>
      <w:r w:rsidR="006C0D21">
        <w:rPr>
          <w:lang w:eastAsia="zh-CN"/>
        </w:rPr>
        <w:t xml:space="preserve">to be </w:t>
      </w:r>
      <w:r>
        <w:rPr>
          <w:lang w:eastAsia="zh-CN"/>
        </w:rPr>
        <w:t>performed by UE later.  Similar as PDSCH, two alternatives are possible.</w:t>
      </w:r>
    </w:p>
    <w:p w14:paraId="311FACE6" w14:textId="4591D53E" w:rsidR="001B5498" w:rsidRDefault="00F55FE9" w:rsidP="00704641">
      <w:pPr>
        <w:rPr>
          <w:lang w:eastAsia="zh-CN"/>
        </w:rPr>
      </w:pPr>
      <w:r w:rsidRPr="00D27D13">
        <w:rPr>
          <w:b/>
          <w:lang w:eastAsia="zh-CN"/>
        </w:rPr>
        <w:t>Alternative 1:</w:t>
      </w:r>
      <w:r>
        <w:rPr>
          <w:lang w:eastAsia="zh-CN"/>
        </w:rPr>
        <w:t xml:space="preserve"> gNB schedule</w:t>
      </w:r>
      <w:r w:rsidR="001B5498">
        <w:rPr>
          <w:lang w:eastAsia="zh-CN"/>
        </w:rPr>
        <w:t>s</w:t>
      </w:r>
      <w:r>
        <w:rPr>
          <w:lang w:eastAsia="zh-CN"/>
        </w:rPr>
        <w:t xml:space="preserve"> multiple PUSCH(s) each </w:t>
      </w:r>
      <w:r w:rsidR="00527E3F">
        <w:rPr>
          <w:lang w:eastAsia="zh-CN"/>
        </w:rPr>
        <w:t xml:space="preserve">located within </w:t>
      </w:r>
      <w:r>
        <w:rPr>
          <w:lang w:eastAsia="zh-CN"/>
        </w:rPr>
        <w:t>a LBT subband</w:t>
      </w:r>
      <w:r w:rsidR="001B5498">
        <w:rPr>
          <w:lang w:eastAsia="zh-CN"/>
        </w:rPr>
        <w:t xml:space="preserve"> based on PRB-based interlace design for </w:t>
      </w:r>
      <w:r w:rsidR="0017693D">
        <w:rPr>
          <w:lang w:eastAsia="zh-CN"/>
        </w:rPr>
        <w:t>one</w:t>
      </w:r>
      <w:r w:rsidR="001B5498">
        <w:rPr>
          <w:lang w:eastAsia="zh-CN"/>
        </w:rPr>
        <w:t xml:space="preserve"> LBT subband (e.g. 20MHz)</w:t>
      </w:r>
      <w:r>
        <w:rPr>
          <w:lang w:eastAsia="zh-CN"/>
        </w:rPr>
        <w:t>.</w:t>
      </w:r>
      <w:r w:rsidR="001B5498">
        <w:rPr>
          <w:lang w:eastAsia="zh-CN"/>
        </w:rPr>
        <w:t xml:space="preserve"> UE does not transmit PUSCH on the LBT subband(s) which fails LBT.</w:t>
      </w:r>
    </w:p>
    <w:p w14:paraId="7346347A" w14:textId="5ABCB895" w:rsidR="00F55FE9" w:rsidRDefault="001B5498" w:rsidP="00704641">
      <w:pPr>
        <w:rPr>
          <w:lang w:eastAsia="zh-CN"/>
        </w:rPr>
      </w:pPr>
      <w:r w:rsidRPr="00D27D13">
        <w:rPr>
          <w:b/>
          <w:lang w:eastAsia="zh-CN"/>
        </w:rPr>
        <w:t>Alternative 2:</w:t>
      </w:r>
      <w:r>
        <w:rPr>
          <w:lang w:eastAsia="zh-CN"/>
        </w:rPr>
        <w:t xml:space="preserve"> gNB schedules single PUSCH based on PRB-based interlace design of the wideband BWP</w:t>
      </w:r>
      <w:r w:rsidR="006C0D21">
        <w:rPr>
          <w:lang w:eastAsia="zh-CN"/>
        </w:rPr>
        <w:t xml:space="preserve"> (e.g. 80MHz)</w:t>
      </w:r>
      <w:r>
        <w:rPr>
          <w:lang w:eastAsia="zh-CN"/>
        </w:rPr>
        <w:t xml:space="preserve">. </w:t>
      </w:r>
      <w:r>
        <w:rPr>
          <w:lang w:eastAsia="x-none"/>
        </w:rPr>
        <w:t xml:space="preserve">UE punctures the </w:t>
      </w:r>
      <w:r w:rsidR="006C0D21">
        <w:rPr>
          <w:lang w:eastAsia="x-none"/>
        </w:rPr>
        <w:t>PRB</w:t>
      </w:r>
      <w:r>
        <w:rPr>
          <w:lang w:eastAsia="x-none"/>
        </w:rPr>
        <w:t xml:space="preserve">(s) on </w:t>
      </w:r>
      <w:r w:rsidR="006C0D21">
        <w:rPr>
          <w:lang w:eastAsia="x-none"/>
        </w:rPr>
        <w:t xml:space="preserve">the </w:t>
      </w:r>
      <w:r>
        <w:rPr>
          <w:lang w:eastAsia="x-none"/>
        </w:rPr>
        <w:t>LBT subband(s)</w:t>
      </w:r>
      <w:r w:rsidR="006C0D21">
        <w:rPr>
          <w:lang w:eastAsia="x-none"/>
        </w:rPr>
        <w:t xml:space="preserve"> which fails LBT</w:t>
      </w:r>
      <w:r>
        <w:rPr>
          <w:lang w:eastAsia="x-none"/>
        </w:rPr>
        <w:t>.</w:t>
      </w:r>
      <w:r>
        <w:rPr>
          <w:lang w:eastAsia="zh-CN"/>
        </w:rPr>
        <w:t xml:space="preserve"> </w:t>
      </w:r>
      <w:r w:rsidR="006C0D21">
        <w:rPr>
          <w:lang w:eastAsia="zh-CN"/>
        </w:rPr>
        <w:t xml:space="preserve">gNB is able to schedule partial interlace corresponding to part of LBT subbands when UE do not have enough data to fill the whole wideband interlace. </w:t>
      </w:r>
      <w:r>
        <w:rPr>
          <w:lang w:eastAsia="x-none"/>
        </w:rPr>
        <w:t>Further enhancement can be considered to restrict mapping a CBG within the LBT subband.</w:t>
      </w:r>
      <w:r>
        <w:rPr>
          <w:lang w:eastAsia="zh-CN"/>
        </w:rPr>
        <w:t xml:space="preserve"> </w:t>
      </w:r>
      <w:r w:rsidR="00F55FE9">
        <w:rPr>
          <w:lang w:eastAsia="zh-CN"/>
        </w:rPr>
        <w:t xml:space="preserve">  </w:t>
      </w:r>
    </w:p>
    <w:p w14:paraId="510001A4" w14:textId="77777777" w:rsidR="001A3E37" w:rsidRDefault="00257650" w:rsidP="00704641">
      <w:pPr>
        <w:rPr>
          <w:lang w:eastAsia="zh-CN"/>
        </w:rPr>
      </w:pPr>
      <w:r>
        <w:rPr>
          <w:lang w:eastAsia="zh-CN"/>
        </w:rPr>
        <w:t>A</w:t>
      </w:r>
      <w:r w:rsidR="006C0D21">
        <w:rPr>
          <w:lang w:eastAsia="zh-CN"/>
        </w:rPr>
        <w:t>lternative 2 has the benefits of higher spectrum utilization</w:t>
      </w:r>
      <w:r>
        <w:rPr>
          <w:lang w:eastAsia="zh-CN"/>
        </w:rPr>
        <w:t xml:space="preserve"> (no guard tone)</w:t>
      </w:r>
      <w:r w:rsidR="006C0D21">
        <w:rPr>
          <w:lang w:eastAsia="zh-CN"/>
        </w:rPr>
        <w:t xml:space="preserve"> and less HARQ processes </w:t>
      </w:r>
      <w:r>
        <w:rPr>
          <w:lang w:eastAsia="zh-CN"/>
        </w:rPr>
        <w:t>consumption</w:t>
      </w:r>
      <w:r w:rsidR="006C0D21">
        <w:rPr>
          <w:lang w:eastAsia="zh-CN"/>
        </w:rPr>
        <w:t xml:space="preserve"> compared with alternative 1. </w:t>
      </w:r>
      <w:r>
        <w:rPr>
          <w:lang w:eastAsia="zh-CN"/>
        </w:rPr>
        <w:t xml:space="preserve">The detail interlace design can be referred to our companion tdoc </w:t>
      </w:r>
      <w:r>
        <w:rPr>
          <w:lang w:eastAsia="zh-CN"/>
        </w:rPr>
        <w:fldChar w:fldCharType="begin"/>
      </w:r>
      <w:r>
        <w:rPr>
          <w:lang w:eastAsia="zh-CN"/>
        </w:rPr>
        <w:instrText xml:space="preserve"> REF _Ref533589335 \r \h </w:instrText>
      </w:r>
      <w:r>
        <w:rPr>
          <w:lang w:eastAsia="zh-CN"/>
        </w:rPr>
      </w:r>
      <w:r>
        <w:rPr>
          <w:lang w:eastAsia="zh-CN"/>
        </w:rPr>
        <w:fldChar w:fldCharType="separate"/>
      </w:r>
      <w:r w:rsidR="00F040B1">
        <w:rPr>
          <w:lang w:eastAsia="zh-CN"/>
        </w:rPr>
        <w:t>[5]</w:t>
      </w:r>
      <w:r>
        <w:rPr>
          <w:lang w:eastAsia="zh-CN"/>
        </w:rPr>
        <w:fldChar w:fldCharType="end"/>
      </w:r>
      <w:r>
        <w:rPr>
          <w:lang w:eastAsia="zh-CN"/>
        </w:rPr>
        <w:t xml:space="preserve">. gNB can identify the UL transmission bandwidth </w:t>
      </w:r>
      <w:r w:rsidR="00314080">
        <w:rPr>
          <w:lang w:eastAsia="zh-CN"/>
        </w:rPr>
        <w:t xml:space="preserve">as well as of the start point of PUSCH </w:t>
      </w:r>
      <w:r>
        <w:rPr>
          <w:lang w:eastAsia="zh-CN"/>
        </w:rPr>
        <w:t>by detecting the UL DMRS at beginning of slot</w:t>
      </w:r>
      <w:r w:rsidR="00314080">
        <w:rPr>
          <w:lang w:eastAsia="zh-CN"/>
        </w:rPr>
        <w:t>(s)</w:t>
      </w:r>
      <w:r>
        <w:rPr>
          <w:lang w:eastAsia="zh-CN"/>
        </w:rPr>
        <w:t>.</w:t>
      </w:r>
      <w:r w:rsidR="00314080">
        <w:rPr>
          <w:lang w:eastAsia="zh-CN"/>
        </w:rPr>
        <w:t xml:space="preserve"> </w:t>
      </w:r>
    </w:p>
    <w:p w14:paraId="3A639D04" w14:textId="726419C1" w:rsidR="00F55FE9" w:rsidRDefault="00314080" w:rsidP="00704641">
      <w:pPr>
        <w:rPr>
          <w:lang w:eastAsia="zh-CN"/>
        </w:rPr>
      </w:pPr>
      <w:r>
        <w:rPr>
          <w:lang w:eastAsia="zh-CN"/>
        </w:rPr>
        <w:t xml:space="preserve">A PUCCH </w:t>
      </w:r>
      <w:r w:rsidR="001A3E37">
        <w:rPr>
          <w:lang w:eastAsia="zh-CN"/>
        </w:rPr>
        <w:t xml:space="preserve">resource </w:t>
      </w:r>
      <w:r>
        <w:rPr>
          <w:lang w:eastAsia="zh-CN"/>
        </w:rPr>
        <w:t xml:space="preserve">should be </w:t>
      </w:r>
      <w:r w:rsidR="001A3E37">
        <w:rPr>
          <w:lang w:eastAsia="zh-CN"/>
        </w:rPr>
        <w:t xml:space="preserve">restricted </w:t>
      </w:r>
      <w:r>
        <w:rPr>
          <w:lang w:eastAsia="zh-CN"/>
        </w:rPr>
        <w:t xml:space="preserve">within </w:t>
      </w:r>
      <w:r w:rsidR="001A3E37">
        <w:rPr>
          <w:lang w:eastAsia="zh-CN"/>
        </w:rPr>
        <w:t>one</w:t>
      </w:r>
      <w:r>
        <w:rPr>
          <w:lang w:eastAsia="zh-CN"/>
        </w:rPr>
        <w:t xml:space="preserve"> LBT subband</w:t>
      </w:r>
      <w:r w:rsidR="001A3E37">
        <w:rPr>
          <w:lang w:eastAsia="zh-CN"/>
        </w:rPr>
        <w:t xml:space="preserve"> in order to avoid </w:t>
      </w:r>
      <w:r w:rsidR="00527E3F">
        <w:rPr>
          <w:lang w:eastAsia="zh-CN"/>
        </w:rPr>
        <w:t xml:space="preserve">partial </w:t>
      </w:r>
      <w:r>
        <w:rPr>
          <w:lang w:eastAsia="zh-CN"/>
        </w:rPr>
        <w:t>punctur</w:t>
      </w:r>
      <w:r w:rsidR="001A3E37">
        <w:rPr>
          <w:lang w:eastAsia="zh-CN"/>
        </w:rPr>
        <w:t>ing</w:t>
      </w:r>
      <w:r>
        <w:rPr>
          <w:lang w:eastAsia="zh-CN"/>
        </w:rPr>
        <w:t xml:space="preserve"> </w:t>
      </w:r>
      <w:r w:rsidR="001A3E37">
        <w:rPr>
          <w:lang w:eastAsia="zh-CN"/>
        </w:rPr>
        <w:t xml:space="preserve">of UCI </w:t>
      </w:r>
      <w:r>
        <w:rPr>
          <w:lang w:eastAsia="zh-CN"/>
        </w:rPr>
        <w:t xml:space="preserve">due to LBT failure. </w:t>
      </w:r>
      <w:r w:rsidR="001A3E37">
        <w:rPr>
          <w:lang w:eastAsia="zh-CN"/>
        </w:rPr>
        <w:t>When PUCCH format(s) of PRB-based interlace</w:t>
      </w:r>
      <w:r w:rsidR="00342728">
        <w:rPr>
          <w:lang w:eastAsia="zh-CN"/>
        </w:rPr>
        <w:t xml:space="preserve"> design is configured, it occupies PRB of a partial wideband interlace. </w:t>
      </w:r>
      <w:r w:rsidR="001A3E37">
        <w:rPr>
          <w:lang w:eastAsia="zh-CN"/>
        </w:rPr>
        <w:t xml:space="preserve">Multiple PUCCH resource can be configured in different LBT subbands. UE can select one of the resource to feedback even if LBT failure occur on part of LBT subband. Detail can refer to our companion tdoc </w:t>
      </w:r>
      <w:r w:rsidR="00342728">
        <w:rPr>
          <w:lang w:eastAsia="zh-CN"/>
        </w:rPr>
        <w:fldChar w:fldCharType="begin"/>
      </w:r>
      <w:r w:rsidR="00342728">
        <w:rPr>
          <w:lang w:eastAsia="zh-CN"/>
        </w:rPr>
        <w:instrText xml:space="preserve"> REF _Ref533597987 \r \h </w:instrText>
      </w:r>
      <w:r w:rsidR="00342728">
        <w:rPr>
          <w:lang w:eastAsia="zh-CN"/>
        </w:rPr>
      </w:r>
      <w:r w:rsidR="00342728">
        <w:rPr>
          <w:lang w:eastAsia="zh-CN"/>
        </w:rPr>
        <w:fldChar w:fldCharType="separate"/>
      </w:r>
      <w:r w:rsidR="00F040B1">
        <w:rPr>
          <w:lang w:eastAsia="zh-CN"/>
        </w:rPr>
        <w:t>[6]</w:t>
      </w:r>
      <w:r w:rsidR="00342728">
        <w:rPr>
          <w:lang w:eastAsia="zh-CN"/>
        </w:rPr>
        <w:fldChar w:fldCharType="end"/>
      </w:r>
      <w:r w:rsidR="00342728">
        <w:rPr>
          <w:lang w:eastAsia="zh-CN"/>
        </w:rPr>
        <w:t>.</w:t>
      </w:r>
      <w:r w:rsidR="001A3E37">
        <w:rPr>
          <w:lang w:eastAsia="zh-CN"/>
        </w:rPr>
        <w:t xml:space="preserve"> </w:t>
      </w:r>
    </w:p>
    <w:p w14:paraId="3EAA3FB1" w14:textId="648DD8CD" w:rsidR="00704641" w:rsidRPr="0005291E" w:rsidRDefault="00704641" w:rsidP="00704641">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sidR="00EA5446">
        <w:rPr>
          <w:i/>
          <w:noProof/>
          <w:sz w:val="22"/>
          <w:szCs w:val="22"/>
        </w:rPr>
        <w:t>2</w:t>
      </w:r>
      <w:r w:rsidRPr="0005291E">
        <w:rPr>
          <w:i/>
          <w:sz w:val="22"/>
          <w:szCs w:val="22"/>
        </w:rPr>
        <w:fldChar w:fldCharType="end"/>
      </w:r>
      <w:r w:rsidRPr="0005291E">
        <w:rPr>
          <w:i/>
          <w:sz w:val="22"/>
          <w:szCs w:val="22"/>
        </w:rPr>
        <w:t xml:space="preserve">: </w:t>
      </w:r>
      <w:r w:rsidR="00527E3F">
        <w:rPr>
          <w:i/>
          <w:sz w:val="22"/>
          <w:szCs w:val="22"/>
        </w:rPr>
        <w:t>NRU could consider opt</w:t>
      </w:r>
      <w:r w:rsidR="00A329A2">
        <w:rPr>
          <w:i/>
          <w:sz w:val="22"/>
          <w:szCs w:val="22"/>
        </w:rPr>
        <w:t>i</w:t>
      </w:r>
      <w:r w:rsidR="00527E3F">
        <w:rPr>
          <w:i/>
          <w:sz w:val="22"/>
          <w:szCs w:val="22"/>
        </w:rPr>
        <w:t>on</w:t>
      </w:r>
      <w:r w:rsidR="00A329A2">
        <w:rPr>
          <w:i/>
          <w:sz w:val="22"/>
          <w:szCs w:val="22"/>
        </w:rPr>
        <w:t xml:space="preserve"> </w:t>
      </w:r>
      <w:r w:rsidR="00527E3F">
        <w:rPr>
          <w:i/>
          <w:sz w:val="22"/>
          <w:szCs w:val="22"/>
        </w:rPr>
        <w:t>1a and option 3 for PDSCH and PUSCH in order to achieve fast transmission bandwidth adaption according to LBT outcome in frequency domain</w:t>
      </w:r>
      <w:r w:rsidR="00527E3F" w:rsidRPr="00527E3F">
        <w:rPr>
          <w:i/>
          <w:sz w:val="22"/>
          <w:szCs w:val="22"/>
        </w:rPr>
        <w:t xml:space="preserve"> </w:t>
      </w:r>
      <w:r w:rsidR="00527E3F" w:rsidRPr="0005291E">
        <w:rPr>
          <w:i/>
          <w:sz w:val="22"/>
          <w:szCs w:val="22"/>
        </w:rPr>
        <w:t>when serving cell is configured with bandwidth larger than 20MHz</w:t>
      </w:r>
      <w:r w:rsidRPr="0005291E">
        <w:rPr>
          <w:i/>
          <w:sz w:val="22"/>
          <w:szCs w:val="22"/>
        </w:rPr>
        <w:t>.</w:t>
      </w:r>
    </w:p>
    <w:p w14:paraId="0495EFD5" w14:textId="1AEE1953" w:rsidR="002548D5" w:rsidRDefault="002548D5" w:rsidP="008E2999">
      <w:pPr>
        <w:pStyle w:val="2"/>
        <w:rPr>
          <w:lang w:val="en-GB" w:eastAsia="zh-CN"/>
        </w:rPr>
      </w:pPr>
      <w:r>
        <w:rPr>
          <w:lang w:val="en-GB" w:eastAsia="zh-CN"/>
        </w:rPr>
        <w:t xml:space="preserve">Contiguous or non-contiguous transmission in frequency domain </w:t>
      </w:r>
    </w:p>
    <w:p w14:paraId="4B6D5029" w14:textId="6399FB97" w:rsidR="005708F4" w:rsidRDefault="00A5387F" w:rsidP="00D27D13">
      <w:pPr>
        <w:rPr>
          <w:lang w:eastAsia="zh-CN"/>
        </w:rPr>
      </w:pPr>
      <w:r>
        <w:rPr>
          <w:lang w:val="en-GB" w:eastAsia="zh-CN"/>
        </w:rPr>
        <w:t xml:space="preserve">In order to minimize the switch delay, </w:t>
      </w:r>
      <w:r>
        <w:rPr>
          <w:lang w:eastAsia="zh-CN"/>
        </w:rPr>
        <w:t xml:space="preserve">retuning of local oscillator and reconfiguration of RF chain (e.g. center frequency and bandwidth of analog filter) should be avoided. In such case, a wideband RF should be activated corresponding to the bandwidth of component carrier. Depending on the RF requirement of inband leakage at transmitter and ACS at receiver (to be discussed in RAN4), baseband (digital) filter(s) adjustment according to the transmission bandwidth as well as PRB nulling could be adopted. We discuss the RF issues in detail in our companion tdoc </w:t>
      </w:r>
      <w:r>
        <w:rPr>
          <w:lang w:eastAsia="zh-CN"/>
        </w:rPr>
        <w:fldChar w:fldCharType="begin"/>
      </w:r>
      <w:r>
        <w:rPr>
          <w:lang w:eastAsia="zh-CN"/>
        </w:rPr>
        <w:instrText xml:space="preserve"> REF _Ref533599054 \r \h </w:instrText>
      </w:r>
      <w:r>
        <w:rPr>
          <w:lang w:eastAsia="zh-CN"/>
        </w:rPr>
      </w:r>
      <w:r>
        <w:rPr>
          <w:lang w:eastAsia="zh-CN"/>
        </w:rPr>
        <w:fldChar w:fldCharType="separate"/>
      </w:r>
      <w:r w:rsidR="00F040B1">
        <w:rPr>
          <w:lang w:eastAsia="zh-CN"/>
        </w:rPr>
        <w:t>[7]</w:t>
      </w:r>
      <w:r>
        <w:rPr>
          <w:lang w:eastAsia="zh-CN"/>
        </w:rPr>
        <w:fldChar w:fldCharType="end"/>
      </w:r>
      <w:r>
        <w:rPr>
          <w:lang w:eastAsia="zh-CN"/>
        </w:rPr>
        <w:t>.</w:t>
      </w:r>
      <w:r w:rsidR="008E2999">
        <w:rPr>
          <w:lang w:eastAsia="zh-CN"/>
        </w:rPr>
        <w:t xml:space="preserve"> According to RAN4 response, it is feasible to specify RF requirement at least </w:t>
      </w:r>
      <w:r w:rsidR="008E2999" w:rsidRPr="008E2999">
        <w:rPr>
          <w:lang w:eastAsia="zh-CN"/>
        </w:rPr>
        <w:t>for transmissions spanning multiple contiguous LBT sub-bands</w:t>
      </w:r>
      <w:r w:rsidR="008E2999">
        <w:rPr>
          <w:lang w:eastAsia="zh-CN"/>
        </w:rPr>
        <w:t xml:space="preserve">. Thus, some constraints on the transmission bandwidth adaption in wideband serving cell might be set. For example, gNB could still transmit on multiple noncontiguous LBT suband(s), each contiguous part corresponding to </w:t>
      </w:r>
      <w:r w:rsidR="005E4633">
        <w:rPr>
          <w:lang w:eastAsia="zh-CN"/>
        </w:rPr>
        <w:t xml:space="preserve">a </w:t>
      </w:r>
      <w:r w:rsidR="008E2999">
        <w:rPr>
          <w:lang w:eastAsia="zh-CN"/>
        </w:rPr>
        <w:t xml:space="preserve">PDSCH to </w:t>
      </w:r>
      <w:r w:rsidR="005E4633">
        <w:rPr>
          <w:lang w:eastAsia="zh-CN"/>
        </w:rPr>
        <w:t xml:space="preserve">a </w:t>
      </w:r>
      <w:r w:rsidR="008E2999">
        <w:rPr>
          <w:lang w:eastAsia="zh-CN"/>
        </w:rPr>
        <w:t>different UE</w:t>
      </w:r>
      <w:r w:rsidR="005708F4">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EA5446">
        <w:t xml:space="preserve">Figure </w:t>
      </w:r>
      <w:r w:rsidR="00EA5446">
        <w:rPr>
          <w:noProof/>
        </w:rPr>
        <w:t>5</w:t>
      </w:r>
      <w:r w:rsidR="00EA5446">
        <w:rPr>
          <w:lang w:eastAsia="zh-CN"/>
        </w:rPr>
        <w:fldChar w:fldCharType="end"/>
      </w:r>
      <w:r w:rsidR="00EA5446">
        <w:rPr>
          <w:lang w:eastAsia="zh-CN"/>
        </w:rPr>
        <w:t>(a)</w:t>
      </w:r>
      <w:r w:rsidR="008E2999">
        <w:rPr>
          <w:lang w:eastAsia="zh-CN"/>
        </w:rPr>
        <w:t>. In UL, UE may transmit on the maximum contiguous portion of the bandwidth</w:t>
      </w:r>
      <w:r w:rsidR="005E4633">
        <w:rPr>
          <w:lang w:eastAsia="zh-CN"/>
        </w:rPr>
        <w:t xml:space="preserve"> where LBT succeeds</w:t>
      </w:r>
      <w:r w:rsidR="00EA5446">
        <w:rPr>
          <w:lang w:eastAsia="zh-CN"/>
        </w:rPr>
        <w:t xml:space="preserve"> as illustrated in </w:t>
      </w:r>
      <w:r w:rsidR="00EA5446">
        <w:rPr>
          <w:lang w:eastAsia="zh-CN"/>
        </w:rPr>
        <w:fldChar w:fldCharType="begin"/>
      </w:r>
      <w:r w:rsidR="00EA5446">
        <w:rPr>
          <w:lang w:eastAsia="zh-CN"/>
        </w:rPr>
        <w:instrText xml:space="preserve"> REF _Ref534818896 \h </w:instrText>
      </w:r>
      <w:r w:rsidR="00EA5446">
        <w:rPr>
          <w:lang w:eastAsia="zh-CN"/>
        </w:rPr>
      </w:r>
      <w:r w:rsidR="00EA5446">
        <w:rPr>
          <w:lang w:eastAsia="zh-CN"/>
        </w:rPr>
        <w:fldChar w:fldCharType="separate"/>
      </w:r>
      <w:r w:rsidR="00EA5446">
        <w:t xml:space="preserve">Figure </w:t>
      </w:r>
      <w:r w:rsidR="00EA5446">
        <w:rPr>
          <w:noProof/>
        </w:rPr>
        <w:t>5</w:t>
      </w:r>
      <w:r w:rsidR="00EA5446">
        <w:rPr>
          <w:lang w:eastAsia="zh-CN"/>
        </w:rPr>
        <w:fldChar w:fldCharType="end"/>
      </w:r>
      <w:r w:rsidR="00EA5446">
        <w:rPr>
          <w:lang w:eastAsia="zh-CN"/>
        </w:rPr>
        <w:t>(b)</w:t>
      </w:r>
      <w:r w:rsidR="005E4633">
        <w:rPr>
          <w:lang w:eastAsia="zh-CN"/>
        </w:rPr>
        <w:t>.</w:t>
      </w:r>
    </w:p>
    <w:p w14:paraId="024BECA6" w14:textId="29A6FB40" w:rsidR="005E4633" w:rsidRDefault="00EA5446" w:rsidP="00EA5446">
      <w:pPr>
        <w:jc w:val="center"/>
        <w:rPr>
          <w:lang w:eastAsia="zh-CN"/>
        </w:rPr>
      </w:pPr>
      <w:r w:rsidRPr="00EA5446">
        <w:rPr>
          <w:noProof/>
          <w:lang w:eastAsia="zh-CN"/>
        </w:rPr>
        <w:drawing>
          <wp:inline distT="0" distB="0" distL="0" distR="0" wp14:anchorId="76A6078E" wp14:editId="453F54DA">
            <wp:extent cx="3972067" cy="18128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4930" cy="1818768"/>
                    </a:xfrm>
                    <a:prstGeom prst="rect">
                      <a:avLst/>
                    </a:prstGeom>
                    <a:noFill/>
                    <a:ln>
                      <a:noFill/>
                    </a:ln>
                  </pic:spPr>
                </pic:pic>
              </a:graphicData>
            </a:graphic>
          </wp:inline>
        </w:drawing>
      </w:r>
    </w:p>
    <w:p w14:paraId="655F8894" w14:textId="66A8D1CD" w:rsidR="005708F4" w:rsidRDefault="005708F4" w:rsidP="005708F4">
      <w:pPr>
        <w:pStyle w:val="a5"/>
        <w:rPr>
          <w:b w:val="0"/>
        </w:rPr>
      </w:pPr>
      <w:bookmarkStart w:id="9" w:name="_Ref534818896"/>
      <w:r>
        <w:t xml:space="preserve">Figure </w:t>
      </w:r>
      <w:r>
        <w:fldChar w:fldCharType="begin"/>
      </w:r>
      <w:r>
        <w:instrText xml:space="preserve"> SEQ Figure \* ARABIC </w:instrText>
      </w:r>
      <w:r>
        <w:fldChar w:fldCharType="separate"/>
      </w:r>
      <w:r>
        <w:rPr>
          <w:noProof/>
        </w:rPr>
        <w:t>5</w:t>
      </w:r>
      <w:r>
        <w:fldChar w:fldCharType="end"/>
      </w:r>
      <w:bookmarkEnd w:id="9"/>
      <w:r>
        <w:t xml:space="preserve"> </w:t>
      </w:r>
      <w:r w:rsidR="00EA5446" w:rsidRPr="00EA5446">
        <w:rPr>
          <w:b w:val="0"/>
        </w:rPr>
        <w:t>C</w:t>
      </w:r>
      <w:r w:rsidRPr="005708F4">
        <w:rPr>
          <w:b w:val="0"/>
        </w:rPr>
        <w:t xml:space="preserve">ontiguous transmission when LBT fails in “internal” LBT sub-band </w:t>
      </w:r>
    </w:p>
    <w:p w14:paraId="5489F448" w14:textId="77777777" w:rsidR="005708F4" w:rsidRPr="005708F4" w:rsidRDefault="005708F4" w:rsidP="005708F4">
      <w:pPr>
        <w:rPr>
          <w:lang w:val="en-GB" w:eastAsia="zh-CN"/>
        </w:rPr>
      </w:pPr>
    </w:p>
    <w:p w14:paraId="541C11E2" w14:textId="77777777" w:rsidR="00157FC3" w:rsidRPr="00CF195E" w:rsidRDefault="00747F48" w:rsidP="00CF195E">
      <w:pPr>
        <w:pStyle w:val="1"/>
      </w:pPr>
      <w:bookmarkStart w:id="10" w:name="_Ref129681832"/>
      <w:r w:rsidRPr="00CF195E">
        <w:lastRenderedPageBreak/>
        <w:t>Conclusion</w:t>
      </w:r>
      <w:r w:rsidR="006B1FD5" w:rsidRPr="00CF195E">
        <w:t>s</w:t>
      </w:r>
    </w:p>
    <w:p w14:paraId="452DCED7" w14:textId="1689E8D6" w:rsidR="000B7A54" w:rsidRDefault="00D962B0" w:rsidP="00FB0219">
      <w:pPr>
        <w:rPr>
          <w:kern w:val="2"/>
          <w:lang w:eastAsia="zh-CN"/>
        </w:rPr>
      </w:pPr>
      <w:r>
        <w:rPr>
          <w:kern w:val="2"/>
          <w:lang w:eastAsia="zh-CN"/>
        </w:rPr>
        <w:t xml:space="preserve">In this </w:t>
      </w:r>
      <w:r w:rsidR="00604108">
        <w:rPr>
          <w:kern w:val="2"/>
          <w:lang w:eastAsia="zh-CN"/>
        </w:rPr>
        <w:t>contribution</w:t>
      </w:r>
      <w:r>
        <w:rPr>
          <w:kern w:val="2"/>
          <w:lang w:eastAsia="zh-CN"/>
        </w:rPr>
        <w:t>, we discuss</w:t>
      </w:r>
      <w:r w:rsidR="00A31DCF">
        <w:rPr>
          <w:kern w:val="2"/>
          <w:lang w:eastAsia="zh-CN"/>
        </w:rPr>
        <w:t xml:space="preserve">ed </w:t>
      </w:r>
      <w:bookmarkStart w:id="11" w:name="_Ref124589665"/>
      <w:bookmarkStart w:id="12" w:name="_Ref71620620"/>
      <w:bookmarkStart w:id="13" w:name="_Ref124671424"/>
      <w:r w:rsidR="00B83E56">
        <w:rPr>
          <w:kern w:val="2"/>
          <w:lang w:eastAsia="zh-CN"/>
        </w:rPr>
        <w:t xml:space="preserve">wideband operation in NR-U mainly from RAN1 </w:t>
      </w:r>
      <w:r w:rsidR="001D3C80">
        <w:rPr>
          <w:kern w:val="2"/>
          <w:lang w:eastAsia="zh-CN"/>
        </w:rPr>
        <w:t>perspective</w:t>
      </w:r>
      <w:r w:rsidR="00B83E56">
        <w:rPr>
          <w:kern w:val="2"/>
          <w:lang w:eastAsia="zh-CN"/>
        </w:rPr>
        <w:t>. The following observations and proposals were achieved.</w:t>
      </w:r>
    </w:p>
    <w:p w14:paraId="16CF957E" w14:textId="77777777" w:rsidR="00A329A2" w:rsidRPr="00A329A2" w:rsidRDefault="00A329A2" w:rsidP="00A329A2">
      <w:pPr>
        <w:pStyle w:val="a5"/>
        <w:jc w:val="both"/>
        <w:rPr>
          <w:i/>
          <w:sz w:val="22"/>
          <w:szCs w:val="22"/>
        </w:rPr>
      </w:pPr>
      <w:r w:rsidRPr="00B66181">
        <w:rPr>
          <w:i/>
          <w:sz w:val="22"/>
          <w:szCs w:val="22"/>
        </w:rPr>
        <w:t xml:space="preserve">Observation </w:t>
      </w:r>
      <w:r w:rsidRPr="00B66181">
        <w:rPr>
          <w:i/>
          <w:sz w:val="22"/>
          <w:szCs w:val="22"/>
        </w:rPr>
        <w:fldChar w:fldCharType="begin"/>
      </w:r>
      <w:r w:rsidRPr="00B66181">
        <w:rPr>
          <w:i/>
          <w:sz w:val="22"/>
          <w:szCs w:val="22"/>
        </w:rPr>
        <w:instrText xml:space="preserve"> SEQ Observation \* ARABIC </w:instrText>
      </w:r>
      <w:r w:rsidRPr="00B66181">
        <w:rPr>
          <w:i/>
          <w:sz w:val="22"/>
          <w:szCs w:val="22"/>
        </w:rPr>
        <w:fldChar w:fldCharType="separate"/>
      </w:r>
      <w:r>
        <w:rPr>
          <w:i/>
          <w:sz w:val="22"/>
          <w:szCs w:val="22"/>
        </w:rPr>
        <w:t>1</w:t>
      </w:r>
      <w:r w:rsidRPr="00B66181">
        <w:rPr>
          <w:i/>
          <w:sz w:val="22"/>
          <w:szCs w:val="22"/>
        </w:rPr>
        <w:fldChar w:fldCharType="end"/>
      </w:r>
      <w:r w:rsidRPr="00A329A2">
        <w:rPr>
          <w:i/>
          <w:sz w:val="22"/>
          <w:szCs w:val="22"/>
        </w:rPr>
        <w:t xml:space="preserve">: BWP switching mechanism in NR licensed carrier is not sufficient to support dynamic bandwidth adaption after LBT due to the switching delay. </w:t>
      </w:r>
    </w:p>
    <w:p w14:paraId="628A8102" w14:textId="77777777" w:rsidR="00A329A2" w:rsidRPr="00A329A2" w:rsidRDefault="00A329A2" w:rsidP="00A329A2">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sz w:val="22"/>
          <w:szCs w:val="22"/>
        </w:rPr>
        <w:t>1</w:t>
      </w:r>
      <w:r w:rsidRPr="0005291E">
        <w:rPr>
          <w:i/>
          <w:sz w:val="22"/>
          <w:szCs w:val="22"/>
        </w:rPr>
        <w:fldChar w:fldCharType="end"/>
      </w:r>
      <w:r w:rsidRPr="00A329A2">
        <w:rPr>
          <w:i/>
          <w:sz w:val="22"/>
          <w:szCs w:val="22"/>
        </w:rPr>
        <w:t>: When a carrier with bandwidth larger than 20MHz is configured, NRU should support transmission on parts or whole carrier bandwidth where CCA is successful.</w:t>
      </w:r>
    </w:p>
    <w:p w14:paraId="45342B51" w14:textId="77777777" w:rsidR="00A329A2" w:rsidRPr="0005291E" w:rsidRDefault="00A329A2" w:rsidP="00A329A2">
      <w:pPr>
        <w:pStyle w:val="a5"/>
        <w:jc w:val="both"/>
        <w:rPr>
          <w:i/>
          <w:sz w:val="22"/>
          <w:szCs w:val="22"/>
        </w:rPr>
      </w:pPr>
      <w:r w:rsidRPr="0005291E">
        <w:rPr>
          <w:i/>
          <w:sz w:val="22"/>
          <w:szCs w:val="22"/>
        </w:rPr>
        <w:t xml:space="preserve">Proposal </w:t>
      </w:r>
      <w:r w:rsidRPr="0005291E">
        <w:rPr>
          <w:i/>
          <w:sz w:val="22"/>
          <w:szCs w:val="22"/>
        </w:rPr>
        <w:fldChar w:fldCharType="begin"/>
      </w:r>
      <w:r w:rsidRPr="0005291E">
        <w:rPr>
          <w:i/>
          <w:sz w:val="22"/>
          <w:szCs w:val="22"/>
        </w:rPr>
        <w:instrText xml:space="preserve"> SEQ Proposal \* ARABIC </w:instrText>
      </w:r>
      <w:r w:rsidRPr="0005291E">
        <w:rPr>
          <w:i/>
          <w:sz w:val="22"/>
          <w:szCs w:val="22"/>
        </w:rPr>
        <w:fldChar w:fldCharType="separate"/>
      </w:r>
      <w:r>
        <w:rPr>
          <w:i/>
          <w:noProof/>
          <w:sz w:val="22"/>
          <w:szCs w:val="22"/>
        </w:rPr>
        <w:t>2</w:t>
      </w:r>
      <w:r w:rsidRPr="0005291E">
        <w:rPr>
          <w:i/>
          <w:sz w:val="22"/>
          <w:szCs w:val="22"/>
        </w:rPr>
        <w:fldChar w:fldCharType="end"/>
      </w:r>
      <w:r w:rsidRPr="0005291E">
        <w:rPr>
          <w:i/>
          <w:sz w:val="22"/>
          <w:szCs w:val="22"/>
        </w:rPr>
        <w:t xml:space="preserve">: </w:t>
      </w:r>
      <w:r>
        <w:rPr>
          <w:i/>
          <w:sz w:val="22"/>
          <w:szCs w:val="22"/>
        </w:rPr>
        <w:t>NRU could consider option 1a and option 3 for PDSCH and PUSCH in order to achieve fast transmission bandwidth adaption according to LBT outcome in frequency domain</w:t>
      </w:r>
      <w:r w:rsidRPr="00527E3F">
        <w:rPr>
          <w:i/>
          <w:sz w:val="22"/>
          <w:szCs w:val="22"/>
        </w:rPr>
        <w:t xml:space="preserve"> </w:t>
      </w:r>
      <w:r w:rsidRPr="0005291E">
        <w:rPr>
          <w:i/>
          <w:sz w:val="22"/>
          <w:szCs w:val="22"/>
        </w:rPr>
        <w:t>when serving cell is configured with bandwidth larger than 20MHz.</w:t>
      </w:r>
    </w:p>
    <w:p w14:paraId="544BEEB6" w14:textId="77777777" w:rsidR="000B3F32" w:rsidRPr="00C118CA" w:rsidRDefault="000B3F32" w:rsidP="00DC45BD">
      <w:pPr>
        <w:rPr>
          <w:b/>
          <w:i/>
          <w:kern w:val="2"/>
          <w:lang w:eastAsia="zh-CN"/>
        </w:rPr>
      </w:pPr>
    </w:p>
    <w:p w14:paraId="0011AD1D" w14:textId="77777777" w:rsidR="001D780E" w:rsidRPr="00CF195E" w:rsidRDefault="001D780E" w:rsidP="006A5BCD">
      <w:pPr>
        <w:pStyle w:val="1"/>
        <w:numPr>
          <w:ilvl w:val="0"/>
          <w:numId w:val="0"/>
        </w:numPr>
        <w:ind w:left="431" w:hanging="431"/>
      </w:pPr>
      <w:r w:rsidRPr="00CF195E">
        <w:t>References</w:t>
      </w:r>
    </w:p>
    <w:p w14:paraId="412AE1B7" w14:textId="769DCEFE" w:rsidR="00FB2339" w:rsidRPr="004055F2" w:rsidRDefault="00704641" w:rsidP="00704641">
      <w:pPr>
        <w:pStyle w:val="References"/>
        <w:rPr>
          <w:noProof/>
        </w:rPr>
      </w:pPr>
      <w:bookmarkStart w:id="14" w:name="_Ref533529357"/>
      <w:bookmarkEnd w:id="10"/>
      <w:bookmarkEnd w:id="11"/>
      <w:bookmarkEnd w:id="12"/>
      <w:bookmarkEnd w:id="13"/>
      <w:r>
        <w:rPr>
          <w:noProof/>
        </w:rPr>
        <w:t>RP-182878, “</w:t>
      </w:r>
      <w:r w:rsidRPr="008D00FB">
        <w:rPr>
          <w:noProof/>
        </w:rPr>
        <w:t>New WID on NR-based Access to Unlicensed Spectrum</w:t>
      </w:r>
      <w:r>
        <w:rPr>
          <w:noProof/>
        </w:rPr>
        <w:t>”</w:t>
      </w:r>
      <w:bookmarkEnd w:id="14"/>
    </w:p>
    <w:bookmarkStart w:id="15" w:name="_Ref528246437"/>
    <w:p w14:paraId="22829EEA" w14:textId="77777777" w:rsidR="00704641" w:rsidRDefault="00704641" w:rsidP="00704641">
      <w:pPr>
        <w:pStyle w:val="References"/>
      </w:pPr>
      <w:r>
        <w:fldChar w:fldCharType="begin"/>
      </w:r>
      <w:r>
        <w:instrText xml:space="preserve"> STYLEREF ZA </w:instrText>
      </w:r>
      <w:r>
        <w:fldChar w:fldCharType="separate"/>
      </w:r>
      <w:bookmarkStart w:id="16" w:name="_Ref533529370"/>
      <w:r>
        <w:rPr>
          <w:noProof/>
        </w:rPr>
        <w:t>3GPP TR 38.889 V16.0.0 (2018-12)</w:t>
      </w:r>
      <w:bookmarkEnd w:id="16"/>
      <w:r>
        <w:fldChar w:fldCharType="end"/>
      </w:r>
    </w:p>
    <w:p w14:paraId="19D2948A" w14:textId="1E8E2888" w:rsidR="002548D5" w:rsidRDefault="002548D5" w:rsidP="002548D5">
      <w:pPr>
        <w:pStyle w:val="References"/>
        <w:rPr>
          <w:lang w:eastAsia="zh-CN"/>
        </w:rPr>
      </w:pPr>
      <w:bookmarkStart w:id="17" w:name="_Ref533604749"/>
      <w:r w:rsidRPr="00C97D82">
        <w:rPr>
          <w:lang w:eastAsia="zh-CN"/>
        </w:rPr>
        <w:t>R4-1816658, “</w:t>
      </w:r>
      <w:bookmarkStart w:id="18" w:name="_Hlk503517020"/>
      <w:r w:rsidRPr="00C97D82">
        <w:rPr>
          <w:lang w:eastAsia="zh-CN"/>
        </w:rPr>
        <w:t>Reply LS on wideband carrier operation for NR-U</w:t>
      </w:r>
      <w:bookmarkEnd w:id="18"/>
      <w:r w:rsidRPr="00C97D82">
        <w:rPr>
          <w:lang w:eastAsia="zh-CN"/>
        </w:rPr>
        <w:t>”, Ericsson</w:t>
      </w:r>
      <w:bookmarkEnd w:id="17"/>
    </w:p>
    <w:p w14:paraId="06C90ABB" w14:textId="3EEC3E1D" w:rsidR="00257650" w:rsidRPr="001F006B" w:rsidRDefault="00C85008" w:rsidP="001F006B">
      <w:pPr>
        <w:pStyle w:val="References"/>
        <w:rPr>
          <w:sz w:val="22"/>
          <w:szCs w:val="22"/>
          <w:lang w:eastAsia="zh-CN"/>
        </w:rPr>
      </w:pPr>
      <w:bookmarkStart w:id="19" w:name="_Ref528849571"/>
      <w:r w:rsidRPr="0034236D">
        <w:rPr>
          <w:lang w:eastAsia="zh-CN"/>
        </w:rPr>
        <w:t>R4-1814069</w:t>
      </w:r>
      <w:r>
        <w:rPr>
          <w:lang w:eastAsia="zh-CN"/>
        </w:rPr>
        <w:t>, “</w:t>
      </w:r>
      <w:r w:rsidRPr="00D87633">
        <w:rPr>
          <w:noProof/>
        </w:rPr>
        <w:t>CR on updating requirement for BWP switching delay in TS38.133</w:t>
      </w:r>
      <w:r>
        <w:rPr>
          <w:noProof/>
        </w:rPr>
        <w:t xml:space="preserve"> (Section 8.6)</w:t>
      </w:r>
      <w:r>
        <w:rPr>
          <w:lang w:eastAsia="zh-CN"/>
        </w:rPr>
        <w:t>”</w:t>
      </w:r>
      <w:bookmarkEnd w:id="19"/>
      <w:r w:rsidR="008D00FB">
        <w:rPr>
          <w:lang w:eastAsia="zh-CN"/>
        </w:rPr>
        <w:t>, Mediatek</w:t>
      </w:r>
    </w:p>
    <w:p w14:paraId="2CB797A2" w14:textId="72598E58" w:rsidR="001A3E37" w:rsidRDefault="00257650" w:rsidP="00257650">
      <w:pPr>
        <w:pStyle w:val="References"/>
        <w:rPr>
          <w:lang w:eastAsia="zh-CN"/>
        </w:rPr>
      </w:pPr>
      <w:bookmarkStart w:id="20" w:name="_Ref533589335"/>
      <w:r>
        <w:rPr>
          <w:lang w:eastAsia="zh-CN"/>
        </w:rPr>
        <w:t>R1-</w:t>
      </w:r>
      <w:r w:rsidR="001F006B">
        <w:rPr>
          <w:lang w:eastAsia="zh-CN"/>
        </w:rPr>
        <w:t>1900058</w:t>
      </w:r>
      <w:r>
        <w:rPr>
          <w:lang w:eastAsia="zh-CN"/>
        </w:rPr>
        <w:t>, “</w:t>
      </w:r>
      <w:r w:rsidRPr="00257650">
        <w:rPr>
          <w:lang w:eastAsia="zh-CN"/>
        </w:rPr>
        <w:t>UL channels and signals in NR unlicensed band</w:t>
      </w:r>
      <w:r>
        <w:rPr>
          <w:lang w:eastAsia="zh-CN"/>
        </w:rPr>
        <w:t>”, Huawei, Hisilicon</w:t>
      </w:r>
      <w:bookmarkEnd w:id="20"/>
    </w:p>
    <w:p w14:paraId="26B6B038" w14:textId="47AC165C" w:rsidR="001F006B" w:rsidRDefault="001A3E37" w:rsidP="001A3E37">
      <w:pPr>
        <w:pStyle w:val="References"/>
        <w:rPr>
          <w:lang w:eastAsia="zh-CN"/>
        </w:rPr>
      </w:pPr>
      <w:bookmarkStart w:id="21" w:name="_Ref533597987"/>
      <w:r>
        <w:rPr>
          <w:lang w:eastAsia="zh-CN"/>
        </w:rPr>
        <w:t>R1-</w:t>
      </w:r>
      <w:r w:rsidR="001F006B">
        <w:rPr>
          <w:lang w:eastAsia="zh-CN"/>
        </w:rPr>
        <w:t>1900062</w:t>
      </w:r>
      <w:r>
        <w:rPr>
          <w:lang w:eastAsia="zh-CN"/>
        </w:rPr>
        <w:t>, “</w:t>
      </w:r>
      <w:r w:rsidRPr="001A3E37">
        <w:rPr>
          <w:lang w:eastAsia="zh-CN"/>
        </w:rPr>
        <w:t>HARQ enhancement in NR unlicensed</w:t>
      </w:r>
      <w:r>
        <w:rPr>
          <w:lang w:eastAsia="zh-CN"/>
        </w:rPr>
        <w:t>”, Huawei, Hisilicon</w:t>
      </w:r>
      <w:bookmarkEnd w:id="21"/>
    </w:p>
    <w:p w14:paraId="5590760A" w14:textId="749B9625" w:rsidR="002136F8" w:rsidRDefault="001F006B" w:rsidP="00255179">
      <w:pPr>
        <w:pStyle w:val="References"/>
        <w:rPr>
          <w:lang w:eastAsia="zh-CN"/>
        </w:rPr>
      </w:pPr>
      <w:bookmarkStart w:id="22" w:name="_Ref533530349"/>
      <w:bookmarkStart w:id="23" w:name="_Ref533599054"/>
      <w:r w:rsidRPr="00255179">
        <w:rPr>
          <w:lang w:eastAsia="zh-CN"/>
        </w:rPr>
        <w:t>R1-</w:t>
      </w:r>
      <w:r w:rsidR="00255179" w:rsidRPr="00255179">
        <w:rPr>
          <w:lang w:eastAsia="zh-CN"/>
        </w:rPr>
        <w:t>1901257</w:t>
      </w:r>
      <w:r>
        <w:rPr>
          <w:lang w:eastAsia="zh-CN"/>
        </w:rPr>
        <w:t>, “</w:t>
      </w:r>
      <w:r w:rsidRPr="00AB4507">
        <w:rPr>
          <w:lang w:eastAsia="zh-CN"/>
        </w:rPr>
        <w:t>Inband leakage and blocking in wideband operation</w:t>
      </w:r>
      <w:r>
        <w:rPr>
          <w:lang w:eastAsia="zh-CN"/>
        </w:rPr>
        <w:t>”</w:t>
      </w:r>
      <w:bookmarkEnd w:id="22"/>
      <w:r>
        <w:rPr>
          <w:lang w:eastAsia="zh-CN"/>
        </w:rPr>
        <w:t>, Huawei, Hisilicon</w:t>
      </w:r>
      <w:bookmarkEnd w:id="23"/>
      <w:r w:rsidR="00257650" w:rsidRPr="004055F2" w:rsidDel="00704641">
        <w:rPr>
          <w:lang w:eastAsia="zh-CN"/>
        </w:rPr>
        <w:t xml:space="preserve"> </w:t>
      </w:r>
      <w:bookmarkEnd w:id="15"/>
    </w:p>
    <w:p w14:paraId="6B619165" w14:textId="77777777" w:rsidR="00B57BA3" w:rsidRDefault="00B57BA3" w:rsidP="00B57BA3">
      <w:pPr>
        <w:pStyle w:val="References"/>
        <w:numPr>
          <w:ilvl w:val="0"/>
          <w:numId w:val="0"/>
        </w:numPr>
        <w:ind w:left="360" w:hanging="360"/>
        <w:rPr>
          <w:lang w:eastAsia="zh-CN"/>
        </w:rPr>
      </w:pPr>
    </w:p>
    <w:p w14:paraId="1913C136" w14:textId="2C5B35B7" w:rsidR="00B57BA3" w:rsidRDefault="00B57BA3" w:rsidP="00B57BA3">
      <w:pPr>
        <w:pStyle w:val="1"/>
        <w:numPr>
          <w:ilvl w:val="0"/>
          <w:numId w:val="0"/>
        </w:numPr>
        <w:ind w:left="431" w:hanging="431"/>
      </w:pPr>
      <w:r>
        <w:t>Appendix</w:t>
      </w:r>
    </w:p>
    <w:p w14:paraId="681AA987" w14:textId="0A75D2CF" w:rsidR="00E410F0" w:rsidRPr="00E410F0" w:rsidRDefault="00E410F0" w:rsidP="00E410F0">
      <w:pPr>
        <w:pStyle w:val="a5"/>
      </w:pPr>
      <w:r>
        <w:t xml:space="preserve">Table </w:t>
      </w:r>
      <w:r>
        <w:fldChar w:fldCharType="begin"/>
      </w:r>
      <w:r>
        <w:instrText xml:space="preserve"> SEQ Table \* ARABIC </w:instrText>
      </w:r>
      <w:r>
        <w:fldChar w:fldCharType="separate"/>
      </w:r>
      <w:r>
        <w:rPr>
          <w:noProof/>
        </w:rPr>
        <w:t>1</w:t>
      </w:r>
      <w:r>
        <w:fldChar w:fldCharType="end"/>
      </w:r>
      <w:r>
        <w:t xml:space="preserve"> simulation assumption of wideband operation</w:t>
      </w:r>
    </w:p>
    <w:tbl>
      <w:tblPr>
        <w:tblW w:w="6090" w:type="dxa"/>
        <w:jc w:val="center"/>
        <w:tblCellMar>
          <w:left w:w="0" w:type="dxa"/>
          <w:right w:w="0" w:type="dxa"/>
        </w:tblCellMar>
        <w:tblLook w:val="04A0" w:firstRow="1" w:lastRow="0" w:firstColumn="1" w:lastColumn="0" w:noHBand="0" w:noVBand="1"/>
      </w:tblPr>
      <w:tblGrid>
        <w:gridCol w:w="2182"/>
        <w:gridCol w:w="3908"/>
      </w:tblGrid>
      <w:tr w:rsidR="009B7A2E" w:rsidRPr="004E08D0" w14:paraId="4F71E530"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192E89C" w14:textId="77777777" w:rsidR="009B7A2E" w:rsidRPr="004E08D0" w:rsidRDefault="009B7A2E" w:rsidP="00C97D82">
            <w:pPr>
              <w:autoSpaceDE/>
              <w:autoSpaceDN/>
              <w:adjustRightInd/>
              <w:ind w:left="14" w:hanging="14"/>
              <w:rPr>
                <w:rFonts w:ascii="Arial" w:hAnsi="Arial" w:cs="Arial"/>
                <w:sz w:val="18"/>
                <w:szCs w:val="36"/>
              </w:rPr>
            </w:pPr>
            <w:r w:rsidRPr="00CA3B20">
              <w:rPr>
                <w:rFonts w:ascii="Times" w:eastAsia="Batang" w:hAnsi="Times" w:hint="eastAsia"/>
                <w:color w:val="000000"/>
                <w:kern w:val="24"/>
                <w:sz w:val="18"/>
                <w:szCs w:val="24"/>
              </w:rPr>
              <w:t xml:space="preserve">Simulation </w:t>
            </w:r>
            <w:r w:rsidRPr="00CA3B20">
              <w:rPr>
                <w:rFonts w:ascii="Times" w:eastAsia="Batang" w:hAnsi="Times"/>
                <w:color w:val="000000"/>
                <w:kern w:val="24"/>
                <w:sz w:val="18"/>
                <w:szCs w:val="24"/>
              </w:rPr>
              <w:t>scenario</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F274A6"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Indoor Sub-7GHz</w:t>
            </w:r>
            <w:r>
              <w:rPr>
                <w:rFonts w:ascii="Times" w:eastAsia="Batang" w:hAnsi="Times"/>
                <w:color w:val="000000"/>
                <w:kern w:val="24"/>
                <w:sz w:val="18"/>
                <w:szCs w:val="24"/>
              </w:rPr>
              <w:t xml:space="preserve">, </w:t>
            </w:r>
            <w:r w:rsidRPr="004E08D0">
              <w:rPr>
                <w:rFonts w:eastAsia="微软雅黑"/>
                <w:sz w:val="20"/>
                <w:szCs w:val="20"/>
              </w:rPr>
              <w:t>3+3 TRPs with indoor mixed office model (a-b-a = 20-40-20)</w:t>
            </w:r>
          </w:p>
        </w:tc>
      </w:tr>
      <w:tr w:rsidR="009B7A2E" w:rsidRPr="004E08D0" w14:paraId="51BE5746"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5F723708"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Carrier Frequency</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BB60A85"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5GHz</w:t>
            </w:r>
          </w:p>
        </w:tc>
      </w:tr>
      <w:tr w:rsidR="009B7A2E" w:rsidRPr="004E08D0" w14:paraId="51AD9B49" w14:textId="77777777" w:rsidTr="00C97D82">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E26F2CC"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Number of users per operator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73D31D6"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5 per gNB per 20MHz</w:t>
            </w:r>
          </w:p>
        </w:tc>
      </w:tr>
      <w:tr w:rsidR="00E410F0" w:rsidRPr="004E08D0" w14:paraId="717AADB0"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7C39EC36" w14:textId="6E782682" w:rsidR="00E410F0" w:rsidRPr="004E08D0" w:rsidRDefault="00E410F0" w:rsidP="00C97D82">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Channel bandwidth</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tcPr>
          <w:p w14:paraId="126A3474" w14:textId="77777777" w:rsidR="00E410F0" w:rsidRDefault="00E410F0" w:rsidP="00C97D82">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NR-U: 80MHz</w:t>
            </w:r>
          </w:p>
          <w:p w14:paraId="5527C342" w14:textId="2C3A8401" w:rsidR="00E410F0" w:rsidRPr="004E08D0" w:rsidRDefault="00E410F0" w:rsidP="00E410F0">
            <w:pPr>
              <w:autoSpaceDE/>
              <w:autoSpaceDN/>
              <w:adjustRightInd/>
              <w:ind w:left="14" w:hanging="14"/>
              <w:rPr>
                <w:rFonts w:ascii="Times" w:eastAsia="Batang" w:hAnsi="Times"/>
                <w:color w:val="000000"/>
                <w:kern w:val="24"/>
                <w:sz w:val="18"/>
                <w:szCs w:val="24"/>
              </w:rPr>
            </w:pPr>
            <w:r>
              <w:rPr>
                <w:rFonts w:ascii="Times" w:eastAsia="Batang" w:hAnsi="Times"/>
                <w:color w:val="000000"/>
                <w:kern w:val="24"/>
                <w:sz w:val="18"/>
                <w:szCs w:val="24"/>
              </w:rPr>
              <w:t xml:space="preserve">802.11ac: 20MHz per AP randomly distributed within NR-U’s operating bandwidth </w:t>
            </w:r>
          </w:p>
        </w:tc>
      </w:tr>
      <w:tr w:rsidR="009B7A2E" w:rsidRPr="004E08D0" w14:paraId="3C06BF3B"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C2B105F" w14:textId="0F6AF6EC"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Channel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B1FBF9C"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NR InH Mixed Office model</w:t>
            </w:r>
          </w:p>
        </w:tc>
      </w:tr>
      <w:tr w:rsidR="009B7A2E" w:rsidRPr="004E08D0" w14:paraId="5EC10C4B"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E30223"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4D5F266"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23dBm (total across all TX antennas)</w:t>
            </w:r>
          </w:p>
        </w:tc>
      </w:tr>
      <w:tr w:rsidR="009B7A2E" w:rsidRPr="004E08D0" w14:paraId="4461E273"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F017FE6"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Tx Power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7946E8C"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18dBm (total across all TX antennas)</w:t>
            </w:r>
          </w:p>
        </w:tc>
      </w:tr>
      <w:tr w:rsidR="009B7A2E" w:rsidRPr="004E08D0" w14:paraId="1D7A5987"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A393DB3"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0100F9C3"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w:t>
            </w:r>
            <w:r>
              <w:rPr>
                <w:rFonts w:ascii="Times" w:eastAsia="Batang" w:hAnsi="Times"/>
                <w:color w:val="000000"/>
                <w:kern w:val="24"/>
                <w:sz w:val="18"/>
                <w:szCs w:val="24"/>
              </w:rPr>
              <w:t xml:space="preserve"> </w:t>
            </w:r>
            <w:r w:rsidRPr="004E08D0">
              <w:rPr>
                <w:rFonts w:ascii="Times" w:eastAsia="Batang" w:hAnsi="Times"/>
                <w:color w:val="000000"/>
                <w:kern w:val="24"/>
                <w:sz w:val="18"/>
                <w:szCs w:val="24"/>
              </w:rPr>
              <w:t xml:space="preserve">dBi   </w:t>
            </w:r>
          </w:p>
        </w:tc>
      </w:tr>
      <w:tr w:rsidR="009B7A2E" w:rsidRPr="004E08D0" w14:paraId="3214115B" w14:textId="77777777" w:rsidTr="00C97D82">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9C93F8C"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gain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897C958"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0 dBi</w:t>
            </w:r>
          </w:p>
        </w:tc>
      </w:tr>
      <w:tr w:rsidR="009B7A2E" w:rsidRPr="004E08D0" w14:paraId="54E2E489"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6EAA879"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BS/AP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34E10AF"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5dB</w:t>
            </w:r>
          </w:p>
        </w:tc>
      </w:tr>
      <w:tr w:rsidR="009B7A2E" w:rsidRPr="004E08D0" w14:paraId="5A1D2FB6" w14:textId="77777777" w:rsidTr="00C97D82">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F66493E"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Receiver Noise Figure</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2149176"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9dB</w:t>
            </w:r>
          </w:p>
        </w:tc>
      </w:tr>
      <w:tr w:rsidR="009B7A2E" w:rsidRPr="004E08D0" w14:paraId="230A9FEB" w14:textId="77777777" w:rsidTr="00C97D82">
        <w:trPr>
          <w:trHeight w:val="64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CBC3CC6"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Minimum received power from serving cell for UE dropping</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C7441BC"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-82dBm</w:t>
            </w:r>
          </w:p>
        </w:tc>
      </w:tr>
      <w:tr w:rsidR="009B7A2E" w:rsidRPr="004E08D0" w14:paraId="60DD4A90" w14:textId="77777777" w:rsidTr="00C97D82">
        <w:trPr>
          <w:trHeight w:val="164"/>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69A5ACF2"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 receiver</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E8B10F"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MMSE-IRC as the baseline receiver</w:t>
            </w:r>
          </w:p>
        </w:tc>
      </w:tr>
      <w:tr w:rsidR="009B7A2E" w:rsidRPr="004E08D0" w14:paraId="351C2006" w14:textId="77777777" w:rsidTr="00C97D82">
        <w:trPr>
          <w:trHeight w:val="492"/>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4826668"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lastRenderedPageBreak/>
              <w:t>BS/AP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399F736E"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(M, N, P, Mg, Ng)  = (1, 2, 2, 1, 1), dH = dV = 0.5 λ</w:t>
            </w:r>
          </w:p>
        </w:tc>
      </w:tr>
      <w:tr w:rsidR="009B7A2E" w:rsidRPr="004E08D0" w14:paraId="3D026C53" w14:textId="77777777" w:rsidTr="00C97D82">
        <w:trPr>
          <w:trHeight w:val="657"/>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13055096"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UE/STA antenna Array configuration</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4DF14C21"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lang w:val="en-GB"/>
              </w:rPr>
              <w:t>Tx/Rx: (M, N, P, Mg, Ng) = (1, 1, 2, 1, 1), dH = dV = 0.5 λ</w:t>
            </w:r>
          </w:p>
        </w:tc>
      </w:tr>
      <w:tr w:rsidR="009B7A2E" w:rsidRPr="004E08D0" w14:paraId="31F5AEE8" w14:textId="77777777" w:rsidTr="00C97D82">
        <w:trPr>
          <w:trHeight w:val="329"/>
          <w:jc w:val="center"/>
        </w:trPr>
        <w:tc>
          <w:tcPr>
            <w:tcW w:w="2182"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210279EE" w14:textId="77777777" w:rsidR="009B7A2E" w:rsidRPr="004E08D0" w:rsidRDefault="009B7A2E" w:rsidP="00C97D82">
            <w:pPr>
              <w:autoSpaceDE/>
              <w:autoSpaceDN/>
              <w:adjustRightInd/>
              <w:ind w:left="14" w:hanging="14"/>
              <w:rPr>
                <w:rFonts w:ascii="Arial" w:hAnsi="Arial" w:cs="Arial"/>
                <w:sz w:val="18"/>
                <w:szCs w:val="36"/>
              </w:rPr>
            </w:pPr>
            <w:r w:rsidRPr="004E08D0">
              <w:rPr>
                <w:rFonts w:ascii="Times" w:eastAsia="Batang" w:hAnsi="Times"/>
                <w:color w:val="000000"/>
                <w:kern w:val="24"/>
                <w:sz w:val="18"/>
                <w:szCs w:val="24"/>
              </w:rPr>
              <w:t>Traffic model</w:t>
            </w:r>
          </w:p>
        </w:tc>
        <w:tc>
          <w:tcPr>
            <w:tcW w:w="3908" w:type="dxa"/>
            <w:tcBorders>
              <w:top w:val="single" w:sz="8" w:space="0" w:color="000000"/>
              <w:left w:val="single" w:sz="8" w:space="0" w:color="000000"/>
              <w:bottom w:val="single" w:sz="8" w:space="0" w:color="000000"/>
              <w:right w:val="single" w:sz="8" w:space="0" w:color="000000"/>
            </w:tcBorders>
            <w:shd w:val="clear" w:color="auto" w:fill="auto"/>
            <w:tcMar>
              <w:top w:w="15" w:type="dxa"/>
              <w:left w:w="82" w:type="dxa"/>
              <w:bottom w:w="0" w:type="dxa"/>
              <w:right w:w="82" w:type="dxa"/>
            </w:tcMar>
            <w:hideMark/>
          </w:tcPr>
          <w:p w14:paraId="770C67C4" w14:textId="77777777" w:rsidR="009B7A2E" w:rsidRPr="004E08D0" w:rsidRDefault="009B7A2E" w:rsidP="00C97D82">
            <w:pPr>
              <w:autoSpaceDE/>
              <w:autoSpaceDN/>
              <w:adjustRightInd/>
              <w:ind w:left="14" w:hanging="14"/>
              <w:rPr>
                <w:rFonts w:ascii="Arial" w:hAnsi="Arial" w:cs="Arial"/>
                <w:sz w:val="18"/>
                <w:szCs w:val="36"/>
              </w:rPr>
            </w:pPr>
            <w:r>
              <w:rPr>
                <w:rFonts w:ascii="Times" w:eastAsia="Batang" w:hAnsi="Times"/>
                <w:color w:val="000000"/>
                <w:kern w:val="24"/>
                <w:sz w:val="18"/>
                <w:szCs w:val="24"/>
              </w:rPr>
              <w:t xml:space="preserve">DL/UL mixed traffic, </w:t>
            </w:r>
            <w:r w:rsidRPr="00CA3B20">
              <w:rPr>
                <w:rFonts w:ascii="Times" w:eastAsia="Batang" w:hAnsi="Times" w:hint="eastAsia"/>
                <w:color w:val="000000"/>
                <w:kern w:val="24"/>
                <w:sz w:val="18"/>
                <w:szCs w:val="24"/>
              </w:rPr>
              <w:t>FTP3 with packet size of</w:t>
            </w:r>
            <w:r w:rsidRPr="00CA3B20">
              <w:rPr>
                <w:rFonts w:ascii="Times" w:eastAsia="Batang" w:hAnsi="Times"/>
                <w:color w:val="000000"/>
                <w:kern w:val="24"/>
                <w:sz w:val="18"/>
                <w:szCs w:val="24"/>
              </w:rPr>
              <w:t xml:space="preserve"> 0.5Mbyts for both DL and UL traffic.</w:t>
            </w:r>
          </w:p>
        </w:tc>
      </w:tr>
    </w:tbl>
    <w:p w14:paraId="69A6D0A3" w14:textId="0CE90722" w:rsidR="007B2931" w:rsidRPr="007B2931" w:rsidRDefault="007B2931" w:rsidP="00A77E81">
      <w:bookmarkStart w:id="24" w:name="_GoBack"/>
      <w:bookmarkEnd w:id="24"/>
    </w:p>
    <w:sectPr w:rsidR="007B2931" w:rsidRPr="007B29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4DF50" w14:textId="77777777" w:rsidR="00BB0BAF" w:rsidRDefault="00BB0BAF">
      <w:r>
        <w:separator/>
      </w:r>
    </w:p>
  </w:endnote>
  <w:endnote w:type="continuationSeparator" w:id="0">
    <w:p w14:paraId="456FE02D" w14:textId="77777777" w:rsidR="00BB0BAF" w:rsidRDefault="00BB0BAF">
      <w:r>
        <w:continuationSeparator/>
      </w:r>
    </w:p>
  </w:endnote>
  <w:endnote w:type="continuationNotice" w:id="1">
    <w:p w14:paraId="17E7B061" w14:textId="77777777" w:rsidR="00BB0BAF" w:rsidRDefault="00BB0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A109" w14:textId="77777777" w:rsidR="00BB0BAF" w:rsidRDefault="00BB0BAF">
      <w:r>
        <w:separator/>
      </w:r>
    </w:p>
  </w:footnote>
  <w:footnote w:type="continuationSeparator" w:id="0">
    <w:p w14:paraId="555DFB46" w14:textId="77777777" w:rsidR="00BB0BAF" w:rsidRDefault="00BB0BAF">
      <w:r>
        <w:continuationSeparator/>
      </w:r>
    </w:p>
  </w:footnote>
  <w:footnote w:type="continuationNotice" w:id="1">
    <w:p w14:paraId="18442EDA" w14:textId="77777777" w:rsidR="00BB0BAF" w:rsidRDefault="00BB0BA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3C79"/>
    <w:multiLevelType w:val="hybridMultilevel"/>
    <w:tmpl w:val="7528F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3A47D4"/>
    <w:multiLevelType w:val="hybridMultilevel"/>
    <w:tmpl w:val="C3D4510E"/>
    <w:lvl w:ilvl="0" w:tplc="929CFA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302037"/>
    <w:multiLevelType w:val="hybridMultilevel"/>
    <w:tmpl w:val="196458C0"/>
    <w:lvl w:ilvl="0" w:tplc="289C7690">
      <w:start w:val="1"/>
      <w:numFmt w:val="bullet"/>
      <w:lvlText w:val="•"/>
      <w:lvlJc w:val="left"/>
      <w:pPr>
        <w:tabs>
          <w:tab w:val="num" w:pos="720"/>
        </w:tabs>
        <w:ind w:left="720" w:hanging="360"/>
      </w:pPr>
      <w:rPr>
        <w:rFonts w:ascii="Arial" w:hAnsi="Arial" w:hint="default"/>
      </w:rPr>
    </w:lvl>
    <w:lvl w:ilvl="1" w:tplc="EAE4B7EE">
      <w:start w:val="110"/>
      <w:numFmt w:val="bullet"/>
      <w:lvlText w:val="•"/>
      <w:lvlJc w:val="left"/>
      <w:pPr>
        <w:tabs>
          <w:tab w:val="num" w:pos="1440"/>
        </w:tabs>
        <w:ind w:left="1440" w:hanging="360"/>
      </w:pPr>
      <w:rPr>
        <w:rFonts w:ascii="Arial" w:hAnsi="Arial" w:hint="default"/>
      </w:rPr>
    </w:lvl>
    <w:lvl w:ilvl="2" w:tplc="9B5A561C" w:tentative="1">
      <w:start w:val="1"/>
      <w:numFmt w:val="bullet"/>
      <w:lvlText w:val="•"/>
      <w:lvlJc w:val="left"/>
      <w:pPr>
        <w:tabs>
          <w:tab w:val="num" w:pos="2160"/>
        </w:tabs>
        <w:ind w:left="2160" w:hanging="360"/>
      </w:pPr>
      <w:rPr>
        <w:rFonts w:ascii="Arial" w:hAnsi="Arial" w:hint="default"/>
      </w:rPr>
    </w:lvl>
    <w:lvl w:ilvl="3" w:tplc="0370385C" w:tentative="1">
      <w:start w:val="1"/>
      <w:numFmt w:val="bullet"/>
      <w:lvlText w:val="•"/>
      <w:lvlJc w:val="left"/>
      <w:pPr>
        <w:tabs>
          <w:tab w:val="num" w:pos="2880"/>
        </w:tabs>
        <w:ind w:left="2880" w:hanging="360"/>
      </w:pPr>
      <w:rPr>
        <w:rFonts w:ascii="Arial" w:hAnsi="Arial" w:hint="default"/>
      </w:rPr>
    </w:lvl>
    <w:lvl w:ilvl="4" w:tplc="71AEAC3E" w:tentative="1">
      <w:start w:val="1"/>
      <w:numFmt w:val="bullet"/>
      <w:lvlText w:val="•"/>
      <w:lvlJc w:val="left"/>
      <w:pPr>
        <w:tabs>
          <w:tab w:val="num" w:pos="3600"/>
        </w:tabs>
        <w:ind w:left="3600" w:hanging="360"/>
      </w:pPr>
      <w:rPr>
        <w:rFonts w:ascii="Arial" w:hAnsi="Arial" w:hint="default"/>
      </w:rPr>
    </w:lvl>
    <w:lvl w:ilvl="5" w:tplc="40B264AA" w:tentative="1">
      <w:start w:val="1"/>
      <w:numFmt w:val="bullet"/>
      <w:lvlText w:val="•"/>
      <w:lvlJc w:val="left"/>
      <w:pPr>
        <w:tabs>
          <w:tab w:val="num" w:pos="4320"/>
        </w:tabs>
        <w:ind w:left="4320" w:hanging="360"/>
      </w:pPr>
      <w:rPr>
        <w:rFonts w:ascii="Arial" w:hAnsi="Arial" w:hint="default"/>
      </w:rPr>
    </w:lvl>
    <w:lvl w:ilvl="6" w:tplc="5CB615C2" w:tentative="1">
      <w:start w:val="1"/>
      <w:numFmt w:val="bullet"/>
      <w:lvlText w:val="•"/>
      <w:lvlJc w:val="left"/>
      <w:pPr>
        <w:tabs>
          <w:tab w:val="num" w:pos="5040"/>
        </w:tabs>
        <w:ind w:left="5040" w:hanging="360"/>
      </w:pPr>
      <w:rPr>
        <w:rFonts w:ascii="Arial" w:hAnsi="Arial" w:hint="default"/>
      </w:rPr>
    </w:lvl>
    <w:lvl w:ilvl="7" w:tplc="FA58CA82" w:tentative="1">
      <w:start w:val="1"/>
      <w:numFmt w:val="bullet"/>
      <w:lvlText w:val="•"/>
      <w:lvlJc w:val="left"/>
      <w:pPr>
        <w:tabs>
          <w:tab w:val="num" w:pos="5760"/>
        </w:tabs>
        <w:ind w:left="5760" w:hanging="360"/>
      </w:pPr>
      <w:rPr>
        <w:rFonts w:ascii="Arial" w:hAnsi="Arial" w:hint="default"/>
      </w:rPr>
    </w:lvl>
    <w:lvl w:ilvl="8" w:tplc="8326E1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9F4AD1"/>
    <w:multiLevelType w:val="hybridMultilevel"/>
    <w:tmpl w:val="A28A1780"/>
    <w:lvl w:ilvl="0" w:tplc="F1FE5B9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136D017D"/>
    <w:multiLevelType w:val="hybridMultilevel"/>
    <w:tmpl w:val="A28C44EE"/>
    <w:lvl w:ilvl="0" w:tplc="AF84EAC2">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154B1C95"/>
    <w:multiLevelType w:val="hybridMultilevel"/>
    <w:tmpl w:val="8AF69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E01AA2"/>
    <w:multiLevelType w:val="hybridMultilevel"/>
    <w:tmpl w:val="046865B4"/>
    <w:lvl w:ilvl="0" w:tplc="B2BC7690">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A5871"/>
    <w:multiLevelType w:val="hybridMultilevel"/>
    <w:tmpl w:val="591CE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F2676A"/>
    <w:multiLevelType w:val="hybridMultilevel"/>
    <w:tmpl w:val="2F6CA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4E157B"/>
    <w:multiLevelType w:val="hybridMultilevel"/>
    <w:tmpl w:val="752CADCA"/>
    <w:lvl w:ilvl="0" w:tplc="BE6E2A94">
      <w:start w:val="166"/>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9D462D7"/>
    <w:multiLevelType w:val="hybridMultilevel"/>
    <w:tmpl w:val="B0AEAF12"/>
    <w:lvl w:ilvl="0" w:tplc="566E302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1231BC"/>
    <w:multiLevelType w:val="hybridMultilevel"/>
    <w:tmpl w:val="586A3002"/>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25B1C"/>
    <w:multiLevelType w:val="hybridMultilevel"/>
    <w:tmpl w:val="64441074"/>
    <w:lvl w:ilvl="0" w:tplc="D6BC9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337EC"/>
    <w:multiLevelType w:val="hybridMultilevel"/>
    <w:tmpl w:val="0E589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89B4FBA"/>
    <w:multiLevelType w:val="hybridMultilevel"/>
    <w:tmpl w:val="5E463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C46DB6"/>
    <w:multiLevelType w:val="hybridMultilevel"/>
    <w:tmpl w:val="46629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9711BF"/>
    <w:multiLevelType w:val="hybridMultilevel"/>
    <w:tmpl w:val="F4C82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57D18"/>
    <w:multiLevelType w:val="hybridMultilevel"/>
    <w:tmpl w:val="0B2027C2"/>
    <w:lvl w:ilvl="0" w:tplc="18D4C4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54A71"/>
    <w:multiLevelType w:val="hybridMultilevel"/>
    <w:tmpl w:val="16D8AF16"/>
    <w:lvl w:ilvl="0" w:tplc="53AED5BA">
      <w:start w:val="1"/>
      <w:numFmt w:val="bullet"/>
      <w:lvlText w:val="•"/>
      <w:lvlJc w:val="left"/>
      <w:pPr>
        <w:tabs>
          <w:tab w:val="num" w:pos="360"/>
        </w:tabs>
        <w:ind w:left="360" w:hanging="360"/>
      </w:pPr>
      <w:rPr>
        <w:rFonts w:ascii="Arial" w:hAnsi="Arial" w:hint="default"/>
      </w:rPr>
    </w:lvl>
    <w:lvl w:ilvl="1" w:tplc="C3FE8EC6">
      <w:start w:val="78"/>
      <w:numFmt w:val="bullet"/>
      <w:lvlText w:val="•"/>
      <w:lvlJc w:val="left"/>
      <w:pPr>
        <w:tabs>
          <w:tab w:val="num" w:pos="1080"/>
        </w:tabs>
        <w:ind w:left="1080" w:hanging="360"/>
      </w:pPr>
      <w:rPr>
        <w:rFonts w:ascii="Arial" w:hAnsi="Arial" w:hint="default"/>
      </w:rPr>
    </w:lvl>
    <w:lvl w:ilvl="2" w:tplc="D8C8FC3E">
      <w:start w:val="1"/>
      <w:numFmt w:val="bullet"/>
      <w:lvlText w:val="•"/>
      <w:lvlJc w:val="left"/>
      <w:pPr>
        <w:tabs>
          <w:tab w:val="num" w:pos="1800"/>
        </w:tabs>
        <w:ind w:left="1800" w:hanging="360"/>
      </w:pPr>
      <w:rPr>
        <w:rFonts w:ascii="Arial" w:hAnsi="Arial" w:hint="default"/>
      </w:rPr>
    </w:lvl>
    <w:lvl w:ilvl="3" w:tplc="60261FA0">
      <w:start w:val="78"/>
      <w:numFmt w:val="bullet"/>
      <w:lvlText w:val="•"/>
      <w:lvlJc w:val="left"/>
      <w:pPr>
        <w:tabs>
          <w:tab w:val="num" w:pos="2520"/>
        </w:tabs>
        <w:ind w:left="2520" w:hanging="360"/>
      </w:pPr>
      <w:rPr>
        <w:rFonts w:ascii="Arial" w:hAnsi="Arial" w:hint="default"/>
      </w:rPr>
    </w:lvl>
    <w:lvl w:ilvl="4" w:tplc="AE988404" w:tentative="1">
      <w:start w:val="1"/>
      <w:numFmt w:val="bullet"/>
      <w:lvlText w:val="•"/>
      <w:lvlJc w:val="left"/>
      <w:pPr>
        <w:tabs>
          <w:tab w:val="num" w:pos="3240"/>
        </w:tabs>
        <w:ind w:left="3240" w:hanging="360"/>
      </w:pPr>
      <w:rPr>
        <w:rFonts w:ascii="Arial" w:hAnsi="Arial" w:hint="default"/>
      </w:rPr>
    </w:lvl>
    <w:lvl w:ilvl="5" w:tplc="038C642A" w:tentative="1">
      <w:start w:val="1"/>
      <w:numFmt w:val="bullet"/>
      <w:lvlText w:val="•"/>
      <w:lvlJc w:val="left"/>
      <w:pPr>
        <w:tabs>
          <w:tab w:val="num" w:pos="3960"/>
        </w:tabs>
        <w:ind w:left="3960" w:hanging="360"/>
      </w:pPr>
      <w:rPr>
        <w:rFonts w:ascii="Arial" w:hAnsi="Arial" w:hint="default"/>
      </w:rPr>
    </w:lvl>
    <w:lvl w:ilvl="6" w:tplc="20362DD8" w:tentative="1">
      <w:start w:val="1"/>
      <w:numFmt w:val="bullet"/>
      <w:lvlText w:val="•"/>
      <w:lvlJc w:val="left"/>
      <w:pPr>
        <w:tabs>
          <w:tab w:val="num" w:pos="4680"/>
        </w:tabs>
        <w:ind w:left="4680" w:hanging="360"/>
      </w:pPr>
      <w:rPr>
        <w:rFonts w:ascii="Arial" w:hAnsi="Arial" w:hint="default"/>
      </w:rPr>
    </w:lvl>
    <w:lvl w:ilvl="7" w:tplc="30A0B428" w:tentative="1">
      <w:start w:val="1"/>
      <w:numFmt w:val="bullet"/>
      <w:lvlText w:val="•"/>
      <w:lvlJc w:val="left"/>
      <w:pPr>
        <w:tabs>
          <w:tab w:val="num" w:pos="5400"/>
        </w:tabs>
        <w:ind w:left="5400" w:hanging="360"/>
      </w:pPr>
      <w:rPr>
        <w:rFonts w:ascii="Arial" w:hAnsi="Arial" w:hint="default"/>
      </w:rPr>
    </w:lvl>
    <w:lvl w:ilvl="8" w:tplc="F46EC220"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C64A8"/>
    <w:multiLevelType w:val="hybridMultilevel"/>
    <w:tmpl w:val="0F4E6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51B90"/>
    <w:multiLevelType w:val="hybridMultilevel"/>
    <w:tmpl w:val="53E4B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9C4EBB"/>
    <w:multiLevelType w:val="hybridMultilevel"/>
    <w:tmpl w:val="62D63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F45912"/>
    <w:multiLevelType w:val="hybridMultilevel"/>
    <w:tmpl w:val="AF18A3B8"/>
    <w:lvl w:ilvl="0" w:tplc="6644AA60">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0016D16"/>
    <w:multiLevelType w:val="hybridMultilevel"/>
    <w:tmpl w:val="8112FF60"/>
    <w:lvl w:ilvl="0" w:tplc="04090001">
      <w:start w:val="1"/>
      <w:numFmt w:val="bullet"/>
      <w:lvlText w:val=""/>
      <w:lvlJc w:val="left"/>
      <w:pPr>
        <w:ind w:left="720" w:hanging="360"/>
      </w:pPr>
      <w:rPr>
        <w:rFonts w:ascii="Symbol" w:hAnsi="Symbol" w:hint="default"/>
      </w:rPr>
    </w:lvl>
    <w:lvl w:ilvl="1" w:tplc="D3945570">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555390"/>
    <w:multiLevelType w:val="hybridMultilevel"/>
    <w:tmpl w:val="FC0AC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2826D6"/>
    <w:multiLevelType w:val="hybridMultilevel"/>
    <w:tmpl w:val="0F4E6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D2D5E"/>
    <w:multiLevelType w:val="hybridMultilevel"/>
    <w:tmpl w:val="5450D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9C1649"/>
    <w:multiLevelType w:val="hybridMultilevel"/>
    <w:tmpl w:val="2706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2027A"/>
    <w:multiLevelType w:val="hybridMultilevel"/>
    <w:tmpl w:val="776020AC"/>
    <w:lvl w:ilvl="0" w:tplc="0CD225B6">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7"/>
  </w:num>
  <w:num w:numId="4">
    <w:abstractNumId w:val="25"/>
  </w:num>
  <w:num w:numId="5">
    <w:abstractNumId w:val="16"/>
  </w:num>
  <w:num w:numId="6">
    <w:abstractNumId w:val="24"/>
  </w:num>
  <w:num w:numId="7">
    <w:abstractNumId w:val="29"/>
  </w:num>
  <w:num w:numId="8">
    <w:abstractNumId w:val="39"/>
  </w:num>
  <w:num w:numId="9">
    <w:abstractNumId w:val="3"/>
  </w:num>
  <w:num w:numId="10">
    <w:abstractNumId w:val="11"/>
  </w:num>
  <w:num w:numId="11">
    <w:abstractNumId w:val="14"/>
  </w:num>
  <w:num w:numId="12">
    <w:abstractNumId w:val="13"/>
  </w:num>
  <w:num w:numId="13">
    <w:abstractNumId w:val="18"/>
  </w:num>
  <w:num w:numId="14">
    <w:abstractNumId w:val="26"/>
  </w:num>
  <w:num w:numId="15">
    <w:abstractNumId w:val="36"/>
  </w:num>
  <w:num w:numId="16">
    <w:abstractNumId w:val="30"/>
  </w:num>
  <w:num w:numId="17">
    <w:abstractNumId w:val="9"/>
  </w:num>
  <w:num w:numId="18">
    <w:abstractNumId w:val="19"/>
  </w:num>
  <w:num w:numId="19">
    <w:abstractNumId w:val="1"/>
  </w:num>
  <w:num w:numId="20">
    <w:abstractNumId w:val="35"/>
  </w:num>
  <w:num w:numId="21">
    <w:abstractNumId w:val="8"/>
  </w:num>
  <w:num w:numId="22">
    <w:abstractNumId w:val="34"/>
  </w:num>
  <w:num w:numId="23">
    <w:abstractNumId w:val="2"/>
  </w:num>
  <w:num w:numId="24">
    <w:abstractNumId w:val="37"/>
  </w:num>
  <w:num w:numId="25">
    <w:abstractNumId w:val="12"/>
  </w:num>
  <w:num w:numId="26">
    <w:abstractNumId w:val="32"/>
  </w:num>
  <w:num w:numId="27">
    <w:abstractNumId w:val="17"/>
  </w:num>
  <w:num w:numId="28">
    <w:abstractNumId w:val="38"/>
  </w:num>
  <w:num w:numId="29">
    <w:abstractNumId w:val="28"/>
  </w:num>
  <w:num w:numId="30">
    <w:abstractNumId w:val="18"/>
  </w:num>
  <w:num w:numId="31">
    <w:abstractNumId w:val="23"/>
  </w:num>
  <w:num w:numId="32">
    <w:abstractNumId w:val="22"/>
  </w:num>
  <w:num w:numId="33">
    <w:abstractNumId w:val="15"/>
  </w:num>
  <w:num w:numId="34">
    <w:abstractNumId w:val="6"/>
  </w:num>
  <w:num w:numId="35">
    <w:abstractNumId w:val="20"/>
  </w:num>
  <w:num w:numId="36">
    <w:abstractNumId w:val="31"/>
  </w:num>
  <w:num w:numId="37">
    <w:abstractNumId w:val="10"/>
  </w:num>
  <w:num w:numId="38">
    <w:abstractNumId w:val="27"/>
  </w:num>
  <w:num w:numId="39">
    <w:abstractNumId w:val="33"/>
  </w:num>
  <w:num w:numId="40">
    <w:abstractNumId w:val="5"/>
  </w:num>
  <w:num w:numId="41">
    <w:abstractNumId w:val="4"/>
  </w:num>
  <w:num w:numId="42">
    <w:abstractNumId w:val="0"/>
  </w:num>
  <w:num w:numId="43">
    <w:abstractNumId w:val="21"/>
  </w:num>
  <w:num w:numId="4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501"/>
    <w:rsid w:val="00001938"/>
    <w:rsid w:val="000020F6"/>
    <w:rsid w:val="00002893"/>
    <w:rsid w:val="00002BD9"/>
    <w:rsid w:val="000033A3"/>
    <w:rsid w:val="00003605"/>
    <w:rsid w:val="00003C56"/>
    <w:rsid w:val="00003EC2"/>
    <w:rsid w:val="000040A9"/>
    <w:rsid w:val="0000458E"/>
    <w:rsid w:val="00004E70"/>
    <w:rsid w:val="00005BE7"/>
    <w:rsid w:val="00006D2D"/>
    <w:rsid w:val="000072B6"/>
    <w:rsid w:val="00007813"/>
    <w:rsid w:val="0001087E"/>
    <w:rsid w:val="000109E6"/>
    <w:rsid w:val="000115E7"/>
    <w:rsid w:val="00011F67"/>
    <w:rsid w:val="00012862"/>
    <w:rsid w:val="000128E6"/>
    <w:rsid w:val="00013B1D"/>
    <w:rsid w:val="0001466F"/>
    <w:rsid w:val="00015CDF"/>
    <w:rsid w:val="00015E48"/>
    <w:rsid w:val="00015EA4"/>
    <w:rsid w:val="00015EFB"/>
    <w:rsid w:val="000165E2"/>
    <w:rsid w:val="000172BE"/>
    <w:rsid w:val="00017D8A"/>
    <w:rsid w:val="000225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65DD"/>
    <w:rsid w:val="00037253"/>
    <w:rsid w:val="0004023E"/>
    <w:rsid w:val="0004024B"/>
    <w:rsid w:val="00040504"/>
    <w:rsid w:val="000419B8"/>
    <w:rsid w:val="00041C57"/>
    <w:rsid w:val="00042421"/>
    <w:rsid w:val="000434B7"/>
    <w:rsid w:val="000435E4"/>
    <w:rsid w:val="00046796"/>
    <w:rsid w:val="000467FD"/>
    <w:rsid w:val="00046820"/>
    <w:rsid w:val="00046AAF"/>
    <w:rsid w:val="00047225"/>
    <w:rsid w:val="0004728D"/>
    <w:rsid w:val="00047E60"/>
    <w:rsid w:val="0005029F"/>
    <w:rsid w:val="00052AD2"/>
    <w:rsid w:val="000530DF"/>
    <w:rsid w:val="00054E0C"/>
    <w:rsid w:val="0005541D"/>
    <w:rsid w:val="000565C8"/>
    <w:rsid w:val="00057C12"/>
    <w:rsid w:val="00057D40"/>
    <w:rsid w:val="00057DC8"/>
    <w:rsid w:val="000612E1"/>
    <w:rsid w:val="000614FE"/>
    <w:rsid w:val="00061512"/>
    <w:rsid w:val="0006408F"/>
    <w:rsid w:val="00064EE7"/>
    <w:rsid w:val="00065D38"/>
    <w:rsid w:val="0006619C"/>
    <w:rsid w:val="00067DD1"/>
    <w:rsid w:val="00070447"/>
    <w:rsid w:val="000706E7"/>
    <w:rsid w:val="00070E82"/>
    <w:rsid w:val="00070EF8"/>
    <w:rsid w:val="00071101"/>
    <w:rsid w:val="00071192"/>
    <w:rsid w:val="000713A7"/>
    <w:rsid w:val="00072A80"/>
    <w:rsid w:val="000731A0"/>
    <w:rsid w:val="000736C1"/>
    <w:rsid w:val="00073797"/>
    <w:rsid w:val="00073DEC"/>
    <w:rsid w:val="000745AA"/>
    <w:rsid w:val="00074E86"/>
    <w:rsid w:val="00075439"/>
    <w:rsid w:val="00075F46"/>
    <w:rsid w:val="00076097"/>
    <w:rsid w:val="00076541"/>
    <w:rsid w:val="000772F4"/>
    <w:rsid w:val="000776EB"/>
    <w:rsid w:val="00080259"/>
    <w:rsid w:val="000803E1"/>
    <w:rsid w:val="000823B0"/>
    <w:rsid w:val="00082C7C"/>
    <w:rsid w:val="0008335B"/>
    <w:rsid w:val="00083379"/>
    <w:rsid w:val="00083587"/>
    <w:rsid w:val="00083838"/>
    <w:rsid w:val="00083B6A"/>
    <w:rsid w:val="00083F0D"/>
    <w:rsid w:val="0008553F"/>
    <w:rsid w:val="00085706"/>
    <w:rsid w:val="00085E04"/>
    <w:rsid w:val="00086800"/>
    <w:rsid w:val="00086D56"/>
    <w:rsid w:val="00087913"/>
    <w:rsid w:val="000902DC"/>
    <w:rsid w:val="000911AE"/>
    <w:rsid w:val="000914AD"/>
    <w:rsid w:val="0009226D"/>
    <w:rsid w:val="000933C7"/>
    <w:rsid w:val="00093697"/>
    <w:rsid w:val="00093D42"/>
    <w:rsid w:val="00093DD0"/>
    <w:rsid w:val="0009452C"/>
    <w:rsid w:val="00094A16"/>
    <w:rsid w:val="00094DE6"/>
    <w:rsid w:val="00096356"/>
    <w:rsid w:val="00097313"/>
    <w:rsid w:val="00097A76"/>
    <w:rsid w:val="00097C99"/>
    <w:rsid w:val="000A0F14"/>
    <w:rsid w:val="000A1441"/>
    <w:rsid w:val="000A1963"/>
    <w:rsid w:val="000A1A06"/>
    <w:rsid w:val="000A1B60"/>
    <w:rsid w:val="000A21B4"/>
    <w:rsid w:val="000A24B9"/>
    <w:rsid w:val="000A2CC7"/>
    <w:rsid w:val="000A2ED6"/>
    <w:rsid w:val="000A4205"/>
    <w:rsid w:val="000A4A19"/>
    <w:rsid w:val="000A6351"/>
    <w:rsid w:val="000A63D6"/>
    <w:rsid w:val="000A7B38"/>
    <w:rsid w:val="000B0343"/>
    <w:rsid w:val="000B1B4F"/>
    <w:rsid w:val="000B20D7"/>
    <w:rsid w:val="000B28A8"/>
    <w:rsid w:val="000B2985"/>
    <w:rsid w:val="000B2C88"/>
    <w:rsid w:val="000B3342"/>
    <w:rsid w:val="000B3470"/>
    <w:rsid w:val="000B3F32"/>
    <w:rsid w:val="000B51FA"/>
    <w:rsid w:val="000B5905"/>
    <w:rsid w:val="000B5975"/>
    <w:rsid w:val="000B5B86"/>
    <w:rsid w:val="000B6BFB"/>
    <w:rsid w:val="000B6D59"/>
    <w:rsid w:val="000B6E2C"/>
    <w:rsid w:val="000B76C5"/>
    <w:rsid w:val="000B7A10"/>
    <w:rsid w:val="000B7A54"/>
    <w:rsid w:val="000C05F8"/>
    <w:rsid w:val="000C0A20"/>
    <w:rsid w:val="000C115D"/>
    <w:rsid w:val="000C1535"/>
    <w:rsid w:val="000C2146"/>
    <w:rsid w:val="000C2406"/>
    <w:rsid w:val="000C252B"/>
    <w:rsid w:val="000C2FBD"/>
    <w:rsid w:val="000C30EA"/>
    <w:rsid w:val="000C363B"/>
    <w:rsid w:val="000C3B0C"/>
    <w:rsid w:val="000C422D"/>
    <w:rsid w:val="000C5F91"/>
    <w:rsid w:val="000C6025"/>
    <w:rsid w:val="000C62F3"/>
    <w:rsid w:val="000C6326"/>
    <w:rsid w:val="000C636C"/>
    <w:rsid w:val="000C6883"/>
    <w:rsid w:val="000C7FF0"/>
    <w:rsid w:val="000D04E7"/>
    <w:rsid w:val="000D0506"/>
    <w:rsid w:val="000D0565"/>
    <w:rsid w:val="000D0E4E"/>
    <w:rsid w:val="000D113C"/>
    <w:rsid w:val="000D12D1"/>
    <w:rsid w:val="000D159A"/>
    <w:rsid w:val="000D1796"/>
    <w:rsid w:val="000D2249"/>
    <w:rsid w:val="000D22CC"/>
    <w:rsid w:val="000D31A5"/>
    <w:rsid w:val="000D3310"/>
    <w:rsid w:val="000D36AE"/>
    <w:rsid w:val="000D38A1"/>
    <w:rsid w:val="000D4C4E"/>
    <w:rsid w:val="000D5077"/>
    <w:rsid w:val="000D5362"/>
    <w:rsid w:val="000D57F8"/>
    <w:rsid w:val="000D5851"/>
    <w:rsid w:val="000D5C60"/>
    <w:rsid w:val="000D62C1"/>
    <w:rsid w:val="000D71E2"/>
    <w:rsid w:val="000D73A5"/>
    <w:rsid w:val="000E07D6"/>
    <w:rsid w:val="000E1380"/>
    <w:rsid w:val="000E18DF"/>
    <w:rsid w:val="000E2D4F"/>
    <w:rsid w:val="000E38B5"/>
    <w:rsid w:val="000E59A0"/>
    <w:rsid w:val="000E61C1"/>
    <w:rsid w:val="000E7A84"/>
    <w:rsid w:val="000F15BC"/>
    <w:rsid w:val="000F180A"/>
    <w:rsid w:val="000F1C92"/>
    <w:rsid w:val="000F2EEE"/>
    <w:rsid w:val="000F3697"/>
    <w:rsid w:val="000F6DDD"/>
    <w:rsid w:val="000F7F58"/>
    <w:rsid w:val="00100128"/>
    <w:rsid w:val="0010098D"/>
    <w:rsid w:val="00100FF3"/>
    <w:rsid w:val="001026CA"/>
    <w:rsid w:val="00102E2D"/>
    <w:rsid w:val="001043C2"/>
    <w:rsid w:val="001043E1"/>
    <w:rsid w:val="0010505A"/>
    <w:rsid w:val="0010558F"/>
    <w:rsid w:val="00105CC7"/>
    <w:rsid w:val="001073B0"/>
    <w:rsid w:val="00107779"/>
    <w:rsid w:val="001078C2"/>
    <w:rsid w:val="00107E1C"/>
    <w:rsid w:val="00110243"/>
    <w:rsid w:val="00110D31"/>
    <w:rsid w:val="001111B9"/>
    <w:rsid w:val="001112C4"/>
    <w:rsid w:val="001113F2"/>
    <w:rsid w:val="00111444"/>
    <w:rsid w:val="00111723"/>
    <w:rsid w:val="001129B5"/>
    <w:rsid w:val="00113E39"/>
    <w:rsid w:val="001141E3"/>
    <w:rsid w:val="001144DF"/>
    <w:rsid w:val="00114E9A"/>
    <w:rsid w:val="0011557B"/>
    <w:rsid w:val="00116409"/>
    <w:rsid w:val="001173CD"/>
    <w:rsid w:val="00117C85"/>
    <w:rsid w:val="001201E1"/>
    <w:rsid w:val="00120406"/>
    <w:rsid w:val="00120B13"/>
    <w:rsid w:val="00121722"/>
    <w:rsid w:val="00124D84"/>
    <w:rsid w:val="001250DD"/>
    <w:rsid w:val="00125733"/>
    <w:rsid w:val="001257CA"/>
    <w:rsid w:val="001263AA"/>
    <w:rsid w:val="001269D1"/>
    <w:rsid w:val="00126D4F"/>
    <w:rsid w:val="001303CD"/>
    <w:rsid w:val="00130779"/>
    <w:rsid w:val="001307A1"/>
    <w:rsid w:val="001321D3"/>
    <w:rsid w:val="001333AD"/>
    <w:rsid w:val="00133599"/>
    <w:rsid w:val="00133BF7"/>
    <w:rsid w:val="00134B88"/>
    <w:rsid w:val="0013566C"/>
    <w:rsid w:val="00136A23"/>
    <w:rsid w:val="00136B99"/>
    <w:rsid w:val="00136D2A"/>
    <w:rsid w:val="0014063E"/>
    <w:rsid w:val="0014087D"/>
    <w:rsid w:val="00140F74"/>
    <w:rsid w:val="00141191"/>
    <w:rsid w:val="0014159C"/>
    <w:rsid w:val="00142665"/>
    <w:rsid w:val="0014384A"/>
    <w:rsid w:val="0014450F"/>
    <w:rsid w:val="00144D8F"/>
    <w:rsid w:val="00145C74"/>
    <w:rsid w:val="001462E9"/>
    <w:rsid w:val="00146849"/>
    <w:rsid w:val="00146E32"/>
    <w:rsid w:val="00147A8E"/>
    <w:rsid w:val="00150959"/>
    <w:rsid w:val="00151619"/>
    <w:rsid w:val="00151ED6"/>
    <w:rsid w:val="00152835"/>
    <w:rsid w:val="00153557"/>
    <w:rsid w:val="00153D4E"/>
    <w:rsid w:val="00153DC9"/>
    <w:rsid w:val="001546D0"/>
    <w:rsid w:val="00155508"/>
    <w:rsid w:val="001559FA"/>
    <w:rsid w:val="00156374"/>
    <w:rsid w:val="0015737C"/>
    <w:rsid w:val="001577D8"/>
    <w:rsid w:val="001579F1"/>
    <w:rsid w:val="00157FC3"/>
    <w:rsid w:val="00160739"/>
    <w:rsid w:val="00161B2A"/>
    <w:rsid w:val="00162435"/>
    <w:rsid w:val="0016249F"/>
    <w:rsid w:val="0016271E"/>
    <w:rsid w:val="00162D7A"/>
    <w:rsid w:val="001645E3"/>
    <w:rsid w:val="00164DAB"/>
    <w:rsid w:val="0016555A"/>
    <w:rsid w:val="001657E0"/>
    <w:rsid w:val="00165BBB"/>
    <w:rsid w:val="0016613F"/>
    <w:rsid w:val="00166215"/>
    <w:rsid w:val="00166591"/>
    <w:rsid w:val="001706B6"/>
    <w:rsid w:val="00171143"/>
    <w:rsid w:val="00172864"/>
    <w:rsid w:val="00172B82"/>
    <w:rsid w:val="00172EFA"/>
    <w:rsid w:val="00173608"/>
    <w:rsid w:val="001745EC"/>
    <w:rsid w:val="001747B7"/>
    <w:rsid w:val="00175C30"/>
    <w:rsid w:val="00176822"/>
    <w:rsid w:val="0017693D"/>
    <w:rsid w:val="00177069"/>
    <w:rsid w:val="00177FC1"/>
    <w:rsid w:val="001815A2"/>
    <w:rsid w:val="00181FC1"/>
    <w:rsid w:val="0018270D"/>
    <w:rsid w:val="00183034"/>
    <w:rsid w:val="001830F7"/>
    <w:rsid w:val="00183EE6"/>
    <w:rsid w:val="0018588A"/>
    <w:rsid w:val="00186229"/>
    <w:rsid w:val="00187252"/>
    <w:rsid w:val="00191C91"/>
    <w:rsid w:val="001923F6"/>
    <w:rsid w:val="00192D24"/>
    <w:rsid w:val="00192DD9"/>
    <w:rsid w:val="0019346F"/>
    <w:rsid w:val="001941A7"/>
    <w:rsid w:val="00194339"/>
    <w:rsid w:val="00194848"/>
    <w:rsid w:val="00194967"/>
    <w:rsid w:val="00194C70"/>
    <w:rsid w:val="001958EA"/>
    <w:rsid w:val="00195E0E"/>
    <w:rsid w:val="001960DA"/>
    <w:rsid w:val="001A122F"/>
    <w:rsid w:val="001A180D"/>
    <w:rsid w:val="001A1BAC"/>
    <w:rsid w:val="001A23CE"/>
    <w:rsid w:val="001A2C89"/>
    <w:rsid w:val="001A3E37"/>
    <w:rsid w:val="001A3FC4"/>
    <w:rsid w:val="001A673E"/>
    <w:rsid w:val="001A7763"/>
    <w:rsid w:val="001B0DFC"/>
    <w:rsid w:val="001B158E"/>
    <w:rsid w:val="001B29D1"/>
    <w:rsid w:val="001B3964"/>
    <w:rsid w:val="001B4452"/>
    <w:rsid w:val="001B466C"/>
    <w:rsid w:val="001B4A49"/>
    <w:rsid w:val="001B4F34"/>
    <w:rsid w:val="001B52EC"/>
    <w:rsid w:val="001B5498"/>
    <w:rsid w:val="001B554A"/>
    <w:rsid w:val="001B6564"/>
    <w:rsid w:val="001B691A"/>
    <w:rsid w:val="001C02D8"/>
    <w:rsid w:val="001C04E3"/>
    <w:rsid w:val="001C0824"/>
    <w:rsid w:val="001C0B61"/>
    <w:rsid w:val="001C230D"/>
    <w:rsid w:val="001C2378"/>
    <w:rsid w:val="001C2609"/>
    <w:rsid w:val="001C385D"/>
    <w:rsid w:val="001C3EE9"/>
    <w:rsid w:val="001C3FA4"/>
    <w:rsid w:val="001C40F9"/>
    <w:rsid w:val="001C458B"/>
    <w:rsid w:val="001C5D4F"/>
    <w:rsid w:val="001C64C0"/>
    <w:rsid w:val="001C69DA"/>
    <w:rsid w:val="001C6F06"/>
    <w:rsid w:val="001D1458"/>
    <w:rsid w:val="001D2360"/>
    <w:rsid w:val="001D27AB"/>
    <w:rsid w:val="001D2D99"/>
    <w:rsid w:val="001D3109"/>
    <w:rsid w:val="001D332E"/>
    <w:rsid w:val="001D3C80"/>
    <w:rsid w:val="001D5033"/>
    <w:rsid w:val="001D5C88"/>
    <w:rsid w:val="001D6567"/>
    <w:rsid w:val="001D695C"/>
    <w:rsid w:val="001D6FD9"/>
    <w:rsid w:val="001D780E"/>
    <w:rsid w:val="001E05C3"/>
    <w:rsid w:val="001E0AD3"/>
    <w:rsid w:val="001E32A1"/>
    <w:rsid w:val="001E332C"/>
    <w:rsid w:val="001E36E4"/>
    <w:rsid w:val="001E379D"/>
    <w:rsid w:val="001E3A3C"/>
    <w:rsid w:val="001E5C23"/>
    <w:rsid w:val="001E6B99"/>
    <w:rsid w:val="001E6EC5"/>
    <w:rsid w:val="001E7504"/>
    <w:rsid w:val="001E76DF"/>
    <w:rsid w:val="001F006B"/>
    <w:rsid w:val="001F1308"/>
    <w:rsid w:val="001F1525"/>
    <w:rsid w:val="001F17CC"/>
    <w:rsid w:val="001F1E87"/>
    <w:rsid w:val="001F1EB6"/>
    <w:rsid w:val="001F2E23"/>
    <w:rsid w:val="001F341F"/>
    <w:rsid w:val="001F3911"/>
    <w:rsid w:val="001F3F1A"/>
    <w:rsid w:val="001F488E"/>
    <w:rsid w:val="001F4CBD"/>
    <w:rsid w:val="001F5545"/>
    <w:rsid w:val="001F5777"/>
    <w:rsid w:val="001F5937"/>
    <w:rsid w:val="001F59E3"/>
    <w:rsid w:val="001F59ED"/>
    <w:rsid w:val="001F7121"/>
    <w:rsid w:val="001F72D2"/>
    <w:rsid w:val="00200D2C"/>
    <w:rsid w:val="00201109"/>
    <w:rsid w:val="002019D8"/>
    <w:rsid w:val="00201EC7"/>
    <w:rsid w:val="0020349A"/>
    <w:rsid w:val="002034B4"/>
    <w:rsid w:val="00204032"/>
    <w:rsid w:val="00204BAD"/>
    <w:rsid w:val="00204D60"/>
    <w:rsid w:val="00205627"/>
    <w:rsid w:val="002056D0"/>
    <w:rsid w:val="00210860"/>
    <w:rsid w:val="00210B6A"/>
    <w:rsid w:val="00212CB6"/>
    <w:rsid w:val="00212E37"/>
    <w:rsid w:val="002132F0"/>
    <w:rsid w:val="002136F8"/>
    <w:rsid w:val="002140FF"/>
    <w:rsid w:val="002176A5"/>
    <w:rsid w:val="002201AF"/>
    <w:rsid w:val="0022051A"/>
    <w:rsid w:val="00220894"/>
    <w:rsid w:val="00221738"/>
    <w:rsid w:val="00222EF2"/>
    <w:rsid w:val="00224952"/>
    <w:rsid w:val="00224DD2"/>
    <w:rsid w:val="00224DDE"/>
    <w:rsid w:val="00225A6A"/>
    <w:rsid w:val="00225AC7"/>
    <w:rsid w:val="00225ACC"/>
    <w:rsid w:val="0022769C"/>
    <w:rsid w:val="0023040F"/>
    <w:rsid w:val="002308B5"/>
    <w:rsid w:val="00231C25"/>
    <w:rsid w:val="00231C6F"/>
    <w:rsid w:val="00232A90"/>
    <w:rsid w:val="00234151"/>
    <w:rsid w:val="00234F8C"/>
    <w:rsid w:val="00235542"/>
    <w:rsid w:val="002369B0"/>
    <w:rsid w:val="00236AD8"/>
    <w:rsid w:val="002401F5"/>
    <w:rsid w:val="00240E54"/>
    <w:rsid w:val="002413D2"/>
    <w:rsid w:val="0024502B"/>
    <w:rsid w:val="002451C5"/>
    <w:rsid w:val="00245F1F"/>
    <w:rsid w:val="0024606C"/>
    <w:rsid w:val="0024663B"/>
    <w:rsid w:val="00247103"/>
    <w:rsid w:val="00250067"/>
    <w:rsid w:val="002501CA"/>
    <w:rsid w:val="002516DE"/>
    <w:rsid w:val="00251BFF"/>
    <w:rsid w:val="00251C29"/>
    <w:rsid w:val="00251F81"/>
    <w:rsid w:val="00252BE0"/>
    <w:rsid w:val="00253588"/>
    <w:rsid w:val="002546F4"/>
    <w:rsid w:val="002548D5"/>
    <w:rsid w:val="00254EF6"/>
    <w:rsid w:val="00255179"/>
    <w:rsid w:val="002551D0"/>
    <w:rsid w:val="00255374"/>
    <w:rsid w:val="00257650"/>
    <w:rsid w:val="00257885"/>
    <w:rsid w:val="00257BF4"/>
    <w:rsid w:val="00260003"/>
    <w:rsid w:val="0026035D"/>
    <w:rsid w:val="002606D6"/>
    <w:rsid w:val="00261C98"/>
    <w:rsid w:val="00261C99"/>
    <w:rsid w:val="0026248E"/>
    <w:rsid w:val="00262914"/>
    <w:rsid w:val="00263444"/>
    <w:rsid w:val="002647BF"/>
    <w:rsid w:val="002647D5"/>
    <w:rsid w:val="00265032"/>
    <w:rsid w:val="002651FB"/>
    <w:rsid w:val="0026538C"/>
    <w:rsid w:val="00265781"/>
    <w:rsid w:val="00266AC5"/>
    <w:rsid w:val="00266B13"/>
    <w:rsid w:val="002678DC"/>
    <w:rsid w:val="0027046D"/>
    <w:rsid w:val="00270728"/>
    <w:rsid w:val="00270D42"/>
    <w:rsid w:val="0027195D"/>
    <w:rsid w:val="00272B03"/>
    <w:rsid w:val="002733E2"/>
    <w:rsid w:val="002750B1"/>
    <w:rsid w:val="002751D6"/>
    <w:rsid w:val="00276A35"/>
    <w:rsid w:val="00277835"/>
    <w:rsid w:val="00277DF0"/>
    <w:rsid w:val="00280AB1"/>
    <w:rsid w:val="00283800"/>
    <w:rsid w:val="00283EA1"/>
    <w:rsid w:val="00284BAE"/>
    <w:rsid w:val="0028533F"/>
    <w:rsid w:val="002859AF"/>
    <w:rsid w:val="00285CEF"/>
    <w:rsid w:val="00286AE7"/>
    <w:rsid w:val="00286EF8"/>
    <w:rsid w:val="00287243"/>
    <w:rsid w:val="00290647"/>
    <w:rsid w:val="00291385"/>
    <w:rsid w:val="00291422"/>
    <w:rsid w:val="002917F5"/>
    <w:rsid w:val="0029237F"/>
    <w:rsid w:val="00292715"/>
    <w:rsid w:val="00293E57"/>
    <w:rsid w:val="002947D1"/>
    <w:rsid w:val="002948DF"/>
    <w:rsid w:val="00294D90"/>
    <w:rsid w:val="002959C8"/>
    <w:rsid w:val="00296C94"/>
    <w:rsid w:val="002A1E92"/>
    <w:rsid w:val="002A204D"/>
    <w:rsid w:val="002A2616"/>
    <w:rsid w:val="002A26E1"/>
    <w:rsid w:val="002A368A"/>
    <w:rsid w:val="002A3D76"/>
    <w:rsid w:val="002A4065"/>
    <w:rsid w:val="002A4C1A"/>
    <w:rsid w:val="002A59F0"/>
    <w:rsid w:val="002A6432"/>
    <w:rsid w:val="002A6F25"/>
    <w:rsid w:val="002A6FD3"/>
    <w:rsid w:val="002A7B07"/>
    <w:rsid w:val="002B01CE"/>
    <w:rsid w:val="002B0A7D"/>
    <w:rsid w:val="002B0F61"/>
    <w:rsid w:val="002B1A69"/>
    <w:rsid w:val="002B2723"/>
    <w:rsid w:val="002B303A"/>
    <w:rsid w:val="002B538E"/>
    <w:rsid w:val="002B570B"/>
    <w:rsid w:val="002B5DCA"/>
    <w:rsid w:val="002B6521"/>
    <w:rsid w:val="002B6BDC"/>
    <w:rsid w:val="002B7232"/>
    <w:rsid w:val="002B75B0"/>
    <w:rsid w:val="002B7EAF"/>
    <w:rsid w:val="002C099C"/>
    <w:rsid w:val="002C0B74"/>
    <w:rsid w:val="002C0C8B"/>
    <w:rsid w:val="002C0CBB"/>
    <w:rsid w:val="002C1201"/>
    <w:rsid w:val="002C1460"/>
    <w:rsid w:val="002C18EF"/>
    <w:rsid w:val="002C20F2"/>
    <w:rsid w:val="002C38B2"/>
    <w:rsid w:val="002C3F9C"/>
    <w:rsid w:val="002C5AFA"/>
    <w:rsid w:val="002C5FBF"/>
    <w:rsid w:val="002C60CF"/>
    <w:rsid w:val="002C6A9C"/>
    <w:rsid w:val="002D0439"/>
    <w:rsid w:val="002D0E15"/>
    <w:rsid w:val="002D11B7"/>
    <w:rsid w:val="002D33AF"/>
    <w:rsid w:val="002D3BBC"/>
    <w:rsid w:val="002D438A"/>
    <w:rsid w:val="002D5738"/>
    <w:rsid w:val="002D5E53"/>
    <w:rsid w:val="002D7202"/>
    <w:rsid w:val="002D7F06"/>
    <w:rsid w:val="002E0319"/>
    <w:rsid w:val="002E179B"/>
    <w:rsid w:val="002E1C55"/>
    <w:rsid w:val="002E1C9E"/>
    <w:rsid w:val="002E257B"/>
    <w:rsid w:val="002E2592"/>
    <w:rsid w:val="002E31BB"/>
    <w:rsid w:val="002E3C65"/>
    <w:rsid w:val="002E3F5B"/>
    <w:rsid w:val="002E4362"/>
    <w:rsid w:val="002E4DCE"/>
    <w:rsid w:val="002E63D9"/>
    <w:rsid w:val="002E640E"/>
    <w:rsid w:val="002F0C28"/>
    <w:rsid w:val="002F14F4"/>
    <w:rsid w:val="002F3CDE"/>
    <w:rsid w:val="002F4693"/>
    <w:rsid w:val="002F5DD6"/>
    <w:rsid w:val="002F5FEA"/>
    <w:rsid w:val="002F63E7"/>
    <w:rsid w:val="002F69E8"/>
    <w:rsid w:val="002F7BE3"/>
    <w:rsid w:val="002F7E5B"/>
    <w:rsid w:val="002F7E6A"/>
    <w:rsid w:val="00300165"/>
    <w:rsid w:val="003010CF"/>
    <w:rsid w:val="0030199F"/>
    <w:rsid w:val="0030272C"/>
    <w:rsid w:val="00303440"/>
    <w:rsid w:val="00303EDD"/>
    <w:rsid w:val="00304D9B"/>
    <w:rsid w:val="00305366"/>
    <w:rsid w:val="00305FF9"/>
    <w:rsid w:val="00306E6B"/>
    <w:rsid w:val="003100C8"/>
    <w:rsid w:val="0031079F"/>
    <w:rsid w:val="00311161"/>
    <w:rsid w:val="00312400"/>
    <w:rsid w:val="00312739"/>
    <w:rsid w:val="00312D10"/>
    <w:rsid w:val="00314080"/>
    <w:rsid w:val="0031417D"/>
    <w:rsid w:val="00314AF3"/>
    <w:rsid w:val="00316C39"/>
    <w:rsid w:val="003178DA"/>
    <w:rsid w:val="00317DB8"/>
    <w:rsid w:val="003205FB"/>
    <w:rsid w:val="00320618"/>
    <w:rsid w:val="00320CC6"/>
    <w:rsid w:val="0032100B"/>
    <w:rsid w:val="003211E3"/>
    <w:rsid w:val="00321BD7"/>
    <w:rsid w:val="00322514"/>
    <w:rsid w:val="0032260F"/>
    <w:rsid w:val="003228DA"/>
    <w:rsid w:val="00322A35"/>
    <w:rsid w:val="00322CD8"/>
    <w:rsid w:val="00322E93"/>
    <w:rsid w:val="00323D6B"/>
    <w:rsid w:val="00324907"/>
    <w:rsid w:val="00326957"/>
    <w:rsid w:val="00326AE2"/>
    <w:rsid w:val="003271DD"/>
    <w:rsid w:val="00330521"/>
    <w:rsid w:val="00330E36"/>
    <w:rsid w:val="00331426"/>
    <w:rsid w:val="0033171D"/>
    <w:rsid w:val="00331FC3"/>
    <w:rsid w:val="003336B3"/>
    <w:rsid w:val="00335484"/>
    <w:rsid w:val="00335B75"/>
    <w:rsid w:val="00335BD0"/>
    <w:rsid w:val="00335D8C"/>
    <w:rsid w:val="00336072"/>
    <w:rsid w:val="003363A1"/>
    <w:rsid w:val="0034226D"/>
    <w:rsid w:val="00342728"/>
    <w:rsid w:val="0034296C"/>
    <w:rsid w:val="00342972"/>
    <w:rsid w:val="00342FDD"/>
    <w:rsid w:val="00343B9D"/>
    <w:rsid w:val="00343FC4"/>
    <w:rsid w:val="0034429B"/>
    <w:rsid w:val="00344866"/>
    <w:rsid w:val="00344F05"/>
    <w:rsid w:val="0034531E"/>
    <w:rsid w:val="0034638C"/>
    <w:rsid w:val="00346E11"/>
    <w:rsid w:val="00346F7F"/>
    <w:rsid w:val="00350108"/>
    <w:rsid w:val="00350762"/>
    <w:rsid w:val="003507C4"/>
    <w:rsid w:val="00350A17"/>
    <w:rsid w:val="003519A1"/>
    <w:rsid w:val="00352480"/>
    <w:rsid w:val="003530D2"/>
    <w:rsid w:val="0035331A"/>
    <w:rsid w:val="003534E1"/>
    <w:rsid w:val="00353632"/>
    <w:rsid w:val="003546D2"/>
    <w:rsid w:val="003548D8"/>
    <w:rsid w:val="003554CA"/>
    <w:rsid w:val="0035788A"/>
    <w:rsid w:val="00360232"/>
    <w:rsid w:val="003602E0"/>
    <w:rsid w:val="00360D01"/>
    <w:rsid w:val="00361BBC"/>
    <w:rsid w:val="00362569"/>
    <w:rsid w:val="00363472"/>
    <w:rsid w:val="003636CD"/>
    <w:rsid w:val="003637B3"/>
    <w:rsid w:val="0036487C"/>
    <w:rsid w:val="00365411"/>
    <w:rsid w:val="00365FA2"/>
    <w:rsid w:val="00366BA7"/>
    <w:rsid w:val="00366C69"/>
    <w:rsid w:val="00367441"/>
    <w:rsid w:val="00367B1D"/>
    <w:rsid w:val="00370605"/>
    <w:rsid w:val="00370E4F"/>
    <w:rsid w:val="00371215"/>
    <w:rsid w:val="00372F0D"/>
    <w:rsid w:val="00373B5E"/>
    <w:rsid w:val="00374059"/>
    <w:rsid w:val="0037535B"/>
    <w:rsid w:val="0037552D"/>
    <w:rsid w:val="003756DB"/>
    <w:rsid w:val="003759E0"/>
    <w:rsid w:val="003770BB"/>
    <w:rsid w:val="0037771A"/>
    <w:rsid w:val="00377F23"/>
    <w:rsid w:val="003802DC"/>
    <w:rsid w:val="00380E13"/>
    <w:rsid w:val="00380E4E"/>
    <w:rsid w:val="00380FBF"/>
    <w:rsid w:val="003829C9"/>
    <w:rsid w:val="00382A43"/>
    <w:rsid w:val="00382D60"/>
    <w:rsid w:val="00382F29"/>
    <w:rsid w:val="00383C8D"/>
    <w:rsid w:val="003852FB"/>
    <w:rsid w:val="00385429"/>
    <w:rsid w:val="00385B05"/>
    <w:rsid w:val="00385F8F"/>
    <w:rsid w:val="00386382"/>
    <w:rsid w:val="003865EF"/>
    <w:rsid w:val="00386BA9"/>
    <w:rsid w:val="00390017"/>
    <w:rsid w:val="003901A3"/>
    <w:rsid w:val="0039072F"/>
    <w:rsid w:val="00392F2E"/>
    <w:rsid w:val="003940CE"/>
    <w:rsid w:val="00396A07"/>
    <w:rsid w:val="00397C1D"/>
    <w:rsid w:val="00397C38"/>
    <w:rsid w:val="003A180F"/>
    <w:rsid w:val="003A18DD"/>
    <w:rsid w:val="003A1D12"/>
    <w:rsid w:val="003A20C8"/>
    <w:rsid w:val="003A255C"/>
    <w:rsid w:val="003A2C29"/>
    <w:rsid w:val="003A2EC3"/>
    <w:rsid w:val="003A36F2"/>
    <w:rsid w:val="003A3D39"/>
    <w:rsid w:val="003A3EC7"/>
    <w:rsid w:val="003A40B4"/>
    <w:rsid w:val="003A52DB"/>
    <w:rsid w:val="003A7834"/>
    <w:rsid w:val="003B0B5B"/>
    <w:rsid w:val="003B0E79"/>
    <w:rsid w:val="003B22EC"/>
    <w:rsid w:val="003B3575"/>
    <w:rsid w:val="003B50BC"/>
    <w:rsid w:val="003B5C14"/>
    <w:rsid w:val="003B5D97"/>
    <w:rsid w:val="003B63A4"/>
    <w:rsid w:val="003B68FE"/>
    <w:rsid w:val="003B6B6C"/>
    <w:rsid w:val="003B6D7D"/>
    <w:rsid w:val="003B7D7E"/>
    <w:rsid w:val="003C0682"/>
    <w:rsid w:val="003C1012"/>
    <w:rsid w:val="003C11C9"/>
    <w:rsid w:val="003C1229"/>
    <w:rsid w:val="003C1FCA"/>
    <w:rsid w:val="003C1FD4"/>
    <w:rsid w:val="003C213D"/>
    <w:rsid w:val="003C25AD"/>
    <w:rsid w:val="003C2D21"/>
    <w:rsid w:val="003C3D3A"/>
    <w:rsid w:val="003C5E6B"/>
    <w:rsid w:val="003C7AD7"/>
    <w:rsid w:val="003D0FC3"/>
    <w:rsid w:val="003D190E"/>
    <w:rsid w:val="003D2B79"/>
    <w:rsid w:val="003D2C1D"/>
    <w:rsid w:val="003D2C34"/>
    <w:rsid w:val="003D2D5C"/>
    <w:rsid w:val="003D3DDD"/>
    <w:rsid w:val="003D52BF"/>
    <w:rsid w:val="003D5CBF"/>
    <w:rsid w:val="003D66D2"/>
    <w:rsid w:val="003D6E0D"/>
    <w:rsid w:val="003E039B"/>
    <w:rsid w:val="003E07AE"/>
    <w:rsid w:val="003E09FD"/>
    <w:rsid w:val="003E14FC"/>
    <w:rsid w:val="003E2976"/>
    <w:rsid w:val="003E4858"/>
    <w:rsid w:val="003E6316"/>
    <w:rsid w:val="003E6762"/>
    <w:rsid w:val="003E6884"/>
    <w:rsid w:val="003E6AC5"/>
    <w:rsid w:val="003E6D34"/>
    <w:rsid w:val="003E72E9"/>
    <w:rsid w:val="003F0096"/>
    <w:rsid w:val="003F05BC"/>
    <w:rsid w:val="003F0850"/>
    <w:rsid w:val="003F0D12"/>
    <w:rsid w:val="003F160C"/>
    <w:rsid w:val="003F324F"/>
    <w:rsid w:val="003F33BC"/>
    <w:rsid w:val="003F3D4E"/>
    <w:rsid w:val="003F477E"/>
    <w:rsid w:val="003F4DE1"/>
    <w:rsid w:val="003F5C37"/>
    <w:rsid w:val="003F66E8"/>
    <w:rsid w:val="003F6CD2"/>
    <w:rsid w:val="003F788D"/>
    <w:rsid w:val="00400374"/>
    <w:rsid w:val="0040126E"/>
    <w:rsid w:val="004020D4"/>
    <w:rsid w:val="004021B6"/>
    <w:rsid w:val="00403049"/>
    <w:rsid w:val="004047C4"/>
    <w:rsid w:val="004055F2"/>
    <w:rsid w:val="0040570B"/>
    <w:rsid w:val="00405C11"/>
    <w:rsid w:val="00405EDB"/>
    <w:rsid w:val="00405FB1"/>
    <w:rsid w:val="00406460"/>
    <w:rsid w:val="0040746E"/>
    <w:rsid w:val="00407F1B"/>
    <w:rsid w:val="004100F1"/>
    <w:rsid w:val="00410123"/>
    <w:rsid w:val="004107BD"/>
    <w:rsid w:val="00410877"/>
    <w:rsid w:val="004111A5"/>
    <w:rsid w:val="00412461"/>
    <w:rsid w:val="004124F4"/>
    <w:rsid w:val="00412546"/>
    <w:rsid w:val="004125B6"/>
    <w:rsid w:val="00413053"/>
    <w:rsid w:val="0041319C"/>
    <w:rsid w:val="004137B6"/>
    <w:rsid w:val="00413A54"/>
    <w:rsid w:val="00413C10"/>
    <w:rsid w:val="00413CD9"/>
    <w:rsid w:val="00413F9A"/>
    <w:rsid w:val="004140CA"/>
    <w:rsid w:val="00414C65"/>
    <w:rsid w:val="00414CDD"/>
    <w:rsid w:val="00415D76"/>
    <w:rsid w:val="00416665"/>
    <w:rsid w:val="00416A67"/>
    <w:rsid w:val="00416ACB"/>
    <w:rsid w:val="00421DCF"/>
    <w:rsid w:val="00422341"/>
    <w:rsid w:val="00423641"/>
    <w:rsid w:val="00426266"/>
    <w:rsid w:val="004271A4"/>
    <w:rsid w:val="0042750D"/>
    <w:rsid w:val="0042775E"/>
    <w:rsid w:val="00430A2D"/>
    <w:rsid w:val="00431505"/>
    <w:rsid w:val="00431AF0"/>
    <w:rsid w:val="00431F9C"/>
    <w:rsid w:val="0043213A"/>
    <w:rsid w:val="00432D8B"/>
    <w:rsid w:val="004330F4"/>
    <w:rsid w:val="00433396"/>
    <w:rsid w:val="00433590"/>
    <w:rsid w:val="004336C8"/>
    <w:rsid w:val="0043393D"/>
    <w:rsid w:val="004344C7"/>
    <w:rsid w:val="00434698"/>
    <w:rsid w:val="004350C7"/>
    <w:rsid w:val="00435274"/>
    <w:rsid w:val="004352AD"/>
    <w:rsid w:val="0043545D"/>
    <w:rsid w:val="00435E61"/>
    <w:rsid w:val="00435FE2"/>
    <w:rsid w:val="00436DFD"/>
    <w:rsid w:val="00436E2F"/>
    <w:rsid w:val="00436EAB"/>
    <w:rsid w:val="00437085"/>
    <w:rsid w:val="00440A06"/>
    <w:rsid w:val="00441F93"/>
    <w:rsid w:val="004461D9"/>
    <w:rsid w:val="00446AC6"/>
    <w:rsid w:val="0044759B"/>
    <w:rsid w:val="00447F54"/>
    <w:rsid w:val="00450AEE"/>
    <w:rsid w:val="00450B7E"/>
    <w:rsid w:val="0045136B"/>
    <w:rsid w:val="004516EA"/>
    <w:rsid w:val="00451C7E"/>
    <w:rsid w:val="00453BB6"/>
    <w:rsid w:val="00453CAA"/>
    <w:rsid w:val="00454174"/>
    <w:rsid w:val="00455113"/>
    <w:rsid w:val="00456421"/>
    <w:rsid w:val="00456DAB"/>
    <w:rsid w:val="0045704B"/>
    <w:rsid w:val="00460CC3"/>
    <w:rsid w:val="00460E86"/>
    <w:rsid w:val="004627C8"/>
    <w:rsid w:val="004646B4"/>
    <w:rsid w:val="00464A88"/>
    <w:rsid w:val="00464F7D"/>
    <w:rsid w:val="004651A0"/>
    <w:rsid w:val="0046641D"/>
    <w:rsid w:val="00466532"/>
    <w:rsid w:val="00466ACC"/>
    <w:rsid w:val="00467488"/>
    <w:rsid w:val="00470384"/>
    <w:rsid w:val="0047083E"/>
    <w:rsid w:val="00470C5A"/>
    <w:rsid w:val="00470EB5"/>
    <w:rsid w:val="004710DA"/>
    <w:rsid w:val="0047177C"/>
    <w:rsid w:val="00471DDA"/>
    <w:rsid w:val="0047286B"/>
    <w:rsid w:val="00472E27"/>
    <w:rsid w:val="00473471"/>
    <w:rsid w:val="0047402E"/>
    <w:rsid w:val="00474220"/>
    <w:rsid w:val="004752D3"/>
    <w:rsid w:val="004754E1"/>
    <w:rsid w:val="00475CE0"/>
    <w:rsid w:val="00476827"/>
    <w:rsid w:val="00476BD4"/>
    <w:rsid w:val="00477C35"/>
    <w:rsid w:val="00480988"/>
    <w:rsid w:val="00480E05"/>
    <w:rsid w:val="0048168B"/>
    <w:rsid w:val="00481DD9"/>
    <w:rsid w:val="004829BE"/>
    <w:rsid w:val="00482BBE"/>
    <w:rsid w:val="00483827"/>
    <w:rsid w:val="00483A12"/>
    <w:rsid w:val="0048490D"/>
    <w:rsid w:val="00484A77"/>
    <w:rsid w:val="00484C52"/>
    <w:rsid w:val="0048540F"/>
    <w:rsid w:val="00485970"/>
    <w:rsid w:val="00485C0D"/>
    <w:rsid w:val="00486575"/>
    <w:rsid w:val="004866D0"/>
    <w:rsid w:val="00487EBC"/>
    <w:rsid w:val="0049285F"/>
    <w:rsid w:val="00493BAF"/>
    <w:rsid w:val="00494242"/>
    <w:rsid w:val="00494826"/>
    <w:rsid w:val="00494E8E"/>
    <w:rsid w:val="004955BC"/>
    <w:rsid w:val="00495B23"/>
    <w:rsid w:val="00495D63"/>
    <w:rsid w:val="0049648F"/>
    <w:rsid w:val="00496606"/>
    <w:rsid w:val="00496F05"/>
    <w:rsid w:val="00497370"/>
    <w:rsid w:val="004A0F39"/>
    <w:rsid w:val="004A251F"/>
    <w:rsid w:val="004A3264"/>
    <w:rsid w:val="004A3BF1"/>
    <w:rsid w:val="004A3E42"/>
    <w:rsid w:val="004A412D"/>
    <w:rsid w:val="004A4715"/>
    <w:rsid w:val="004A5046"/>
    <w:rsid w:val="004A5217"/>
    <w:rsid w:val="004A565E"/>
    <w:rsid w:val="004A5DF3"/>
    <w:rsid w:val="004A6134"/>
    <w:rsid w:val="004A689A"/>
    <w:rsid w:val="004A7092"/>
    <w:rsid w:val="004A7AC1"/>
    <w:rsid w:val="004A7CE6"/>
    <w:rsid w:val="004B3780"/>
    <w:rsid w:val="004B49E6"/>
    <w:rsid w:val="004B4D69"/>
    <w:rsid w:val="004B4F2C"/>
    <w:rsid w:val="004B5CAF"/>
    <w:rsid w:val="004B63E1"/>
    <w:rsid w:val="004C00A0"/>
    <w:rsid w:val="004C01A8"/>
    <w:rsid w:val="004C0233"/>
    <w:rsid w:val="004C1840"/>
    <w:rsid w:val="004C24AC"/>
    <w:rsid w:val="004C24C9"/>
    <w:rsid w:val="004C31B6"/>
    <w:rsid w:val="004C386A"/>
    <w:rsid w:val="004C5319"/>
    <w:rsid w:val="004C5424"/>
    <w:rsid w:val="004C621F"/>
    <w:rsid w:val="004C7948"/>
    <w:rsid w:val="004C7BB8"/>
    <w:rsid w:val="004C7C60"/>
    <w:rsid w:val="004D0DFE"/>
    <w:rsid w:val="004D1D91"/>
    <w:rsid w:val="004D22C3"/>
    <w:rsid w:val="004D2FF9"/>
    <w:rsid w:val="004D33E7"/>
    <w:rsid w:val="004D37A4"/>
    <w:rsid w:val="004D4679"/>
    <w:rsid w:val="004D4FD2"/>
    <w:rsid w:val="004D6F4D"/>
    <w:rsid w:val="004D6F95"/>
    <w:rsid w:val="004D72FE"/>
    <w:rsid w:val="004D7E91"/>
    <w:rsid w:val="004E003A"/>
    <w:rsid w:val="004E0768"/>
    <w:rsid w:val="004E1511"/>
    <w:rsid w:val="004E174E"/>
    <w:rsid w:val="004E1A31"/>
    <w:rsid w:val="004E2DE0"/>
    <w:rsid w:val="004E335A"/>
    <w:rsid w:val="004E4060"/>
    <w:rsid w:val="004E409A"/>
    <w:rsid w:val="004E6DB3"/>
    <w:rsid w:val="004F01D2"/>
    <w:rsid w:val="004F0FB9"/>
    <w:rsid w:val="004F2F7E"/>
    <w:rsid w:val="004F32B5"/>
    <w:rsid w:val="004F407E"/>
    <w:rsid w:val="004F5479"/>
    <w:rsid w:val="004F56D1"/>
    <w:rsid w:val="004F5C6E"/>
    <w:rsid w:val="004F63C3"/>
    <w:rsid w:val="004F7528"/>
    <w:rsid w:val="004F7BCA"/>
    <w:rsid w:val="004F7D89"/>
    <w:rsid w:val="00500536"/>
    <w:rsid w:val="00501981"/>
    <w:rsid w:val="00501A85"/>
    <w:rsid w:val="00501BB3"/>
    <w:rsid w:val="00501C8D"/>
    <w:rsid w:val="005021DD"/>
    <w:rsid w:val="005026CA"/>
    <w:rsid w:val="00502726"/>
    <w:rsid w:val="00502B72"/>
    <w:rsid w:val="00502C55"/>
    <w:rsid w:val="005035FE"/>
    <w:rsid w:val="005040AB"/>
    <w:rsid w:val="00504BC1"/>
    <w:rsid w:val="00505134"/>
    <w:rsid w:val="00505C04"/>
    <w:rsid w:val="005060DA"/>
    <w:rsid w:val="005073D8"/>
    <w:rsid w:val="00511F15"/>
    <w:rsid w:val="0051318C"/>
    <w:rsid w:val="005142CD"/>
    <w:rsid w:val="005143C9"/>
    <w:rsid w:val="005153F6"/>
    <w:rsid w:val="005157A9"/>
    <w:rsid w:val="00516191"/>
    <w:rsid w:val="005173A7"/>
    <w:rsid w:val="005177E1"/>
    <w:rsid w:val="00517A53"/>
    <w:rsid w:val="00520C0A"/>
    <w:rsid w:val="005218B6"/>
    <w:rsid w:val="00522589"/>
    <w:rsid w:val="00524545"/>
    <w:rsid w:val="00524B8D"/>
    <w:rsid w:val="005255BF"/>
    <w:rsid w:val="005257DE"/>
    <w:rsid w:val="00527200"/>
    <w:rsid w:val="005272DF"/>
    <w:rsid w:val="00527E3F"/>
    <w:rsid w:val="00530157"/>
    <w:rsid w:val="005304DF"/>
    <w:rsid w:val="00530A0D"/>
    <w:rsid w:val="00531EBE"/>
    <w:rsid w:val="00531EE7"/>
    <w:rsid w:val="00532F8B"/>
    <w:rsid w:val="00533737"/>
    <w:rsid w:val="005337DD"/>
    <w:rsid w:val="00534676"/>
    <w:rsid w:val="00535B79"/>
    <w:rsid w:val="00535D7C"/>
    <w:rsid w:val="00535FF7"/>
    <w:rsid w:val="00536579"/>
    <w:rsid w:val="00536C1E"/>
    <w:rsid w:val="00540B46"/>
    <w:rsid w:val="0054343A"/>
    <w:rsid w:val="00543974"/>
    <w:rsid w:val="005439A8"/>
    <w:rsid w:val="00543EBF"/>
    <w:rsid w:val="00544ABA"/>
    <w:rsid w:val="0054593A"/>
    <w:rsid w:val="005467FB"/>
    <w:rsid w:val="00546AE9"/>
    <w:rsid w:val="0054770C"/>
    <w:rsid w:val="00547989"/>
    <w:rsid w:val="005508E2"/>
    <w:rsid w:val="00550A63"/>
    <w:rsid w:val="00551320"/>
    <w:rsid w:val="005514DD"/>
    <w:rsid w:val="005514F8"/>
    <w:rsid w:val="005518A4"/>
    <w:rsid w:val="00552768"/>
    <w:rsid w:val="00552935"/>
    <w:rsid w:val="00553127"/>
    <w:rsid w:val="005537D5"/>
    <w:rsid w:val="005539CC"/>
    <w:rsid w:val="00554BE7"/>
    <w:rsid w:val="00556D68"/>
    <w:rsid w:val="00557173"/>
    <w:rsid w:val="005576A1"/>
    <w:rsid w:val="00557A64"/>
    <w:rsid w:val="005605C0"/>
    <w:rsid w:val="005605C1"/>
    <w:rsid w:val="00560D23"/>
    <w:rsid w:val="005615D8"/>
    <w:rsid w:val="00561A19"/>
    <w:rsid w:val="005626D6"/>
    <w:rsid w:val="005638D4"/>
    <w:rsid w:val="00564466"/>
    <w:rsid w:val="00565191"/>
    <w:rsid w:val="005656ED"/>
    <w:rsid w:val="00566544"/>
    <w:rsid w:val="00566608"/>
    <w:rsid w:val="00566C83"/>
    <w:rsid w:val="00567138"/>
    <w:rsid w:val="0056727F"/>
    <w:rsid w:val="00567EF0"/>
    <w:rsid w:val="005700FE"/>
    <w:rsid w:val="005706ED"/>
    <w:rsid w:val="005708F4"/>
    <w:rsid w:val="00570A11"/>
    <w:rsid w:val="00570E24"/>
    <w:rsid w:val="00571813"/>
    <w:rsid w:val="00572760"/>
    <w:rsid w:val="00572967"/>
    <w:rsid w:val="00574389"/>
    <w:rsid w:val="005743DE"/>
    <w:rsid w:val="00574AAA"/>
    <w:rsid w:val="00574BBC"/>
    <w:rsid w:val="00574F3F"/>
    <w:rsid w:val="0057562C"/>
    <w:rsid w:val="00575847"/>
    <w:rsid w:val="005759F6"/>
    <w:rsid w:val="00575E3E"/>
    <w:rsid w:val="005765F5"/>
    <w:rsid w:val="00576D6C"/>
    <w:rsid w:val="00576E97"/>
    <w:rsid w:val="00577A2E"/>
    <w:rsid w:val="00580E48"/>
    <w:rsid w:val="00580E9D"/>
    <w:rsid w:val="00580F0A"/>
    <w:rsid w:val="00581246"/>
    <w:rsid w:val="00582C3A"/>
    <w:rsid w:val="00582E1A"/>
    <w:rsid w:val="00583147"/>
    <w:rsid w:val="00584416"/>
    <w:rsid w:val="00584B39"/>
    <w:rsid w:val="00585028"/>
    <w:rsid w:val="005854D1"/>
    <w:rsid w:val="005854F9"/>
    <w:rsid w:val="00585F5B"/>
    <w:rsid w:val="0058620A"/>
    <w:rsid w:val="00587997"/>
    <w:rsid w:val="00587FC0"/>
    <w:rsid w:val="005906AD"/>
    <w:rsid w:val="00590CE6"/>
    <w:rsid w:val="00590DA6"/>
    <w:rsid w:val="00591C7D"/>
    <w:rsid w:val="0059205D"/>
    <w:rsid w:val="00592B03"/>
    <w:rsid w:val="00593523"/>
    <w:rsid w:val="00593AB9"/>
    <w:rsid w:val="00594ABB"/>
    <w:rsid w:val="00594D1C"/>
    <w:rsid w:val="00594E36"/>
    <w:rsid w:val="00594F0A"/>
    <w:rsid w:val="0059525E"/>
    <w:rsid w:val="00595887"/>
    <w:rsid w:val="005961F7"/>
    <w:rsid w:val="00596B9C"/>
    <w:rsid w:val="00596DEA"/>
    <w:rsid w:val="00596EBE"/>
    <w:rsid w:val="005A0351"/>
    <w:rsid w:val="005A054D"/>
    <w:rsid w:val="005A0A46"/>
    <w:rsid w:val="005A0C5B"/>
    <w:rsid w:val="005A10B9"/>
    <w:rsid w:val="005A11EA"/>
    <w:rsid w:val="005A2003"/>
    <w:rsid w:val="005A269F"/>
    <w:rsid w:val="005A305E"/>
    <w:rsid w:val="005A30BB"/>
    <w:rsid w:val="005A3509"/>
    <w:rsid w:val="005A3887"/>
    <w:rsid w:val="005A3D60"/>
    <w:rsid w:val="005A5313"/>
    <w:rsid w:val="005A63BD"/>
    <w:rsid w:val="005B0542"/>
    <w:rsid w:val="005B2225"/>
    <w:rsid w:val="005B2799"/>
    <w:rsid w:val="005B2B77"/>
    <w:rsid w:val="005B3448"/>
    <w:rsid w:val="005B3D4A"/>
    <w:rsid w:val="005B4D87"/>
    <w:rsid w:val="005B58D6"/>
    <w:rsid w:val="005B597A"/>
    <w:rsid w:val="005B7396"/>
    <w:rsid w:val="005B7A1A"/>
    <w:rsid w:val="005B7ADF"/>
    <w:rsid w:val="005B7DD1"/>
    <w:rsid w:val="005C00A0"/>
    <w:rsid w:val="005C114F"/>
    <w:rsid w:val="005C1497"/>
    <w:rsid w:val="005C28FA"/>
    <w:rsid w:val="005C40F4"/>
    <w:rsid w:val="005C43BE"/>
    <w:rsid w:val="005C44F3"/>
    <w:rsid w:val="005C4A4D"/>
    <w:rsid w:val="005C67EF"/>
    <w:rsid w:val="005C712D"/>
    <w:rsid w:val="005C7C75"/>
    <w:rsid w:val="005D0956"/>
    <w:rsid w:val="005D0E4F"/>
    <w:rsid w:val="005D1E32"/>
    <w:rsid w:val="005D206B"/>
    <w:rsid w:val="005D22B7"/>
    <w:rsid w:val="005D2BDE"/>
    <w:rsid w:val="005D2FC6"/>
    <w:rsid w:val="005D3D76"/>
    <w:rsid w:val="005D4578"/>
    <w:rsid w:val="005D4EFA"/>
    <w:rsid w:val="005D55BA"/>
    <w:rsid w:val="005D5ADB"/>
    <w:rsid w:val="005D648A"/>
    <w:rsid w:val="005D797D"/>
    <w:rsid w:val="005D7E0D"/>
    <w:rsid w:val="005D7F62"/>
    <w:rsid w:val="005E14A0"/>
    <w:rsid w:val="005E234A"/>
    <w:rsid w:val="005E3137"/>
    <w:rsid w:val="005E3467"/>
    <w:rsid w:val="005E35CC"/>
    <w:rsid w:val="005E371E"/>
    <w:rsid w:val="005E4633"/>
    <w:rsid w:val="005E53F9"/>
    <w:rsid w:val="005E586D"/>
    <w:rsid w:val="005E5C47"/>
    <w:rsid w:val="005E7230"/>
    <w:rsid w:val="005E775D"/>
    <w:rsid w:val="005F0A43"/>
    <w:rsid w:val="005F1C12"/>
    <w:rsid w:val="005F27BF"/>
    <w:rsid w:val="005F2E97"/>
    <w:rsid w:val="005F2EE7"/>
    <w:rsid w:val="005F312E"/>
    <w:rsid w:val="005F4171"/>
    <w:rsid w:val="005F46D6"/>
    <w:rsid w:val="005F4C09"/>
    <w:rsid w:val="005F4DD6"/>
    <w:rsid w:val="005F50D8"/>
    <w:rsid w:val="005F53A1"/>
    <w:rsid w:val="005F6B77"/>
    <w:rsid w:val="005F7487"/>
    <w:rsid w:val="005F7E5F"/>
    <w:rsid w:val="006002C7"/>
    <w:rsid w:val="00600A2D"/>
    <w:rsid w:val="00600F95"/>
    <w:rsid w:val="0060132A"/>
    <w:rsid w:val="00601839"/>
    <w:rsid w:val="0060242D"/>
    <w:rsid w:val="00602759"/>
    <w:rsid w:val="0060277A"/>
    <w:rsid w:val="00602B7C"/>
    <w:rsid w:val="00603312"/>
    <w:rsid w:val="00604108"/>
    <w:rsid w:val="00604DC7"/>
    <w:rsid w:val="00604E47"/>
    <w:rsid w:val="00605345"/>
    <w:rsid w:val="00605441"/>
    <w:rsid w:val="00606394"/>
    <w:rsid w:val="00606804"/>
    <w:rsid w:val="00606970"/>
    <w:rsid w:val="00606A20"/>
    <w:rsid w:val="006072C6"/>
    <w:rsid w:val="00607A2E"/>
    <w:rsid w:val="006100BD"/>
    <w:rsid w:val="00611ECC"/>
    <w:rsid w:val="00612613"/>
    <w:rsid w:val="006130F7"/>
    <w:rsid w:val="00613A9E"/>
    <w:rsid w:val="00613AF8"/>
    <w:rsid w:val="00613D8E"/>
    <w:rsid w:val="006142E0"/>
    <w:rsid w:val="00615B00"/>
    <w:rsid w:val="00616112"/>
    <w:rsid w:val="00617B2F"/>
    <w:rsid w:val="00617EEB"/>
    <w:rsid w:val="006205CA"/>
    <w:rsid w:val="00620A64"/>
    <w:rsid w:val="00621F53"/>
    <w:rsid w:val="00622065"/>
    <w:rsid w:val="0062210A"/>
    <w:rsid w:val="00622E2A"/>
    <w:rsid w:val="00623089"/>
    <w:rsid w:val="0062308E"/>
    <w:rsid w:val="006234C4"/>
    <w:rsid w:val="00623506"/>
    <w:rsid w:val="006244C9"/>
    <w:rsid w:val="006245F6"/>
    <w:rsid w:val="0062475D"/>
    <w:rsid w:val="0062495F"/>
    <w:rsid w:val="0062660B"/>
    <w:rsid w:val="00626AD1"/>
    <w:rsid w:val="006304BC"/>
    <w:rsid w:val="00630DCE"/>
    <w:rsid w:val="0063120A"/>
    <w:rsid w:val="0063150B"/>
    <w:rsid w:val="00631585"/>
    <w:rsid w:val="006318AC"/>
    <w:rsid w:val="00631912"/>
    <w:rsid w:val="0063449D"/>
    <w:rsid w:val="00634ACF"/>
    <w:rsid w:val="00635035"/>
    <w:rsid w:val="0063580D"/>
    <w:rsid w:val="00635CAE"/>
    <w:rsid w:val="0063701E"/>
    <w:rsid w:val="00637240"/>
    <w:rsid w:val="00637CEA"/>
    <w:rsid w:val="0064056A"/>
    <w:rsid w:val="0064064A"/>
    <w:rsid w:val="00643660"/>
    <w:rsid w:val="006466AA"/>
    <w:rsid w:val="0064712E"/>
    <w:rsid w:val="00650139"/>
    <w:rsid w:val="00650E1A"/>
    <w:rsid w:val="00652756"/>
    <w:rsid w:val="0065298A"/>
    <w:rsid w:val="00652AD8"/>
    <w:rsid w:val="00652B79"/>
    <w:rsid w:val="00652BC9"/>
    <w:rsid w:val="006533C3"/>
    <w:rsid w:val="006534AB"/>
    <w:rsid w:val="00653A54"/>
    <w:rsid w:val="00654068"/>
    <w:rsid w:val="00654B38"/>
    <w:rsid w:val="00654B83"/>
    <w:rsid w:val="00655061"/>
    <w:rsid w:val="0065510C"/>
    <w:rsid w:val="00655B63"/>
    <w:rsid w:val="006571F6"/>
    <w:rsid w:val="00660A20"/>
    <w:rsid w:val="006611F9"/>
    <w:rsid w:val="006618CC"/>
    <w:rsid w:val="0066192A"/>
    <w:rsid w:val="00661D1D"/>
    <w:rsid w:val="00662111"/>
    <w:rsid w:val="00662118"/>
    <w:rsid w:val="006636A5"/>
    <w:rsid w:val="006637A7"/>
    <w:rsid w:val="006638AD"/>
    <w:rsid w:val="006657EE"/>
    <w:rsid w:val="00666565"/>
    <w:rsid w:val="00666C4B"/>
    <w:rsid w:val="0066732C"/>
    <w:rsid w:val="006679F5"/>
    <w:rsid w:val="00667B77"/>
    <w:rsid w:val="00667F2A"/>
    <w:rsid w:val="006716DA"/>
    <w:rsid w:val="00671C91"/>
    <w:rsid w:val="006728ED"/>
    <w:rsid w:val="00672AB9"/>
    <w:rsid w:val="006730B5"/>
    <w:rsid w:val="006732B1"/>
    <w:rsid w:val="00673671"/>
    <w:rsid w:val="0067446F"/>
    <w:rsid w:val="006746A4"/>
    <w:rsid w:val="006751DE"/>
    <w:rsid w:val="0067533A"/>
    <w:rsid w:val="00675558"/>
    <w:rsid w:val="00675611"/>
    <w:rsid w:val="00675A60"/>
    <w:rsid w:val="0067697E"/>
    <w:rsid w:val="00677443"/>
    <w:rsid w:val="00677685"/>
    <w:rsid w:val="0067769A"/>
    <w:rsid w:val="00677A2D"/>
    <w:rsid w:val="006806A3"/>
    <w:rsid w:val="006806A6"/>
    <w:rsid w:val="00681211"/>
    <w:rsid w:val="006817D3"/>
    <w:rsid w:val="00681B36"/>
    <w:rsid w:val="00681DCE"/>
    <w:rsid w:val="006826A6"/>
    <w:rsid w:val="00682E14"/>
    <w:rsid w:val="0068436C"/>
    <w:rsid w:val="0068545E"/>
    <w:rsid w:val="006856CE"/>
    <w:rsid w:val="00685FD4"/>
    <w:rsid w:val="00686612"/>
    <w:rsid w:val="0068661E"/>
    <w:rsid w:val="006902D9"/>
    <w:rsid w:val="00690A49"/>
    <w:rsid w:val="00690BB6"/>
    <w:rsid w:val="00691B30"/>
    <w:rsid w:val="00693E1F"/>
    <w:rsid w:val="00693ECB"/>
    <w:rsid w:val="00694369"/>
    <w:rsid w:val="00694797"/>
    <w:rsid w:val="00695887"/>
    <w:rsid w:val="006961F8"/>
    <w:rsid w:val="00697733"/>
    <w:rsid w:val="006A1DC1"/>
    <w:rsid w:val="006A254E"/>
    <w:rsid w:val="006A2C30"/>
    <w:rsid w:val="006A301C"/>
    <w:rsid w:val="006A36C8"/>
    <w:rsid w:val="006A3E2B"/>
    <w:rsid w:val="006A4D85"/>
    <w:rsid w:val="006A5A9B"/>
    <w:rsid w:val="006A5BCD"/>
    <w:rsid w:val="006A6CDC"/>
    <w:rsid w:val="006A6E17"/>
    <w:rsid w:val="006B0D56"/>
    <w:rsid w:val="006B120D"/>
    <w:rsid w:val="006B1506"/>
    <w:rsid w:val="006B17E7"/>
    <w:rsid w:val="006B19E8"/>
    <w:rsid w:val="006B1A8A"/>
    <w:rsid w:val="006B1FD5"/>
    <w:rsid w:val="006B2F49"/>
    <w:rsid w:val="006B555A"/>
    <w:rsid w:val="006B5961"/>
    <w:rsid w:val="006B600A"/>
    <w:rsid w:val="006B6635"/>
    <w:rsid w:val="006B6909"/>
    <w:rsid w:val="006B6984"/>
    <w:rsid w:val="006B7D22"/>
    <w:rsid w:val="006B7D2C"/>
    <w:rsid w:val="006C0D21"/>
    <w:rsid w:val="006C1019"/>
    <w:rsid w:val="006C231E"/>
    <w:rsid w:val="006C2BB5"/>
    <w:rsid w:val="006C2BEE"/>
    <w:rsid w:val="006C3AD8"/>
    <w:rsid w:val="006C4516"/>
    <w:rsid w:val="006C455E"/>
    <w:rsid w:val="006C481B"/>
    <w:rsid w:val="006C5958"/>
    <w:rsid w:val="006C5B4F"/>
    <w:rsid w:val="006C643C"/>
    <w:rsid w:val="006C6E3A"/>
    <w:rsid w:val="006C6FD7"/>
    <w:rsid w:val="006C712E"/>
    <w:rsid w:val="006D00DB"/>
    <w:rsid w:val="006D0361"/>
    <w:rsid w:val="006D16B0"/>
    <w:rsid w:val="006D2182"/>
    <w:rsid w:val="006D2219"/>
    <w:rsid w:val="006D2444"/>
    <w:rsid w:val="006D254B"/>
    <w:rsid w:val="006D289B"/>
    <w:rsid w:val="006D36F9"/>
    <w:rsid w:val="006D38FA"/>
    <w:rsid w:val="006D3BE1"/>
    <w:rsid w:val="006D48FC"/>
    <w:rsid w:val="006D4C70"/>
    <w:rsid w:val="006D62BC"/>
    <w:rsid w:val="006D6450"/>
    <w:rsid w:val="006D6939"/>
    <w:rsid w:val="006D69C2"/>
    <w:rsid w:val="006D7EB0"/>
    <w:rsid w:val="006E0138"/>
    <w:rsid w:val="006E0BB0"/>
    <w:rsid w:val="006E12C3"/>
    <w:rsid w:val="006E170D"/>
    <w:rsid w:val="006E2529"/>
    <w:rsid w:val="006E2E1B"/>
    <w:rsid w:val="006E37FE"/>
    <w:rsid w:val="006E45F3"/>
    <w:rsid w:val="006E4A2F"/>
    <w:rsid w:val="006E4ED4"/>
    <w:rsid w:val="006E5753"/>
    <w:rsid w:val="006E5E19"/>
    <w:rsid w:val="006E61C3"/>
    <w:rsid w:val="006E6987"/>
    <w:rsid w:val="006E6CB6"/>
    <w:rsid w:val="006E799D"/>
    <w:rsid w:val="006F0593"/>
    <w:rsid w:val="006F0740"/>
    <w:rsid w:val="006F0F75"/>
    <w:rsid w:val="006F1064"/>
    <w:rsid w:val="006F1BB9"/>
    <w:rsid w:val="006F1EB7"/>
    <w:rsid w:val="006F3642"/>
    <w:rsid w:val="006F52E5"/>
    <w:rsid w:val="006F6066"/>
    <w:rsid w:val="006F6850"/>
    <w:rsid w:val="006F707E"/>
    <w:rsid w:val="006F777F"/>
    <w:rsid w:val="007001DC"/>
    <w:rsid w:val="007009C4"/>
    <w:rsid w:val="007025CB"/>
    <w:rsid w:val="00703300"/>
    <w:rsid w:val="00703344"/>
    <w:rsid w:val="0070342D"/>
    <w:rsid w:val="007034AA"/>
    <w:rsid w:val="00703C9D"/>
    <w:rsid w:val="00704641"/>
    <w:rsid w:val="0070490C"/>
    <w:rsid w:val="00704C82"/>
    <w:rsid w:val="00705491"/>
    <w:rsid w:val="00705C38"/>
    <w:rsid w:val="00706465"/>
    <w:rsid w:val="0070695A"/>
    <w:rsid w:val="00706FBB"/>
    <w:rsid w:val="0070782D"/>
    <w:rsid w:val="007109C2"/>
    <w:rsid w:val="00711340"/>
    <w:rsid w:val="00712C42"/>
    <w:rsid w:val="00713DE4"/>
    <w:rsid w:val="00714C47"/>
    <w:rsid w:val="00715FB7"/>
    <w:rsid w:val="00716462"/>
    <w:rsid w:val="00717B6F"/>
    <w:rsid w:val="00721084"/>
    <w:rsid w:val="00721262"/>
    <w:rsid w:val="00721D9B"/>
    <w:rsid w:val="00722121"/>
    <w:rsid w:val="007223D0"/>
    <w:rsid w:val="007224B9"/>
    <w:rsid w:val="00722F94"/>
    <w:rsid w:val="00723AA7"/>
    <w:rsid w:val="0072432E"/>
    <w:rsid w:val="00726036"/>
    <w:rsid w:val="00726279"/>
    <w:rsid w:val="00726493"/>
    <w:rsid w:val="00726A9B"/>
    <w:rsid w:val="00726DD8"/>
    <w:rsid w:val="00727530"/>
    <w:rsid w:val="0073023A"/>
    <w:rsid w:val="00730758"/>
    <w:rsid w:val="00731E7C"/>
    <w:rsid w:val="007329EF"/>
    <w:rsid w:val="0073327A"/>
    <w:rsid w:val="007345D0"/>
    <w:rsid w:val="00734EBE"/>
    <w:rsid w:val="0073665F"/>
    <w:rsid w:val="00736DD8"/>
    <w:rsid w:val="0074076A"/>
    <w:rsid w:val="007407EC"/>
    <w:rsid w:val="00741AF4"/>
    <w:rsid w:val="00741DCC"/>
    <w:rsid w:val="0074203A"/>
    <w:rsid w:val="00742709"/>
    <w:rsid w:val="007427B5"/>
    <w:rsid w:val="00742865"/>
    <w:rsid w:val="0074296C"/>
    <w:rsid w:val="00742C83"/>
    <w:rsid w:val="0074360F"/>
    <w:rsid w:val="00744271"/>
    <w:rsid w:val="00744A64"/>
    <w:rsid w:val="00744D47"/>
    <w:rsid w:val="00744D70"/>
    <w:rsid w:val="00744EA0"/>
    <w:rsid w:val="0074638D"/>
    <w:rsid w:val="00746484"/>
    <w:rsid w:val="0074704F"/>
    <w:rsid w:val="00747F48"/>
    <w:rsid w:val="00747F4C"/>
    <w:rsid w:val="00751091"/>
    <w:rsid w:val="00751B83"/>
    <w:rsid w:val="00752E3D"/>
    <w:rsid w:val="00752F5B"/>
    <w:rsid w:val="00753BB3"/>
    <w:rsid w:val="00754359"/>
    <w:rsid w:val="00754411"/>
    <w:rsid w:val="00754BD9"/>
    <w:rsid w:val="00754E7A"/>
    <w:rsid w:val="00754FA7"/>
    <w:rsid w:val="0075540C"/>
    <w:rsid w:val="00755ACA"/>
    <w:rsid w:val="00755DB1"/>
    <w:rsid w:val="00755E78"/>
    <w:rsid w:val="007566D7"/>
    <w:rsid w:val="0075672E"/>
    <w:rsid w:val="00756FA1"/>
    <w:rsid w:val="007574FC"/>
    <w:rsid w:val="00760975"/>
    <w:rsid w:val="00761CC3"/>
    <w:rsid w:val="00761DFE"/>
    <w:rsid w:val="00761FDA"/>
    <w:rsid w:val="007621FF"/>
    <w:rsid w:val="007634E3"/>
    <w:rsid w:val="00764194"/>
    <w:rsid w:val="00765662"/>
    <w:rsid w:val="00765ED3"/>
    <w:rsid w:val="007667A3"/>
    <w:rsid w:val="0076681D"/>
    <w:rsid w:val="00766A65"/>
    <w:rsid w:val="007671B4"/>
    <w:rsid w:val="007671F5"/>
    <w:rsid w:val="007672D4"/>
    <w:rsid w:val="007674F9"/>
    <w:rsid w:val="007676B8"/>
    <w:rsid w:val="0077175C"/>
    <w:rsid w:val="00771870"/>
    <w:rsid w:val="00771BF9"/>
    <w:rsid w:val="007725DC"/>
    <w:rsid w:val="00772F8A"/>
    <w:rsid w:val="007739C6"/>
    <w:rsid w:val="00773C51"/>
    <w:rsid w:val="00774889"/>
    <w:rsid w:val="00774FF5"/>
    <w:rsid w:val="007750B3"/>
    <w:rsid w:val="00775208"/>
    <w:rsid w:val="00775A74"/>
    <w:rsid w:val="00775BD6"/>
    <w:rsid w:val="00775F76"/>
    <w:rsid w:val="00776931"/>
    <w:rsid w:val="00776AEA"/>
    <w:rsid w:val="00777BA0"/>
    <w:rsid w:val="007800F2"/>
    <w:rsid w:val="007803BD"/>
    <w:rsid w:val="007811DC"/>
    <w:rsid w:val="00781266"/>
    <w:rsid w:val="007820FA"/>
    <w:rsid w:val="007827DA"/>
    <w:rsid w:val="0078285F"/>
    <w:rsid w:val="00783207"/>
    <w:rsid w:val="0078338A"/>
    <w:rsid w:val="00783E1D"/>
    <w:rsid w:val="0078483B"/>
    <w:rsid w:val="00784EED"/>
    <w:rsid w:val="00785900"/>
    <w:rsid w:val="00786958"/>
    <w:rsid w:val="00786E71"/>
    <w:rsid w:val="00787A1A"/>
    <w:rsid w:val="0079162F"/>
    <w:rsid w:val="00792F5E"/>
    <w:rsid w:val="00794924"/>
    <w:rsid w:val="007958AF"/>
    <w:rsid w:val="00796716"/>
    <w:rsid w:val="007A00A3"/>
    <w:rsid w:val="007A0896"/>
    <w:rsid w:val="007A0BC2"/>
    <w:rsid w:val="007A1F44"/>
    <w:rsid w:val="007A23FF"/>
    <w:rsid w:val="007A295B"/>
    <w:rsid w:val="007A3424"/>
    <w:rsid w:val="007A35EF"/>
    <w:rsid w:val="007A43A2"/>
    <w:rsid w:val="007A4D04"/>
    <w:rsid w:val="007A512E"/>
    <w:rsid w:val="007A7A96"/>
    <w:rsid w:val="007B03AF"/>
    <w:rsid w:val="007B0927"/>
    <w:rsid w:val="007B1543"/>
    <w:rsid w:val="007B1AC0"/>
    <w:rsid w:val="007B1D14"/>
    <w:rsid w:val="007B270A"/>
    <w:rsid w:val="007B2931"/>
    <w:rsid w:val="007B2D3B"/>
    <w:rsid w:val="007B2EFD"/>
    <w:rsid w:val="007B484F"/>
    <w:rsid w:val="007B52CD"/>
    <w:rsid w:val="007B6955"/>
    <w:rsid w:val="007B7DC1"/>
    <w:rsid w:val="007B7EDB"/>
    <w:rsid w:val="007C0D0A"/>
    <w:rsid w:val="007C19AD"/>
    <w:rsid w:val="007C295C"/>
    <w:rsid w:val="007C3598"/>
    <w:rsid w:val="007C3B50"/>
    <w:rsid w:val="007C3FA8"/>
    <w:rsid w:val="007C48AD"/>
    <w:rsid w:val="007C5907"/>
    <w:rsid w:val="007C68DA"/>
    <w:rsid w:val="007C69E1"/>
    <w:rsid w:val="007C6DD7"/>
    <w:rsid w:val="007D229A"/>
    <w:rsid w:val="007D2F44"/>
    <w:rsid w:val="007D2F4D"/>
    <w:rsid w:val="007D4178"/>
    <w:rsid w:val="007D4D33"/>
    <w:rsid w:val="007D5B55"/>
    <w:rsid w:val="007D7175"/>
    <w:rsid w:val="007E109E"/>
    <w:rsid w:val="007E1369"/>
    <w:rsid w:val="007E1A1B"/>
    <w:rsid w:val="007E1A88"/>
    <w:rsid w:val="007E2A7E"/>
    <w:rsid w:val="007E37E8"/>
    <w:rsid w:val="007E3BC4"/>
    <w:rsid w:val="007E41D9"/>
    <w:rsid w:val="007E49D6"/>
    <w:rsid w:val="007E4C88"/>
    <w:rsid w:val="007E585E"/>
    <w:rsid w:val="007E776E"/>
    <w:rsid w:val="007E7DDF"/>
    <w:rsid w:val="007E7FDC"/>
    <w:rsid w:val="007F0E7F"/>
    <w:rsid w:val="007F11C8"/>
    <w:rsid w:val="007F1CFB"/>
    <w:rsid w:val="007F220B"/>
    <w:rsid w:val="007F27DD"/>
    <w:rsid w:val="007F3296"/>
    <w:rsid w:val="007F52B2"/>
    <w:rsid w:val="007F58E5"/>
    <w:rsid w:val="007F6880"/>
    <w:rsid w:val="007F76B4"/>
    <w:rsid w:val="008001B4"/>
    <w:rsid w:val="00800769"/>
    <w:rsid w:val="008008C3"/>
    <w:rsid w:val="00800ED2"/>
    <w:rsid w:val="00802E74"/>
    <w:rsid w:val="00803E06"/>
    <w:rsid w:val="00804B3E"/>
    <w:rsid w:val="00804B92"/>
    <w:rsid w:val="00804E21"/>
    <w:rsid w:val="00805092"/>
    <w:rsid w:val="00805C65"/>
    <w:rsid w:val="00806AAF"/>
    <w:rsid w:val="008070AC"/>
    <w:rsid w:val="008073C0"/>
    <w:rsid w:val="0080743E"/>
    <w:rsid w:val="008101FD"/>
    <w:rsid w:val="00810D8D"/>
    <w:rsid w:val="00811835"/>
    <w:rsid w:val="00812240"/>
    <w:rsid w:val="00812694"/>
    <w:rsid w:val="0081416C"/>
    <w:rsid w:val="00815042"/>
    <w:rsid w:val="008155A8"/>
    <w:rsid w:val="0081581D"/>
    <w:rsid w:val="0081686A"/>
    <w:rsid w:val="008172BE"/>
    <w:rsid w:val="00817B71"/>
    <w:rsid w:val="0082019A"/>
    <w:rsid w:val="00820244"/>
    <w:rsid w:val="008221B3"/>
    <w:rsid w:val="0082248E"/>
    <w:rsid w:val="0082269E"/>
    <w:rsid w:val="0082397D"/>
    <w:rsid w:val="0082450E"/>
    <w:rsid w:val="008246FE"/>
    <w:rsid w:val="00824A07"/>
    <w:rsid w:val="00824FDF"/>
    <w:rsid w:val="0082501B"/>
    <w:rsid w:val="00825125"/>
    <w:rsid w:val="0082537B"/>
    <w:rsid w:val="008257CC"/>
    <w:rsid w:val="008274BF"/>
    <w:rsid w:val="00830287"/>
    <w:rsid w:val="00830DC3"/>
    <w:rsid w:val="00831555"/>
    <w:rsid w:val="00831F52"/>
    <w:rsid w:val="00832154"/>
    <w:rsid w:val="00832F5C"/>
    <w:rsid w:val="00834BA2"/>
    <w:rsid w:val="008359E0"/>
    <w:rsid w:val="00835C17"/>
    <w:rsid w:val="008375E8"/>
    <w:rsid w:val="008376F6"/>
    <w:rsid w:val="00837D5B"/>
    <w:rsid w:val="00840607"/>
    <w:rsid w:val="008415FC"/>
    <w:rsid w:val="00841CD2"/>
    <w:rsid w:val="0084246D"/>
    <w:rsid w:val="00842B77"/>
    <w:rsid w:val="0084309F"/>
    <w:rsid w:val="00844F16"/>
    <w:rsid w:val="00845C12"/>
    <w:rsid w:val="008469D9"/>
    <w:rsid w:val="00846DC0"/>
    <w:rsid w:val="008474A7"/>
    <w:rsid w:val="008506B6"/>
    <w:rsid w:val="00850847"/>
    <w:rsid w:val="00850AE0"/>
    <w:rsid w:val="008524D2"/>
    <w:rsid w:val="00852E19"/>
    <w:rsid w:val="008550DC"/>
    <w:rsid w:val="00856833"/>
    <w:rsid w:val="00856840"/>
    <w:rsid w:val="00856F22"/>
    <w:rsid w:val="0086087C"/>
    <w:rsid w:val="00860D8E"/>
    <w:rsid w:val="008620D6"/>
    <w:rsid w:val="0086275E"/>
    <w:rsid w:val="0086293D"/>
    <w:rsid w:val="00862B61"/>
    <w:rsid w:val="00863682"/>
    <w:rsid w:val="008638BF"/>
    <w:rsid w:val="00863CB3"/>
    <w:rsid w:val="008640AD"/>
    <w:rsid w:val="00864440"/>
    <w:rsid w:val="00864D76"/>
    <w:rsid w:val="00864FEA"/>
    <w:rsid w:val="008650FC"/>
    <w:rsid w:val="00866EB3"/>
    <w:rsid w:val="0086701A"/>
    <w:rsid w:val="00867BD2"/>
    <w:rsid w:val="008712FD"/>
    <w:rsid w:val="008716A1"/>
    <w:rsid w:val="00871FDA"/>
    <w:rsid w:val="0087216D"/>
    <w:rsid w:val="008721A2"/>
    <w:rsid w:val="0087289B"/>
    <w:rsid w:val="00872D3F"/>
    <w:rsid w:val="008733E4"/>
    <w:rsid w:val="00873F15"/>
    <w:rsid w:val="00874096"/>
    <w:rsid w:val="008756A4"/>
    <w:rsid w:val="00875F73"/>
    <w:rsid w:val="00877195"/>
    <w:rsid w:val="00877D9A"/>
    <w:rsid w:val="00880F30"/>
    <w:rsid w:val="00880F7A"/>
    <w:rsid w:val="00882A60"/>
    <w:rsid w:val="0088338B"/>
    <w:rsid w:val="008833E8"/>
    <w:rsid w:val="00883E91"/>
    <w:rsid w:val="00887B48"/>
    <w:rsid w:val="00890159"/>
    <w:rsid w:val="00890FE1"/>
    <w:rsid w:val="0089176E"/>
    <w:rsid w:val="008917E0"/>
    <w:rsid w:val="00892365"/>
    <w:rsid w:val="00892BE5"/>
    <w:rsid w:val="00893550"/>
    <w:rsid w:val="0089387C"/>
    <w:rsid w:val="0089444E"/>
    <w:rsid w:val="008949DF"/>
    <w:rsid w:val="00894FF8"/>
    <w:rsid w:val="008951DB"/>
    <w:rsid w:val="00896C81"/>
    <w:rsid w:val="00896D83"/>
    <w:rsid w:val="008A0AB2"/>
    <w:rsid w:val="008A0CFC"/>
    <w:rsid w:val="008A12FE"/>
    <w:rsid w:val="008A28B6"/>
    <w:rsid w:val="008A2BB1"/>
    <w:rsid w:val="008A3466"/>
    <w:rsid w:val="008A389F"/>
    <w:rsid w:val="008A3C33"/>
    <w:rsid w:val="008A3D02"/>
    <w:rsid w:val="008A5940"/>
    <w:rsid w:val="008A5E43"/>
    <w:rsid w:val="008A6871"/>
    <w:rsid w:val="008A6A26"/>
    <w:rsid w:val="008A73B2"/>
    <w:rsid w:val="008A77CA"/>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2CB2"/>
    <w:rsid w:val="008C3D14"/>
    <w:rsid w:val="008C3F08"/>
    <w:rsid w:val="008C4C7E"/>
    <w:rsid w:val="008C5C46"/>
    <w:rsid w:val="008C6184"/>
    <w:rsid w:val="008C64F9"/>
    <w:rsid w:val="008C7088"/>
    <w:rsid w:val="008C7304"/>
    <w:rsid w:val="008C785E"/>
    <w:rsid w:val="008D00FB"/>
    <w:rsid w:val="008D0AFB"/>
    <w:rsid w:val="008D12D1"/>
    <w:rsid w:val="008D1511"/>
    <w:rsid w:val="008D260B"/>
    <w:rsid w:val="008D32DF"/>
    <w:rsid w:val="008D35E9"/>
    <w:rsid w:val="008D3959"/>
    <w:rsid w:val="008D3966"/>
    <w:rsid w:val="008D4352"/>
    <w:rsid w:val="008D5023"/>
    <w:rsid w:val="008D60BC"/>
    <w:rsid w:val="008D6D7B"/>
    <w:rsid w:val="008D7EB7"/>
    <w:rsid w:val="008E06A4"/>
    <w:rsid w:val="008E0EB8"/>
    <w:rsid w:val="008E10A6"/>
    <w:rsid w:val="008E1271"/>
    <w:rsid w:val="008E2251"/>
    <w:rsid w:val="008E24B3"/>
    <w:rsid w:val="008E24CA"/>
    <w:rsid w:val="008E2999"/>
    <w:rsid w:val="008E2F6E"/>
    <w:rsid w:val="008E38AD"/>
    <w:rsid w:val="008E3EEC"/>
    <w:rsid w:val="008E5BF2"/>
    <w:rsid w:val="008E5C81"/>
    <w:rsid w:val="008E5E70"/>
    <w:rsid w:val="008E6A28"/>
    <w:rsid w:val="008F0A38"/>
    <w:rsid w:val="008F0F84"/>
    <w:rsid w:val="008F1014"/>
    <w:rsid w:val="008F11C9"/>
    <w:rsid w:val="008F23D8"/>
    <w:rsid w:val="008F2FBA"/>
    <w:rsid w:val="008F2FD5"/>
    <w:rsid w:val="008F364E"/>
    <w:rsid w:val="008F37E5"/>
    <w:rsid w:val="008F48C2"/>
    <w:rsid w:val="008F515D"/>
    <w:rsid w:val="008F5840"/>
    <w:rsid w:val="008F5EEF"/>
    <w:rsid w:val="008F66FE"/>
    <w:rsid w:val="008F72CC"/>
    <w:rsid w:val="008F72CD"/>
    <w:rsid w:val="008F7B6B"/>
    <w:rsid w:val="00902D9B"/>
    <w:rsid w:val="009037BE"/>
    <w:rsid w:val="00903802"/>
    <w:rsid w:val="00905788"/>
    <w:rsid w:val="0090696D"/>
    <w:rsid w:val="00906CD6"/>
    <w:rsid w:val="00906E4D"/>
    <w:rsid w:val="00906F31"/>
    <w:rsid w:val="00907149"/>
    <w:rsid w:val="0090734E"/>
    <w:rsid w:val="0090762D"/>
    <w:rsid w:val="009078B3"/>
    <w:rsid w:val="00907A77"/>
    <w:rsid w:val="00907E00"/>
    <w:rsid w:val="0091088D"/>
    <w:rsid w:val="00910FC9"/>
    <w:rsid w:val="00912612"/>
    <w:rsid w:val="0091291A"/>
    <w:rsid w:val="00913612"/>
    <w:rsid w:val="0091366A"/>
    <w:rsid w:val="00913824"/>
    <w:rsid w:val="00915757"/>
    <w:rsid w:val="009159B3"/>
    <w:rsid w:val="00916181"/>
    <w:rsid w:val="009204C5"/>
    <w:rsid w:val="0092180D"/>
    <w:rsid w:val="0092210E"/>
    <w:rsid w:val="009221B6"/>
    <w:rsid w:val="009232C9"/>
    <w:rsid w:val="00923608"/>
    <w:rsid w:val="009238E5"/>
    <w:rsid w:val="00923F12"/>
    <w:rsid w:val="009247FC"/>
    <w:rsid w:val="00924C21"/>
    <w:rsid w:val="00924FF8"/>
    <w:rsid w:val="00925BA8"/>
    <w:rsid w:val="00926DA7"/>
    <w:rsid w:val="009270D2"/>
    <w:rsid w:val="00927F8B"/>
    <w:rsid w:val="0093094D"/>
    <w:rsid w:val="00932369"/>
    <w:rsid w:val="009328C7"/>
    <w:rsid w:val="009336EC"/>
    <w:rsid w:val="00933F56"/>
    <w:rsid w:val="00934C13"/>
    <w:rsid w:val="00935228"/>
    <w:rsid w:val="009355A2"/>
    <w:rsid w:val="00935F9E"/>
    <w:rsid w:val="00936D98"/>
    <w:rsid w:val="0094117D"/>
    <w:rsid w:val="0094205F"/>
    <w:rsid w:val="00942A62"/>
    <w:rsid w:val="00942C80"/>
    <w:rsid w:val="00943197"/>
    <w:rsid w:val="009435F2"/>
    <w:rsid w:val="00943905"/>
    <w:rsid w:val="00945180"/>
    <w:rsid w:val="0094590C"/>
    <w:rsid w:val="00946355"/>
    <w:rsid w:val="009468B7"/>
    <w:rsid w:val="009469AB"/>
    <w:rsid w:val="0094724E"/>
    <w:rsid w:val="00947973"/>
    <w:rsid w:val="00947BE6"/>
    <w:rsid w:val="0095048D"/>
    <w:rsid w:val="0095142C"/>
    <w:rsid w:val="00951ADB"/>
    <w:rsid w:val="00952493"/>
    <w:rsid w:val="009527CC"/>
    <w:rsid w:val="0095380C"/>
    <w:rsid w:val="00954353"/>
    <w:rsid w:val="00954F58"/>
    <w:rsid w:val="00954FB9"/>
    <w:rsid w:val="00955C0A"/>
    <w:rsid w:val="00955C4F"/>
    <w:rsid w:val="00962585"/>
    <w:rsid w:val="009637CB"/>
    <w:rsid w:val="009657F1"/>
    <w:rsid w:val="0096625D"/>
    <w:rsid w:val="00966372"/>
    <w:rsid w:val="00966E7C"/>
    <w:rsid w:val="009704A3"/>
    <w:rsid w:val="009709F8"/>
    <w:rsid w:val="009711F3"/>
    <w:rsid w:val="00971D66"/>
    <w:rsid w:val="00972929"/>
    <w:rsid w:val="00972F91"/>
    <w:rsid w:val="00973827"/>
    <w:rsid w:val="009742D3"/>
    <w:rsid w:val="009766C7"/>
    <w:rsid w:val="00977511"/>
    <w:rsid w:val="00977BA7"/>
    <w:rsid w:val="009808EE"/>
    <w:rsid w:val="0098194F"/>
    <w:rsid w:val="009826A3"/>
    <w:rsid w:val="009826C8"/>
    <w:rsid w:val="009836E4"/>
    <w:rsid w:val="00983D19"/>
    <w:rsid w:val="0098412F"/>
    <w:rsid w:val="00985F28"/>
    <w:rsid w:val="00986149"/>
    <w:rsid w:val="00986176"/>
    <w:rsid w:val="0098693C"/>
    <w:rsid w:val="00986E7F"/>
    <w:rsid w:val="00987536"/>
    <w:rsid w:val="00987CE7"/>
    <w:rsid w:val="0099092F"/>
    <w:rsid w:val="00990BD5"/>
    <w:rsid w:val="00990ED7"/>
    <w:rsid w:val="009917C2"/>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6D"/>
    <w:rsid w:val="009A089D"/>
    <w:rsid w:val="009A0B2F"/>
    <w:rsid w:val="009A0C6F"/>
    <w:rsid w:val="009A14EF"/>
    <w:rsid w:val="009A1EAD"/>
    <w:rsid w:val="009A2B1B"/>
    <w:rsid w:val="009A2CD9"/>
    <w:rsid w:val="009A2DF9"/>
    <w:rsid w:val="009A3A86"/>
    <w:rsid w:val="009A476A"/>
    <w:rsid w:val="009A4869"/>
    <w:rsid w:val="009A6A6B"/>
    <w:rsid w:val="009A7AEB"/>
    <w:rsid w:val="009B1EF9"/>
    <w:rsid w:val="009B26AC"/>
    <w:rsid w:val="009B37E2"/>
    <w:rsid w:val="009B3DE6"/>
    <w:rsid w:val="009B42AB"/>
    <w:rsid w:val="009B4369"/>
    <w:rsid w:val="009B4519"/>
    <w:rsid w:val="009B506B"/>
    <w:rsid w:val="009B51B0"/>
    <w:rsid w:val="009B57EF"/>
    <w:rsid w:val="009B5B85"/>
    <w:rsid w:val="009B6FEA"/>
    <w:rsid w:val="009B7204"/>
    <w:rsid w:val="009B7447"/>
    <w:rsid w:val="009B7A2E"/>
    <w:rsid w:val="009C0074"/>
    <w:rsid w:val="009C0564"/>
    <w:rsid w:val="009C0AAF"/>
    <w:rsid w:val="009C2685"/>
    <w:rsid w:val="009C39BC"/>
    <w:rsid w:val="009C4BC2"/>
    <w:rsid w:val="009C4D22"/>
    <w:rsid w:val="009C7320"/>
    <w:rsid w:val="009D0729"/>
    <w:rsid w:val="009D0F66"/>
    <w:rsid w:val="009D1A06"/>
    <w:rsid w:val="009D1BA4"/>
    <w:rsid w:val="009D22E4"/>
    <w:rsid w:val="009D22F7"/>
    <w:rsid w:val="009D2982"/>
    <w:rsid w:val="009D319C"/>
    <w:rsid w:val="009D3FDE"/>
    <w:rsid w:val="009D5BAB"/>
    <w:rsid w:val="009D69B7"/>
    <w:rsid w:val="009D6A0A"/>
    <w:rsid w:val="009D73C3"/>
    <w:rsid w:val="009E058F"/>
    <w:rsid w:val="009E071A"/>
    <w:rsid w:val="009E0A9E"/>
    <w:rsid w:val="009E1821"/>
    <w:rsid w:val="009E19A2"/>
    <w:rsid w:val="009E227D"/>
    <w:rsid w:val="009E30A8"/>
    <w:rsid w:val="009E3837"/>
    <w:rsid w:val="009E3AFD"/>
    <w:rsid w:val="009E3B5D"/>
    <w:rsid w:val="009E3CDD"/>
    <w:rsid w:val="009E43EB"/>
    <w:rsid w:val="009E45DD"/>
    <w:rsid w:val="009E4B16"/>
    <w:rsid w:val="009E5C60"/>
    <w:rsid w:val="009E6477"/>
    <w:rsid w:val="009E64DB"/>
    <w:rsid w:val="009E6794"/>
    <w:rsid w:val="009E7189"/>
    <w:rsid w:val="009E7C51"/>
    <w:rsid w:val="009E7E46"/>
    <w:rsid w:val="009E7FC1"/>
    <w:rsid w:val="009F01E1"/>
    <w:rsid w:val="009F0B4D"/>
    <w:rsid w:val="009F1096"/>
    <w:rsid w:val="009F150E"/>
    <w:rsid w:val="009F2232"/>
    <w:rsid w:val="009F27AD"/>
    <w:rsid w:val="009F3FB5"/>
    <w:rsid w:val="009F4F52"/>
    <w:rsid w:val="009F521F"/>
    <w:rsid w:val="009F553C"/>
    <w:rsid w:val="009F569E"/>
    <w:rsid w:val="009F59F8"/>
    <w:rsid w:val="009F7D29"/>
    <w:rsid w:val="00A0007F"/>
    <w:rsid w:val="00A005B0"/>
    <w:rsid w:val="00A01F17"/>
    <w:rsid w:val="00A022A5"/>
    <w:rsid w:val="00A03A22"/>
    <w:rsid w:val="00A04634"/>
    <w:rsid w:val="00A04F32"/>
    <w:rsid w:val="00A06119"/>
    <w:rsid w:val="00A07A48"/>
    <w:rsid w:val="00A107D3"/>
    <w:rsid w:val="00A108EE"/>
    <w:rsid w:val="00A10BB8"/>
    <w:rsid w:val="00A1200D"/>
    <w:rsid w:val="00A137E4"/>
    <w:rsid w:val="00A14813"/>
    <w:rsid w:val="00A14FCC"/>
    <w:rsid w:val="00A1566A"/>
    <w:rsid w:val="00A15F31"/>
    <w:rsid w:val="00A16115"/>
    <w:rsid w:val="00A165BF"/>
    <w:rsid w:val="00A172E8"/>
    <w:rsid w:val="00A179FF"/>
    <w:rsid w:val="00A207A2"/>
    <w:rsid w:val="00A20C56"/>
    <w:rsid w:val="00A21A36"/>
    <w:rsid w:val="00A2270C"/>
    <w:rsid w:val="00A22874"/>
    <w:rsid w:val="00A22F5D"/>
    <w:rsid w:val="00A23950"/>
    <w:rsid w:val="00A24A95"/>
    <w:rsid w:val="00A24EF9"/>
    <w:rsid w:val="00A2508B"/>
    <w:rsid w:val="00A25294"/>
    <w:rsid w:val="00A254EE"/>
    <w:rsid w:val="00A25500"/>
    <w:rsid w:val="00A25B3A"/>
    <w:rsid w:val="00A25BE7"/>
    <w:rsid w:val="00A27008"/>
    <w:rsid w:val="00A27AC9"/>
    <w:rsid w:val="00A27CDF"/>
    <w:rsid w:val="00A309C6"/>
    <w:rsid w:val="00A30D13"/>
    <w:rsid w:val="00A314F9"/>
    <w:rsid w:val="00A319D0"/>
    <w:rsid w:val="00A31DCF"/>
    <w:rsid w:val="00A32316"/>
    <w:rsid w:val="00A32367"/>
    <w:rsid w:val="00A329A2"/>
    <w:rsid w:val="00A33172"/>
    <w:rsid w:val="00A3432B"/>
    <w:rsid w:val="00A346BA"/>
    <w:rsid w:val="00A34C67"/>
    <w:rsid w:val="00A34D62"/>
    <w:rsid w:val="00A3611D"/>
    <w:rsid w:val="00A36339"/>
    <w:rsid w:val="00A366E4"/>
    <w:rsid w:val="00A406CB"/>
    <w:rsid w:val="00A42566"/>
    <w:rsid w:val="00A4376F"/>
    <w:rsid w:val="00A4549F"/>
    <w:rsid w:val="00A45B9B"/>
    <w:rsid w:val="00A462FE"/>
    <w:rsid w:val="00A501C9"/>
    <w:rsid w:val="00A50506"/>
    <w:rsid w:val="00A51D20"/>
    <w:rsid w:val="00A5387F"/>
    <w:rsid w:val="00A53F55"/>
    <w:rsid w:val="00A5416B"/>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74F"/>
    <w:rsid w:val="00A64942"/>
    <w:rsid w:val="00A65911"/>
    <w:rsid w:val="00A6643C"/>
    <w:rsid w:val="00A67544"/>
    <w:rsid w:val="00A7075B"/>
    <w:rsid w:val="00A70BC4"/>
    <w:rsid w:val="00A71CE6"/>
    <w:rsid w:val="00A71D23"/>
    <w:rsid w:val="00A7333A"/>
    <w:rsid w:val="00A73CED"/>
    <w:rsid w:val="00A73D0D"/>
    <w:rsid w:val="00A74A92"/>
    <w:rsid w:val="00A75CC1"/>
    <w:rsid w:val="00A75E88"/>
    <w:rsid w:val="00A77E81"/>
    <w:rsid w:val="00A77F9C"/>
    <w:rsid w:val="00A8042B"/>
    <w:rsid w:val="00A8056E"/>
    <w:rsid w:val="00A80C3B"/>
    <w:rsid w:val="00A82D58"/>
    <w:rsid w:val="00A8345B"/>
    <w:rsid w:val="00A8399D"/>
    <w:rsid w:val="00A83E3D"/>
    <w:rsid w:val="00A83E6C"/>
    <w:rsid w:val="00A8443A"/>
    <w:rsid w:val="00A8479C"/>
    <w:rsid w:val="00A85337"/>
    <w:rsid w:val="00A8557B"/>
    <w:rsid w:val="00A85A05"/>
    <w:rsid w:val="00A86D63"/>
    <w:rsid w:val="00A87797"/>
    <w:rsid w:val="00A90A21"/>
    <w:rsid w:val="00A90E72"/>
    <w:rsid w:val="00A91576"/>
    <w:rsid w:val="00A922A2"/>
    <w:rsid w:val="00A9327B"/>
    <w:rsid w:val="00A93B69"/>
    <w:rsid w:val="00A963C7"/>
    <w:rsid w:val="00A97C98"/>
    <w:rsid w:val="00AA09D9"/>
    <w:rsid w:val="00AA15F8"/>
    <w:rsid w:val="00AA1626"/>
    <w:rsid w:val="00AA1C25"/>
    <w:rsid w:val="00AA3DB7"/>
    <w:rsid w:val="00AA51F5"/>
    <w:rsid w:val="00AA5E3B"/>
    <w:rsid w:val="00AA68B4"/>
    <w:rsid w:val="00AB0543"/>
    <w:rsid w:val="00AB0AC9"/>
    <w:rsid w:val="00AB185A"/>
    <w:rsid w:val="00AB1948"/>
    <w:rsid w:val="00AB1BA7"/>
    <w:rsid w:val="00AB1E04"/>
    <w:rsid w:val="00AB29CF"/>
    <w:rsid w:val="00AB3113"/>
    <w:rsid w:val="00AB348A"/>
    <w:rsid w:val="00AB362F"/>
    <w:rsid w:val="00AB3F38"/>
    <w:rsid w:val="00AB43EC"/>
    <w:rsid w:val="00AB4507"/>
    <w:rsid w:val="00AB4BF4"/>
    <w:rsid w:val="00AB59BE"/>
    <w:rsid w:val="00AB5ADF"/>
    <w:rsid w:val="00AB5E57"/>
    <w:rsid w:val="00AB6178"/>
    <w:rsid w:val="00AB725F"/>
    <w:rsid w:val="00AC0705"/>
    <w:rsid w:val="00AC109B"/>
    <w:rsid w:val="00AC1314"/>
    <w:rsid w:val="00AC5286"/>
    <w:rsid w:val="00AC5404"/>
    <w:rsid w:val="00AC63E1"/>
    <w:rsid w:val="00AC74DA"/>
    <w:rsid w:val="00AC7A2B"/>
    <w:rsid w:val="00AC7C25"/>
    <w:rsid w:val="00AD0A51"/>
    <w:rsid w:val="00AD0B37"/>
    <w:rsid w:val="00AD11F7"/>
    <w:rsid w:val="00AD131D"/>
    <w:rsid w:val="00AD1DB7"/>
    <w:rsid w:val="00AD1F70"/>
    <w:rsid w:val="00AD2852"/>
    <w:rsid w:val="00AD3976"/>
    <w:rsid w:val="00AD4D2A"/>
    <w:rsid w:val="00AD4DA4"/>
    <w:rsid w:val="00AD542F"/>
    <w:rsid w:val="00AD619E"/>
    <w:rsid w:val="00AD61F6"/>
    <w:rsid w:val="00AD6667"/>
    <w:rsid w:val="00AD7305"/>
    <w:rsid w:val="00AD7E64"/>
    <w:rsid w:val="00AE02FD"/>
    <w:rsid w:val="00AE0C56"/>
    <w:rsid w:val="00AE149E"/>
    <w:rsid w:val="00AE1914"/>
    <w:rsid w:val="00AE22A0"/>
    <w:rsid w:val="00AE22F2"/>
    <w:rsid w:val="00AE29FC"/>
    <w:rsid w:val="00AE2F3F"/>
    <w:rsid w:val="00AE3B4E"/>
    <w:rsid w:val="00AE59EC"/>
    <w:rsid w:val="00AE67B3"/>
    <w:rsid w:val="00AE695F"/>
    <w:rsid w:val="00AE6DA8"/>
    <w:rsid w:val="00AE7864"/>
    <w:rsid w:val="00AE7949"/>
    <w:rsid w:val="00AF25D5"/>
    <w:rsid w:val="00AF352E"/>
    <w:rsid w:val="00AF3DBB"/>
    <w:rsid w:val="00AF5194"/>
    <w:rsid w:val="00AF53EF"/>
    <w:rsid w:val="00AF73C3"/>
    <w:rsid w:val="00AF795C"/>
    <w:rsid w:val="00B00752"/>
    <w:rsid w:val="00B026C1"/>
    <w:rsid w:val="00B02B9C"/>
    <w:rsid w:val="00B0353B"/>
    <w:rsid w:val="00B040B2"/>
    <w:rsid w:val="00B05DFA"/>
    <w:rsid w:val="00B10558"/>
    <w:rsid w:val="00B12B05"/>
    <w:rsid w:val="00B156A9"/>
    <w:rsid w:val="00B15F83"/>
    <w:rsid w:val="00B160FF"/>
    <w:rsid w:val="00B16322"/>
    <w:rsid w:val="00B1662E"/>
    <w:rsid w:val="00B16A6F"/>
    <w:rsid w:val="00B177A1"/>
    <w:rsid w:val="00B17AB1"/>
    <w:rsid w:val="00B21806"/>
    <w:rsid w:val="00B22C0D"/>
    <w:rsid w:val="00B230C8"/>
    <w:rsid w:val="00B23AF4"/>
    <w:rsid w:val="00B23C15"/>
    <w:rsid w:val="00B23FAB"/>
    <w:rsid w:val="00B2438F"/>
    <w:rsid w:val="00B25762"/>
    <w:rsid w:val="00B25B40"/>
    <w:rsid w:val="00B25FDE"/>
    <w:rsid w:val="00B26AB0"/>
    <w:rsid w:val="00B26AD2"/>
    <w:rsid w:val="00B26CA2"/>
    <w:rsid w:val="00B270FA"/>
    <w:rsid w:val="00B27C86"/>
    <w:rsid w:val="00B27D1A"/>
    <w:rsid w:val="00B303B8"/>
    <w:rsid w:val="00B30B4E"/>
    <w:rsid w:val="00B31246"/>
    <w:rsid w:val="00B326FF"/>
    <w:rsid w:val="00B32B53"/>
    <w:rsid w:val="00B339C1"/>
    <w:rsid w:val="00B340AA"/>
    <w:rsid w:val="00B34A9F"/>
    <w:rsid w:val="00B34B80"/>
    <w:rsid w:val="00B352BE"/>
    <w:rsid w:val="00B35CDA"/>
    <w:rsid w:val="00B37D97"/>
    <w:rsid w:val="00B4105F"/>
    <w:rsid w:val="00B411BD"/>
    <w:rsid w:val="00B41559"/>
    <w:rsid w:val="00B418E8"/>
    <w:rsid w:val="00B42285"/>
    <w:rsid w:val="00B423FA"/>
    <w:rsid w:val="00B4274B"/>
    <w:rsid w:val="00B4341F"/>
    <w:rsid w:val="00B435B1"/>
    <w:rsid w:val="00B4367F"/>
    <w:rsid w:val="00B438BA"/>
    <w:rsid w:val="00B43A9F"/>
    <w:rsid w:val="00B44F99"/>
    <w:rsid w:val="00B45876"/>
    <w:rsid w:val="00B45DF5"/>
    <w:rsid w:val="00B51542"/>
    <w:rsid w:val="00B51D1D"/>
    <w:rsid w:val="00B5310E"/>
    <w:rsid w:val="00B546AF"/>
    <w:rsid w:val="00B54ACC"/>
    <w:rsid w:val="00B54DCB"/>
    <w:rsid w:val="00B55AC2"/>
    <w:rsid w:val="00B560C9"/>
    <w:rsid w:val="00B56533"/>
    <w:rsid w:val="00B56CFC"/>
    <w:rsid w:val="00B57777"/>
    <w:rsid w:val="00B57A17"/>
    <w:rsid w:val="00B57BA3"/>
    <w:rsid w:val="00B60434"/>
    <w:rsid w:val="00B60A3F"/>
    <w:rsid w:val="00B6106C"/>
    <w:rsid w:val="00B61BE2"/>
    <w:rsid w:val="00B6266F"/>
    <w:rsid w:val="00B62E0B"/>
    <w:rsid w:val="00B63C32"/>
    <w:rsid w:val="00B64434"/>
    <w:rsid w:val="00B66A75"/>
    <w:rsid w:val="00B711CE"/>
    <w:rsid w:val="00B71DC8"/>
    <w:rsid w:val="00B746C6"/>
    <w:rsid w:val="00B7604C"/>
    <w:rsid w:val="00B7652C"/>
    <w:rsid w:val="00B766BF"/>
    <w:rsid w:val="00B76FA6"/>
    <w:rsid w:val="00B77831"/>
    <w:rsid w:val="00B80910"/>
    <w:rsid w:val="00B818F4"/>
    <w:rsid w:val="00B81A62"/>
    <w:rsid w:val="00B81BC9"/>
    <w:rsid w:val="00B8222F"/>
    <w:rsid w:val="00B82615"/>
    <w:rsid w:val="00B82FF8"/>
    <w:rsid w:val="00B83444"/>
    <w:rsid w:val="00B836ED"/>
    <w:rsid w:val="00B83E56"/>
    <w:rsid w:val="00B853BE"/>
    <w:rsid w:val="00B85D84"/>
    <w:rsid w:val="00B86476"/>
    <w:rsid w:val="00B86A3D"/>
    <w:rsid w:val="00B875C7"/>
    <w:rsid w:val="00B90145"/>
    <w:rsid w:val="00B90D10"/>
    <w:rsid w:val="00B90FE5"/>
    <w:rsid w:val="00B91450"/>
    <w:rsid w:val="00B919AD"/>
    <w:rsid w:val="00B91A2B"/>
    <w:rsid w:val="00B93204"/>
    <w:rsid w:val="00B93290"/>
    <w:rsid w:val="00B942D2"/>
    <w:rsid w:val="00B94E17"/>
    <w:rsid w:val="00B957FE"/>
    <w:rsid w:val="00B95F02"/>
    <w:rsid w:val="00B9601C"/>
    <w:rsid w:val="00B96BEF"/>
    <w:rsid w:val="00B96FC0"/>
    <w:rsid w:val="00B97260"/>
    <w:rsid w:val="00B972C7"/>
    <w:rsid w:val="00B97A69"/>
    <w:rsid w:val="00B97F1B"/>
    <w:rsid w:val="00BA057D"/>
    <w:rsid w:val="00BA0632"/>
    <w:rsid w:val="00BA0AAA"/>
    <w:rsid w:val="00BA0DFB"/>
    <w:rsid w:val="00BA0FA4"/>
    <w:rsid w:val="00BA2008"/>
    <w:rsid w:val="00BA2FEF"/>
    <w:rsid w:val="00BA4B21"/>
    <w:rsid w:val="00BA4BCC"/>
    <w:rsid w:val="00BA6F0E"/>
    <w:rsid w:val="00BA7C9C"/>
    <w:rsid w:val="00BB0132"/>
    <w:rsid w:val="00BB0BAF"/>
    <w:rsid w:val="00BB0ED8"/>
    <w:rsid w:val="00BB1335"/>
    <w:rsid w:val="00BB1548"/>
    <w:rsid w:val="00BB1C06"/>
    <w:rsid w:val="00BB1CE7"/>
    <w:rsid w:val="00BB2FD3"/>
    <w:rsid w:val="00BB2FDF"/>
    <w:rsid w:val="00BB2FFF"/>
    <w:rsid w:val="00BB3131"/>
    <w:rsid w:val="00BB33E8"/>
    <w:rsid w:val="00BB4D72"/>
    <w:rsid w:val="00BB501A"/>
    <w:rsid w:val="00BB5FCB"/>
    <w:rsid w:val="00BB604B"/>
    <w:rsid w:val="00BB6912"/>
    <w:rsid w:val="00BC00EC"/>
    <w:rsid w:val="00BC08C5"/>
    <w:rsid w:val="00BC0984"/>
    <w:rsid w:val="00BC12FB"/>
    <w:rsid w:val="00BC1C3C"/>
    <w:rsid w:val="00BC2E36"/>
    <w:rsid w:val="00BC307F"/>
    <w:rsid w:val="00BC3159"/>
    <w:rsid w:val="00BC3257"/>
    <w:rsid w:val="00BC375D"/>
    <w:rsid w:val="00BC39DB"/>
    <w:rsid w:val="00BC3A32"/>
    <w:rsid w:val="00BC3B07"/>
    <w:rsid w:val="00BC46EF"/>
    <w:rsid w:val="00BC48AB"/>
    <w:rsid w:val="00BC6FD6"/>
    <w:rsid w:val="00BC7F98"/>
    <w:rsid w:val="00BD008E"/>
    <w:rsid w:val="00BD2C1E"/>
    <w:rsid w:val="00BD2F3B"/>
    <w:rsid w:val="00BD3372"/>
    <w:rsid w:val="00BD50AA"/>
    <w:rsid w:val="00BD5135"/>
    <w:rsid w:val="00BD6D4F"/>
    <w:rsid w:val="00BD7291"/>
    <w:rsid w:val="00BD7826"/>
    <w:rsid w:val="00BD7EA3"/>
    <w:rsid w:val="00BD7FE2"/>
    <w:rsid w:val="00BE0B19"/>
    <w:rsid w:val="00BE0DD8"/>
    <w:rsid w:val="00BE109E"/>
    <w:rsid w:val="00BE1517"/>
    <w:rsid w:val="00BE1D82"/>
    <w:rsid w:val="00BE1EE4"/>
    <w:rsid w:val="00BE1F89"/>
    <w:rsid w:val="00BE1F8B"/>
    <w:rsid w:val="00BE2B4F"/>
    <w:rsid w:val="00BE2F39"/>
    <w:rsid w:val="00BE332D"/>
    <w:rsid w:val="00BE3CF1"/>
    <w:rsid w:val="00BE43DD"/>
    <w:rsid w:val="00BE497F"/>
    <w:rsid w:val="00BE4B20"/>
    <w:rsid w:val="00BE5FC4"/>
    <w:rsid w:val="00BE7C4D"/>
    <w:rsid w:val="00BE7F6A"/>
    <w:rsid w:val="00BF0274"/>
    <w:rsid w:val="00BF08C4"/>
    <w:rsid w:val="00BF0BAF"/>
    <w:rsid w:val="00BF0E34"/>
    <w:rsid w:val="00BF19CE"/>
    <w:rsid w:val="00BF24CD"/>
    <w:rsid w:val="00BF2B6F"/>
    <w:rsid w:val="00BF351A"/>
    <w:rsid w:val="00BF3914"/>
    <w:rsid w:val="00BF49B1"/>
    <w:rsid w:val="00BF5552"/>
    <w:rsid w:val="00BF56BE"/>
    <w:rsid w:val="00BF5930"/>
    <w:rsid w:val="00BF69E8"/>
    <w:rsid w:val="00BF6AB6"/>
    <w:rsid w:val="00BF73F2"/>
    <w:rsid w:val="00C00647"/>
    <w:rsid w:val="00C00D03"/>
    <w:rsid w:val="00C01671"/>
    <w:rsid w:val="00C02419"/>
    <w:rsid w:val="00C02766"/>
    <w:rsid w:val="00C03EE8"/>
    <w:rsid w:val="00C0455E"/>
    <w:rsid w:val="00C05BEC"/>
    <w:rsid w:val="00C061A8"/>
    <w:rsid w:val="00C06E7D"/>
    <w:rsid w:val="00C1112B"/>
    <w:rsid w:val="00C111F5"/>
    <w:rsid w:val="00C11A88"/>
    <w:rsid w:val="00C12012"/>
    <w:rsid w:val="00C12874"/>
    <w:rsid w:val="00C12BC1"/>
    <w:rsid w:val="00C13BDA"/>
    <w:rsid w:val="00C13DBE"/>
    <w:rsid w:val="00C13FFD"/>
    <w:rsid w:val="00C14632"/>
    <w:rsid w:val="00C16C30"/>
    <w:rsid w:val="00C174CC"/>
    <w:rsid w:val="00C20A00"/>
    <w:rsid w:val="00C20CC6"/>
    <w:rsid w:val="00C20DD4"/>
    <w:rsid w:val="00C21673"/>
    <w:rsid w:val="00C21C7A"/>
    <w:rsid w:val="00C22E14"/>
    <w:rsid w:val="00C23130"/>
    <w:rsid w:val="00C24E60"/>
    <w:rsid w:val="00C255A5"/>
    <w:rsid w:val="00C2584B"/>
    <w:rsid w:val="00C25942"/>
    <w:rsid w:val="00C25DD9"/>
    <w:rsid w:val="00C2663F"/>
    <w:rsid w:val="00C26C39"/>
    <w:rsid w:val="00C26DB8"/>
    <w:rsid w:val="00C33793"/>
    <w:rsid w:val="00C3400F"/>
    <w:rsid w:val="00C34B64"/>
    <w:rsid w:val="00C34C36"/>
    <w:rsid w:val="00C352B3"/>
    <w:rsid w:val="00C3654C"/>
    <w:rsid w:val="00C36BF5"/>
    <w:rsid w:val="00C36DBC"/>
    <w:rsid w:val="00C36ECB"/>
    <w:rsid w:val="00C376BA"/>
    <w:rsid w:val="00C37B0A"/>
    <w:rsid w:val="00C40373"/>
    <w:rsid w:val="00C4082D"/>
    <w:rsid w:val="00C40AE6"/>
    <w:rsid w:val="00C411AF"/>
    <w:rsid w:val="00C4138D"/>
    <w:rsid w:val="00C416EA"/>
    <w:rsid w:val="00C41DC8"/>
    <w:rsid w:val="00C41E3A"/>
    <w:rsid w:val="00C429FE"/>
    <w:rsid w:val="00C4304C"/>
    <w:rsid w:val="00C43315"/>
    <w:rsid w:val="00C4426B"/>
    <w:rsid w:val="00C452F5"/>
    <w:rsid w:val="00C46124"/>
    <w:rsid w:val="00C46555"/>
    <w:rsid w:val="00C46B15"/>
    <w:rsid w:val="00C46F7D"/>
    <w:rsid w:val="00C479B5"/>
    <w:rsid w:val="00C50199"/>
    <w:rsid w:val="00C50242"/>
    <w:rsid w:val="00C5034D"/>
    <w:rsid w:val="00C5050E"/>
    <w:rsid w:val="00C50821"/>
    <w:rsid w:val="00C50E99"/>
    <w:rsid w:val="00C52744"/>
    <w:rsid w:val="00C52815"/>
    <w:rsid w:val="00C53EB3"/>
    <w:rsid w:val="00C5428E"/>
    <w:rsid w:val="00C542D4"/>
    <w:rsid w:val="00C54D71"/>
    <w:rsid w:val="00C563F5"/>
    <w:rsid w:val="00C570F7"/>
    <w:rsid w:val="00C573AC"/>
    <w:rsid w:val="00C6057F"/>
    <w:rsid w:val="00C60E75"/>
    <w:rsid w:val="00C62685"/>
    <w:rsid w:val="00C62CD5"/>
    <w:rsid w:val="00C636E6"/>
    <w:rsid w:val="00C639D6"/>
    <w:rsid w:val="00C63C0A"/>
    <w:rsid w:val="00C63F8E"/>
    <w:rsid w:val="00C647FB"/>
    <w:rsid w:val="00C64AB8"/>
    <w:rsid w:val="00C654E0"/>
    <w:rsid w:val="00C65B88"/>
    <w:rsid w:val="00C670DE"/>
    <w:rsid w:val="00C67EAB"/>
    <w:rsid w:val="00C70DFF"/>
    <w:rsid w:val="00C714DE"/>
    <w:rsid w:val="00C74E2D"/>
    <w:rsid w:val="00C757C7"/>
    <w:rsid w:val="00C75A6B"/>
    <w:rsid w:val="00C763B6"/>
    <w:rsid w:val="00C7644F"/>
    <w:rsid w:val="00C768F6"/>
    <w:rsid w:val="00C76A8E"/>
    <w:rsid w:val="00C77D92"/>
    <w:rsid w:val="00C80073"/>
    <w:rsid w:val="00C80DEA"/>
    <w:rsid w:val="00C832DC"/>
    <w:rsid w:val="00C8377F"/>
    <w:rsid w:val="00C84ABD"/>
    <w:rsid w:val="00C84BE7"/>
    <w:rsid w:val="00C85008"/>
    <w:rsid w:val="00C8646D"/>
    <w:rsid w:val="00C8693F"/>
    <w:rsid w:val="00C86CF4"/>
    <w:rsid w:val="00C87636"/>
    <w:rsid w:val="00C91DE3"/>
    <w:rsid w:val="00C92C7F"/>
    <w:rsid w:val="00C9369D"/>
    <w:rsid w:val="00C943A4"/>
    <w:rsid w:val="00C944FA"/>
    <w:rsid w:val="00C9534C"/>
    <w:rsid w:val="00C95854"/>
    <w:rsid w:val="00C95D48"/>
    <w:rsid w:val="00C95EFF"/>
    <w:rsid w:val="00C96899"/>
    <w:rsid w:val="00C96E6F"/>
    <w:rsid w:val="00C97872"/>
    <w:rsid w:val="00CA0532"/>
    <w:rsid w:val="00CA077E"/>
    <w:rsid w:val="00CA156A"/>
    <w:rsid w:val="00CA2241"/>
    <w:rsid w:val="00CA3429"/>
    <w:rsid w:val="00CA3B20"/>
    <w:rsid w:val="00CA3CDD"/>
    <w:rsid w:val="00CA403B"/>
    <w:rsid w:val="00CA505A"/>
    <w:rsid w:val="00CA59DD"/>
    <w:rsid w:val="00CA674E"/>
    <w:rsid w:val="00CB008E"/>
    <w:rsid w:val="00CB01FA"/>
    <w:rsid w:val="00CB0737"/>
    <w:rsid w:val="00CB097A"/>
    <w:rsid w:val="00CB26EC"/>
    <w:rsid w:val="00CB2D2A"/>
    <w:rsid w:val="00CB5B1E"/>
    <w:rsid w:val="00CB74BE"/>
    <w:rsid w:val="00CB787A"/>
    <w:rsid w:val="00CC0C4A"/>
    <w:rsid w:val="00CC10E6"/>
    <w:rsid w:val="00CC17F0"/>
    <w:rsid w:val="00CC1853"/>
    <w:rsid w:val="00CC1FAE"/>
    <w:rsid w:val="00CC217B"/>
    <w:rsid w:val="00CC3A23"/>
    <w:rsid w:val="00CC50D8"/>
    <w:rsid w:val="00CC5ABB"/>
    <w:rsid w:val="00CC6DE8"/>
    <w:rsid w:val="00CC737C"/>
    <w:rsid w:val="00CD087D"/>
    <w:rsid w:val="00CD0B89"/>
    <w:rsid w:val="00CD0F5D"/>
    <w:rsid w:val="00CD16E6"/>
    <w:rsid w:val="00CD1C0B"/>
    <w:rsid w:val="00CD239A"/>
    <w:rsid w:val="00CD5210"/>
    <w:rsid w:val="00CD5512"/>
    <w:rsid w:val="00CD6E3D"/>
    <w:rsid w:val="00CD71AB"/>
    <w:rsid w:val="00CD77F7"/>
    <w:rsid w:val="00CE0109"/>
    <w:rsid w:val="00CE15F8"/>
    <w:rsid w:val="00CE1FC5"/>
    <w:rsid w:val="00CE2997"/>
    <w:rsid w:val="00CE36CA"/>
    <w:rsid w:val="00CE46E5"/>
    <w:rsid w:val="00CE485A"/>
    <w:rsid w:val="00CE5279"/>
    <w:rsid w:val="00CE5A78"/>
    <w:rsid w:val="00CE78AE"/>
    <w:rsid w:val="00CE7E62"/>
    <w:rsid w:val="00CF0F92"/>
    <w:rsid w:val="00CF1767"/>
    <w:rsid w:val="00CF195E"/>
    <w:rsid w:val="00CF19DA"/>
    <w:rsid w:val="00CF1C7F"/>
    <w:rsid w:val="00CF1CC0"/>
    <w:rsid w:val="00CF213B"/>
    <w:rsid w:val="00CF24F8"/>
    <w:rsid w:val="00CF2653"/>
    <w:rsid w:val="00CF4247"/>
    <w:rsid w:val="00CF5263"/>
    <w:rsid w:val="00CF60B5"/>
    <w:rsid w:val="00CF6713"/>
    <w:rsid w:val="00CF6B31"/>
    <w:rsid w:val="00CF7437"/>
    <w:rsid w:val="00D004FA"/>
    <w:rsid w:val="00D01B21"/>
    <w:rsid w:val="00D01E2F"/>
    <w:rsid w:val="00D0209A"/>
    <w:rsid w:val="00D02BB2"/>
    <w:rsid w:val="00D03102"/>
    <w:rsid w:val="00D03727"/>
    <w:rsid w:val="00D0378A"/>
    <w:rsid w:val="00D05132"/>
    <w:rsid w:val="00D0570B"/>
    <w:rsid w:val="00D05EA9"/>
    <w:rsid w:val="00D071F8"/>
    <w:rsid w:val="00D07252"/>
    <w:rsid w:val="00D074F4"/>
    <w:rsid w:val="00D07CE1"/>
    <w:rsid w:val="00D10102"/>
    <w:rsid w:val="00D1026A"/>
    <w:rsid w:val="00D106BB"/>
    <w:rsid w:val="00D1078F"/>
    <w:rsid w:val="00D107CF"/>
    <w:rsid w:val="00D10A0C"/>
    <w:rsid w:val="00D11B0B"/>
    <w:rsid w:val="00D12293"/>
    <w:rsid w:val="00D1255B"/>
    <w:rsid w:val="00D13AA5"/>
    <w:rsid w:val="00D14236"/>
    <w:rsid w:val="00D14553"/>
    <w:rsid w:val="00D14DB1"/>
    <w:rsid w:val="00D1502A"/>
    <w:rsid w:val="00D15F43"/>
    <w:rsid w:val="00D16E87"/>
    <w:rsid w:val="00D20B8B"/>
    <w:rsid w:val="00D2162C"/>
    <w:rsid w:val="00D21A3C"/>
    <w:rsid w:val="00D22F87"/>
    <w:rsid w:val="00D233F1"/>
    <w:rsid w:val="00D243BC"/>
    <w:rsid w:val="00D256F8"/>
    <w:rsid w:val="00D2685C"/>
    <w:rsid w:val="00D26A3B"/>
    <w:rsid w:val="00D276A7"/>
    <w:rsid w:val="00D27A1A"/>
    <w:rsid w:val="00D27D13"/>
    <w:rsid w:val="00D302FD"/>
    <w:rsid w:val="00D3038A"/>
    <w:rsid w:val="00D3098D"/>
    <w:rsid w:val="00D30D53"/>
    <w:rsid w:val="00D31A02"/>
    <w:rsid w:val="00D3323C"/>
    <w:rsid w:val="00D33456"/>
    <w:rsid w:val="00D3396F"/>
    <w:rsid w:val="00D33CDB"/>
    <w:rsid w:val="00D33D4D"/>
    <w:rsid w:val="00D34A0B"/>
    <w:rsid w:val="00D34D64"/>
    <w:rsid w:val="00D36234"/>
    <w:rsid w:val="00D36371"/>
    <w:rsid w:val="00D37646"/>
    <w:rsid w:val="00D41A9A"/>
    <w:rsid w:val="00D4237B"/>
    <w:rsid w:val="00D437D8"/>
    <w:rsid w:val="00D44896"/>
    <w:rsid w:val="00D44994"/>
    <w:rsid w:val="00D45DF3"/>
    <w:rsid w:val="00D46174"/>
    <w:rsid w:val="00D4632B"/>
    <w:rsid w:val="00D467BB"/>
    <w:rsid w:val="00D47D14"/>
    <w:rsid w:val="00D47DD0"/>
    <w:rsid w:val="00D50183"/>
    <w:rsid w:val="00D50518"/>
    <w:rsid w:val="00D51D12"/>
    <w:rsid w:val="00D5362B"/>
    <w:rsid w:val="00D55072"/>
    <w:rsid w:val="00D551B5"/>
    <w:rsid w:val="00D56DB2"/>
    <w:rsid w:val="00D56E85"/>
    <w:rsid w:val="00D5747F"/>
    <w:rsid w:val="00D57495"/>
    <w:rsid w:val="00D574FA"/>
    <w:rsid w:val="00D60C8D"/>
    <w:rsid w:val="00D61374"/>
    <w:rsid w:val="00D6168A"/>
    <w:rsid w:val="00D616A5"/>
    <w:rsid w:val="00D61FF0"/>
    <w:rsid w:val="00D6211D"/>
    <w:rsid w:val="00D62C97"/>
    <w:rsid w:val="00D62D71"/>
    <w:rsid w:val="00D63517"/>
    <w:rsid w:val="00D63B75"/>
    <w:rsid w:val="00D64C41"/>
    <w:rsid w:val="00D659B1"/>
    <w:rsid w:val="00D66308"/>
    <w:rsid w:val="00D66E18"/>
    <w:rsid w:val="00D6734D"/>
    <w:rsid w:val="00D679CF"/>
    <w:rsid w:val="00D679D3"/>
    <w:rsid w:val="00D7338E"/>
    <w:rsid w:val="00D7356F"/>
    <w:rsid w:val="00D73587"/>
    <w:rsid w:val="00D73EBB"/>
    <w:rsid w:val="00D751FB"/>
    <w:rsid w:val="00D754D6"/>
    <w:rsid w:val="00D761AA"/>
    <w:rsid w:val="00D76FAE"/>
    <w:rsid w:val="00D76FFB"/>
    <w:rsid w:val="00D777D7"/>
    <w:rsid w:val="00D77C68"/>
    <w:rsid w:val="00D77EF6"/>
    <w:rsid w:val="00D80AB8"/>
    <w:rsid w:val="00D81792"/>
    <w:rsid w:val="00D819B1"/>
    <w:rsid w:val="00D82494"/>
    <w:rsid w:val="00D82DCC"/>
    <w:rsid w:val="00D83AE9"/>
    <w:rsid w:val="00D84E43"/>
    <w:rsid w:val="00D857B8"/>
    <w:rsid w:val="00D85838"/>
    <w:rsid w:val="00D87175"/>
    <w:rsid w:val="00D87ABF"/>
    <w:rsid w:val="00D90CD3"/>
    <w:rsid w:val="00D919E6"/>
    <w:rsid w:val="00D91BE1"/>
    <w:rsid w:val="00D92C29"/>
    <w:rsid w:val="00D936E2"/>
    <w:rsid w:val="00D9405C"/>
    <w:rsid w:val="00D95104"/>
    <w:rsid w:val="00D95600"/>
    <w:rsid w:val="00D962B0"/>
    <w:rsid w:val="00D9683C"/>
    <w:rsid w:val="00D96998"/>
    <w:rsid w:val="00D97884"/>
    <w:rsid w:val="00DA0A7F"/>
    <w:rsid w:val="00DA1515"/>
    <w:rsid w:val="00DA1C31"/>
    <w:rsid w:val="00DA20BC"/>
    <w:rsid w:val="00DA24C2"/>
    <w:rsid w:val="00DA2ED7"/>
    <w:rsid w:val="00DA3E7A"/>
    <w:rsid w:val="00DA430C"/>
    <w:rsid w:val="00DA615D"/>
    <w:rsid w:val="00DA6598"/>
    <w:rsid w:val="00DA6A84"/>
    <w:rsid w:val="00DA6C0F"/>
    <w:rsid w:val="00DA702F"/>
    <w:rsid w:val="00DA7A09"/>
    <w:rsid w:val="00DA7F8A"/>
    <w:rsid w:val="00DB0176"/>
    <w:rsid w:val="00DB0404"/>
    <w:rsid w:val="00DB11F8"/>
    <w:rsid w:val="00DB1603"/>
    <w:rsid w:val="00DB18F8"/>
    <w:rsid w:val="00DB1F2A"/>
    <w:rsid w:val="00DB297F"/>
    <w:rsid w:val="00DB3153"/>
    <w:rsid w:val="00DB317A"/>
    <w:rsid w:val="00DB3B82"/>
    <w:rsid w:val="00DB3E57"/>
    <w:rsid w:val="00DB485D"/>
    <w:rsid w:val="00DB77BE"/>
    <w:rsid w:val="00DC0D74"/>
    <w:rsid w:val="00DC1327"/>
    <w:rsid w:val="00DC1350"/>
    <w:rsid w:val="00DC2ACC"/>
    <w:rsid w:val="00DC2F20"/>
    <w:rsid w:val="00DC3237"/>
    <w:rsid w:val="00DC41A4"/>
    <w:rsid w:val="00DC45BD"/>
    <w:rsid w:val="00DC5672"/>
    <w:rsid w:val="00DC60A2"/>
    <w:rsid w:val="00DC6600"/>
    <w:rsid w:val="00DC67BD"/>
    <w:rsid w:val="00DC6924"/>
    <w:rsid w:val="00DC71F2"/>
    <w:rsid w:val="00DD0076"/>
    <w:rsid w:val="00DD1478"/>
    <w:rsid w:val="00DD2025"/>
    <w:rsid w:val="00DD22EA"/>
    <w:rsid w:val="00DD23A0"/>
    <w:rsid w:val="00DD3EF5"/>
    <w:rsid w:val="00DD53FA"/>
    <w:rsid w:val="00DD587F"/>
    <w:rsid w:val="00DD5F42"/>
    <w:rsid w:val="00DD614F"/>
    <w:rsid w:val="00DD617B"/>
    <w:rsid w:val="00DD7C32"/>
    <w:rsid w:val="00DE08D9"/>
    <w:rsid w:val="00DE0E59"/>
    <w:rsid w:val="00DE0F6C"/>
    <w:rsid w:val="00DE1DFA"/>
    <w:rsid w:val="00DE219B"/>
    <w:rsid w:val="00DE5202"/>
    <w:rsid w:val="00DE52E3"/>
    <w:rsid w:val="00DE5E3E"/>
    <w:rsid w:val="00DE7A6F"/>
    <w:rsid w:val="00DE7C00"/>
    <w:rsid w:val="00DE7EF6"/>
    <w:rsid w:val="00DF03E9"/>
    <w:rsid w:val="00DF03ED"/>
    <w:rsid w:val="00DF04EE"/>
    <w:rsid w:val="00DF0BF4"/>
    <w:rsid w:val="00DF16F0"/>
    <w:rsid w:val="00DF179D"/>
    <w:rsid w:val="00DF1E9C"/>
    <w:rsid w:val="00DF1ECB"/>
    <w:rsid w:val="00DF4572"/>
    <w:rsid w:val="00DF4658"/>
    <w:rsid w:val="00DF526C"/>
    <w:rsid w:val="00DF5722"/>
    <w:rsid w:val="00DF6C8B"/>
    <w:rsid w:val="00DF6F17"/>
    <w:rsid w:val="00DF708A"/>
    <w:rsid w:val="00DF78FA"/>
    <w:rsid w:val="00E002F1"/>
    <w:rsid w:val="00E0082C"/>
    <w:rsid w:val="00E01738"/>
    <w:rsid w:val="00E01D09"/>
    <w:rsid w:val="00E01DAA"/>
    <w:rsid w:val="00E023E5"/>
    <w:rsid w:val="00E02432"/>
    <w:rsid w:val="00E04022"/>
    <w:rsid w:val="00E04697"/>
    <w:rsid w:val="00E04DC1"/>
    <w:rsid w:val="00E0622D"/>
    <w:rsid w:val="00E0728F"/>
    <w:rsid w:val="00E072CD"/>
    <w:rsid w:val="00E0755C"/>
    <w:rsid w:val="00E10A06"/>
    <w:rsid w:val="00E13CEB"/>
    <w:rsid w:val="00E149CB"/>
    <w:rsid w:val="00E14A7E"/>
    <w:rsid w:val="00E151E1"/>
    <w:rsid w:val="00E17619"/>
    <w:rsid w:val="00E17805"/>
    <w:rsid w:val="00E20F79"/>
    <w:rsid w:val="00E21278"/>
    <w:rsid w:val="00E22CCD"/>
    <w:rsid w:val="00E23A11"/>
    <w:rsid w:val="00E23FB7"/>
    <w:rsid w:val="00E24A27"/>
    <w:rsid w:val="00E25F89"/>
    <w:rsid w:val="00E272C4"/>
    <w:rsid w:val="00E312AD"/>
    <w:rsid w:val="00E31AB1"/>
    <w:rsid w:val="00E329AC"/>
    <w:rsid w:val="00E32D62"/>
    <w:rsid w:val="00E32DD4"/>
    <w:rsid w:val="00E32F8E"/>
    <w:rsid w:val="00E3394C"/>
    <w:rsid w:val="00E339DC"/>
    <w:rsid w:val="00E33E15"/>
    <w:rsid w:val="00E33FFB"/>
    <w:rsid w:val="00E34340"/>
    <w:rsid w:val="00E361B8"/>
    <w:rsid w:val="00E36A1B"/>
    <w:rsid w:val="00E37188"/>
    <w:rsid w:val="00E4036F"/>
    <w:rsid w:val="00E410F0"/>
    <w:rsid w:val="00E429ED"/>
    <w:rsid w:val="00E43C66"/>
    <w:rsid w:val="00E43F37"/>
    <w:rsid w:val="00E450ED"/>
    <w:rsid w:val="00E4652E"/>
    <w:rsid w:val="00E4791B"/>
    <w:rsid w:val="00E47E31"/>
    <w:rsid w:val="00E50AC6"/>
    <w:rsid w:val="00E5189F"/>
    <w:rsid w:val="00E51DDD"/>
    <w:rsid w:val="00E51FDD"/>
    <w:rsid w:val="00E52435"/>
    <w:rsid w:val="00E5246F"/>
    <w:rsid w:val="00E52616"/>
    <w:rsid w:val="00E53122"/>
    <w:rsid w:val="00E5351B"/>
    <w:rsid w:val="00E539F9"/>
    <w:rsid w:val="00E53FA9"/>
    <w:rsid w:val="00E5414C"/>
    <w:rsid w:val="00E546E2"/>
    <w:rsid w:val="00E547B3"/>
    <w:rsid w:val="00E5733D"/>
    <w:rsid w:val="00E612B9"/>
    <w:rsid w:val="00E61CC0"/>
    <w:rsid w:val="00E6277B"/>
    <w:rsid w:val="00E62DD6"/>
    <w:rsid w:val="00E62E27"/>
    <w:rsid w:val="00E63215"/>
    <w:rsid w:val="00E633B2"/>
    <w:rsid w:val="00E64424"/>
    <w:rsid w:val="00E64C99"/>
    <w:rsid w:val="00E64CD3"/>
    <w:rsid w:val="00E671C9"/>
    <w:rsid w:val="00E6743F"/>
    <w:rsid w:val="00E6758E"/>
    <w:rsid w:val="00E67E23"/>
    <w:rsid w:val="00E70016"/>
    <w:rsid w:val="00E70BC7"/>
    <w:rsid w:val="00E70FBC"/>
    <w:rsid w:val="00E711C6"/>
    <w:rsid w:val="00E722C9"/>
    <w:rsid w:val="00E72C01"/>
    <w:rsid w:val="00E73C52"/>
    <w:rsid w:val="00E73F16"/>
    <w:rsid w:val="00E741AC"/>
    <w:rsid w:val="00E75174"/>
    <w:rsid w:val="00E75EBA"/>
    <w:rsid w:val="00E763B4"/>
    <w:rsid w:val="00E77848"/>
    <w:rsid w:val="00E80514"/>
    <w:rsid w:val="00E80E5B"/>
    <w:rsid w:val="00E816C5"/>
    <w:rsid w:val="00E81CE0"/>
    <w:rsid w:val="00E81E7C"/>
    <w:rsid w:val="00E820A5"/>
    <w:rsid w:val="00E8224D"/>
    <w:rsid w:val="00E8480B"/>
    <w:rsid w:val="00E848BD"/>
    <w:rsid w:val="00E8519F"/>
    <w:rsid w:val="00E85354"/>
    <w:rsid w:val="00E85CC3"/>
    <w:rsid w:val="00E8644A"/>
    <w:rsid w:val="00E90279"/>
    <w:rsid w:val="00E905E3"/>
    <w:rsid w:val="00E90635"/>
    <w:rsid w:val="00E909A1"/>
    <w:rsid w:val="00E90BFF"/>
    <w:rsid w:val="00E91F04"/>
    <w:rsid w:val="00E91F35"/>
    <w:rsid w:val="00E93726"/>
    <w:rsid w:val="00E95BA6"/>
    <w:rsid w:val="00E95CCC"/>
    <w:rsid w:val="00E96018"/>
    <w:rsid w:val="00E9648F"/>
    <w:rsid w:val="00E97648"/>
    <w:rsid w:val="00E978D4"/>
    <w:rsid w:val="00EA05BD"/>
    <w:rsid w:val="00EA0E4A"/>
    <w:rsid w:val="00EA1A54"/>
    <w:rsid w:val="00EA2226"/>
    <w:rsid w:val="00EA26FC"/>
    <w:rsid w:val="00EA291F"/>
    <w:rsid w:val="00EA374F"/>
    <w:rsid w:val="00EA3B5A"/>
    <w:rsid w:val="00EA410E"/>
    <w:rsid w:val="00EA4644"/>
    <w:rsid w:val="00EA4FD1"/>
    <w:rsid w:val="00EA51D0"/>
    <w:rsid w:val="00EA53C2"/>
    <w:rsid w:val="00EA5446"/>
    <w:rsid w:val="00EA54F7"/>
    <w:rsid w:val="00EA5695"/>
    <w:rsid w:val="00EA5B0A"/>
    <w:rsid w:val="00EA6375"/>
    <w:rsid w:val="00EA65AD"/>
    <w:rsid w:val="00EA6E8B"/>
    <w:rsid w:val="00EA75A0"/>
    <w:rsid w:val="00EA7F54"/>
    <w:rsid w:val="00EA7FCF"/>
    <w:rsid w:val="00EB0CA3"/>
    <w:rsid w:val="00EB104F"/>
    <w:rsid w:val="00EB1B27"/>
    <w:rsid w:val="00EB1DA8"/>
    <w:rsid w:val="00EB207C"/>
    <w:rsid w:val="00EB20D6"/>
    <w:rsid w:val="00EB288D"/>
    <w:rsid w:val="00EB2E74"/>
    <w:rsid w:val="00EB37CC"/>
    <w:rsid w:val="00EB4403"/>
    <w:rsid w:val="00EB4CFF"/>
    <w:rsid w:val="00EB5476"/>
    <w:rsid w:val="00EB70B0"/>
    <w:rsid w:val="00EB7633"/>
    <w:rsid w:val="00EB7736"/>
    <w:rsid w:val="00EC2466"/>
    <w:rsid w:val="00EC2E2D"/>
    <w:rsid w:val="00EC462B"/>
    <w:rsid w:val="00EC4723"/>
    <w:rsid w:val="00EC56E0"/>
    <w:rsid w:val="00EC6057"/>
    <w:rsid w:val="00EC6847"/>
    <w:rsid w:val="00EC7DB6"/>
    <w:rsid w:val="00ED0D9D"/>
    <w:rsid w:val="00ED162F"/>
    <w:rsid w:val="00ED2C71"/>
    <w:rsid w:val="00ED2D5D"/>
    <w:rsid w:val="00ED2E52"/>
    <w:rsid w:val="00ED3024"/>
    <w:rsid w:val="00ED3C55"/>
    <w:rsid w:val="00ED5FE4"/>
    <w:rsid w:val="00ED71C5"/>
    <w:rsid w:val="00EE16FA"/>
    <w:rsid w:val="00EE35B9"/>
    <w:rsid w:val="00EE3C42"/>
    <w:rsid w:val="00EE3D4F"/>
    <w:rsid w:val="00EE4A0C"/>
    <w:rsid w:val="00EE4AC4"/>
    <w:rsid w:val="00EE534D"/>
    <w:rsid w:val="00EE5560"/>
    <w:rsid w:val="00EE6F1E"/>
    <w:rsid w:val="00EE7315"/>
    <w:rsid w:val="00EE7E72"/>
    <w:rsid w:val="00EF0348"/>
    <w:rsid w:val="00EF1F9C"/>
    <w:rsid w:val="00EF4366"/>
    <w:rsid w:val="00EF4624"/>
    <w:rsid w:val="00EF4CD6"/>
    <w:rsid w:val="00EF5525"/>
    <w:rsid w:val="00EF55A0"/>
    <w:rsid w:val="00EF63D1"/>
    <w:rsid w:val="00EF6513"/>
    <w:rsid w:val="00EF6683"/>
    <w:rsid w:val="00EF7002"/>
    <w:rsid w:val="00EF769B"/>
    <w:rsid w:val="00F025C0"/>
    <w:rsid w:val="00F027BA"/>
    <w:rsid w:val="00F03153"/>
    <w:rsid w:val="00F03E79"/>
    <w:rsid w:val="00F040B1"/>
    <w:rsid w:val="00F04341"/>
    <w:rsid w:val="00F0628D"/>
    <w:rsid w:val="00F06651"/>
    <w:rsid w:val="00F07DE6"/>
    <w:rsid w:val="00F1056C"/>
    <w:rsid w:val="00F107F1"/>
    <w:rsid w:val="00F10FC1"/>
    <w:rsid w:val="00F112FD"/>
    <w:rsid w:val="00F13091"/>
    <w:rsid w:val="00F133A1"/>
    <w:rsid w:val="00F13ECD"/>
    <w:rsid w:val="00F142CF"/>
    <w:rsid w:val="00F15504"/>
    <w:rsid w:val="00F15543"/>
    <w:rsid w:val="00F155CE"/>
    <w:rsid w:val="00F158B5"/>
    <w:rsid w:val="00F16366"/>
    <w:rsid w:val="00F17015"/>
    <w:rsid w:val="00F17EAE"/>
    <w:rsid w:val="00F20183"/>
    <w:rsid w:val="00F218D4"/>
    <w:rsid w:val="00F2250A"/>
    <w:rsid w:val="00F24788"/>
    <w:rsid w:val="00F250CE"/>
    <w:rsid w:val="00F252E2"/>
    <w:rsid w:val="00F25732"/>
    <w:rsid w:val="00F26139"/>
    <w:rsid w:val="00F2640F"/>
    <w:rsid w:val="00F2736F"/>
    <w:rsid w:val="00F27C34"/>
    <w:rsid w:val="00F27E46"/>
    <w:rsid w:val="00F301C2"/>
    <w:rsid w:val="00F302E1"/>
    <w:rsid w:val="00F3116D"/>
    <w:rsid w:val="00F31B22"/>
    <w:rsid w:val="00F31B49"/>
    <w:rsid w:val="00F32F56"/>
    <w:rsid w:val="00F33727"/>
    <w:rsid w:val="00F33D4F"/>
    <w:rsid w:val="00F34CD6"/>
    <w:rsid w:val="00F35873"/>
    <w:rsid w:val="00F35920"/>
    <w:rsid w:val="00F35E9A"/>
    <w:rsid w:val="00F366A5"/>
    <w:rsid w:val="00F36C5F"/>
    <w:rsid w:val="00F36DC2"/>
    <w:rsid w:val="00F37259"/>
    <w:rsid w:val="00F4031A"/>
    <w:rsid w:val="00F405A4"/>
    <w:rsid w:val="00F41F05"/>
    <w:rsid w:val="00F433BD"/>
    <w:rsid w:val="00F436F2"/>
    <w:rsid w:val="00F438DD"/>
    <w:rsid w:val="00F44EC5"/>
    <w:rsid w:val="00F4614E"/>
    <w:rsid w:val="00F47498"/>
    <w:rsid w:val="00F47D77"/>
    <w:rsid w:val="00F512B2"/>
    <w:rsid w:val="00F5283D"/>
    <w:rsid w:val="00F52ABA"/>
    <w:rsid w:val="00F52BC7"/>
    <w:rsid w:val="00F53BF4"/>
    <w:rsid w:val="00F54266"/>
    <w:rsid w:val="00F55043"/>
    <w:rsid w:val="00F55FE9"/>
    <w:rsid w:val="00F56DCF"/>
    <w:rsid w:val="00F57034"/>
    <w:rsid w:val="00F5787E"/>
    <w:rsid w:val="00F60BE9"/>
    <w:rsid w:val="00F61FD8"/>
    <w:rsid w:val="00F62DBF"/>
    <w:rsid w:val="00F641FC"/>
    <w:rsid w:val="00F647F7"/>
    <w:rsid w:val="00F6583C"/>
    <w:rsid w:val="00F6589A"/>
    <w:rsid w:val="00F6622E"/>
    <w:rsid w:val="00F6674F"/>
    <w:rsid w:val="00F6783E"/>
    <w:rsid w:val="00F70A0D"/>
    <w:rsid w:val="00F70DBE"/>
    <w:rsid w:val="00F71124"/>
    <w:rsid w:val="00F71888"/>
    <w:rsid w:val="00F719CD"/>
    <w:rsid w:val="00F71BB8"/>
    <w:rsid w:val="00F72584"/>
    <w:rsid w:val="00F728C4"/>
    <w:rsid w:val="00F7290D"/>
    <w:rsid w:val="00F7302F"/>
    <w:rsid w:val="00F732EC"/>
    <w:rsid w:val="00F73D08"/>
    <w:rsid w:val="00F7411D"/>
    <w:rsid w:val="00F7475C"/>
    <w:rsid w:val="00F74793"/>
    <w:rsid w:val="00F7532D"/>
    <w:rsid w:val="00F7586B"/>
    <w:rsid w:val="00F75F2F"/>
    <w:rsid w:val="00F76445"/>
    <w:rsid w:val="00F76ECC"/>
    <w:rsid w:val="00F77ACB"/>
    <w:rsid w:val="00F80399"/>
    <w:rsid w:val="00F809A1"/>
    <w:rsid w:val="00F812C8"/>
    <w:rsid w:val="00F8132D"/>
    <w:rsid w:val="00F818AE"/>
    <w:rsid w:val="00F81B40"/>
    <w:rsid w:val="00F820C4"/>
    <w:rsid w:val="00F82883"/>
    <w:rsid w:val="00F83488"/>
    <w:rsid w:val="00F83829"/>
    <w:rsid w:val="00F84069"/>
    <w:rsid w:val="00F843D7"/>
    <w:rsid w:val="00F850FC"/>
    <w:rsid w:val="00F8526E"/>
    <w:rsid w:val="00F85536"/>
    <w:rsid w:val="00F85988"/>
    <w:rsid w:val="00F860AF"/>
    <w:rsid w:val="00F8657A"/>
    <w:rsid w:val="00F8679A"/>
    <w:rsid w:val="00F87117"/>
    <w:rsid w:val="00F8736C"/>
    <w:rsid w:val="00F8778C"/>
    <w:rsid w:val="00F9030E"/>
    <w:rsid w:val="00F904DE"/>
    <w:rsid w:val="00F90ADB"/>
    <w:rsid w:val="00F90DF4"/>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176"/>
    <w:rsid w:val="00FA4D66"/>
    <w:rsid w:val="00FA5A4E"/>
    <w:rsid w:val="00FA5E40"/>
    <w:rsid w:val="00FB0082"/>
    <w:rsid w:val="00FB0219"/>
    <w:rsid w:val="00FB0243"/>
    <w:rsid w:val="00FB1527"/>
    <w:rsid w:val="00FB2339"/>
    <w:rsid w:val="00FB2537"/>
    <w:rsid w:val="00FB2A54"/>
    <w:rsid w:val="00FB33DC"/>
    <w:rsid w:val="00FB4338"/>
    <w:rsid w:val="00FB4442"/>
    <w:rsid w:val="00FB477E"/>
    <w:rsid w:val="00FB4BE5"/>
    <w:rsid w:val="00FB4C9C"/>
    <w:rsid w:val="00FB6165"/>
    <w:rsid w:val="00FB64D8"/>
    <w:rsid w:val="00FB6653"/>
    <w:rsid w:val="00FC0150"/>
    <w:rsid w:val="00FC03AB"/>
    <w:rsid w:val="00FC0481"/>
    <w:rsid w:val="00FC06F7"/>
    <w:rsid w:val="00FC27C3"/>
    <w:rsid w:val="00FC4729"/>
    <w:rsid w:val="00FC4A8C"/>
    <w:rsid w:val="00FC53DB"/>
    <w:rsid w:val="00FC5FC2"/>
    <w:rsid w:val="00FC6177"/>
    <w:rsid w:val="00FC63D1"/>
    <w:rsid w:val="00FC70C5"/>
    <w:rsid w:val="00FC73D1"/>
    <w:rsid w:val="00FC7528"/>
    <w:rsid w:val="00FC7775"/>
    <w:rsid w:val="00FD0572"/>
    <w:rsid w:val="00FD0D8A"/>
    <w:rsid w:val="00FD1A97"/>
    <w:rsid w:val="00FD21F6"/>
    <w:rsid w:val="00FD2BC2"/>
    <w:rsid w:val="00FD2D7B"/>
    <w:rsid w:val="00FD3005"/>
    <w:rsid w:val="00FD37F6"/>
    <w:rsid w:val="00FD4589"/>
    <w:rsid w:val="00FD473E"/>
    <w:rsid w:val="00FD4868"/>
    <w:rsid w:val="00FD52DA"/>
    <w:rsid w:val="00FD60E8"/>
    <w:rsid w:val="00FD7DF9"/>
    <w:rsid w:val="00FE0B51"/>
    <w:rsid w:val="00FE0B78"/>
    <w:rsid w:val="00FE0ED4"/>
    <w:rsid w:val="00FE13C9"/>
    <w:rsid w:val="00FE1EAB"/>
    <w:rsid w:val="00FE3465"/>
    <w:rsid w:val="00FE37AF"/>
    <w:rsid w:val="00FE3B64"/>
    <w:rsid w:val="00FE467E"/>
    <w:rsid w:val="00FE4CF1"/>
    <w:rsid w:val="00FE5AE3"/>
    <w:rsid w:val="00FE5C99"/>
    <w:rsid w:val="00FE67CF"/>
    <w:rsid w:val="00FE6D20"/>
    <w:rsid w:val="00FE6FB9"/>
    <w:rsid w:val="00FE7549"/>
    <w:rsid w:val="00FE7645"/>
    <w:rsid w:val="00FE7BCC"/>
    <w:rsid w:val="00FF126D"/>
    <w:rsid w:val="00FF13FD"/>
    <w:rsid w:val="00FF1872"/>
    <w:rsid w:val="00FF22B2"/>
    <w:rsid w:val="00FF2310"/>
    <w:rsid w:val="00FF2E73"/>
    <w:rsid w:val="00FF3744"/>
    <w:rsid w:val="00FF4AE2"/>
    <w:rsid w:val="00FF50A8"/>
    <w:rsid w:val="00FF571E"/>
    <w:rsid w:val="00FF629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314AF"/>
  <w15:chartTrackingRefBased/>
  <w15:docId w15:val="{BF77281C-5FE3-4ADB-93C9-525B44ADD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259"/>
    <w:pPr>
      <w:autoSpaceDE w:val="0"/>
      <w:autoSpaceDN w:val="0"/>
      <w:adjustRightInd w:val="0"/>
      <w:snapToGrid w:val="0"/>
      <w:spacing w:after="120"/>
      <w:jc w:val="both"/>
    </w:pPr>
    <w:rPr>
      <w:sz w:val="22"/>
      <w:szCs w:val="22"/>
      <w:lang w:eastAsia="en-US"/>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E539F9"/>
    <w:rPr>
      <w:rFonts w:ascii="宋体"/>
      <w:kern w:val="2"/>
      <w:sz w:val="18"/>
      <w:szCs w:val="18"/>
      <w:lang w:val="en-GB"/>
    </w:rPr>
  </w:style>
  <w:style w:type="character" w:customStyle="1" w:styleId="Char3">
    <w:name w:val="文档结构图 Char"/>
    <w:link w:val="af0"/>
    <w:rsid w:val="00E539F9"/>
    <w:rPr>
      <w:rFonts w:ascii="宋体"/>
      <w:kern w:val="2"/>
      <w:sz w:val="18"/>
      <w:szCs w:val="18"/>
      <w:lang w:val="en-GB" w:eastAsia="en-US" w:bidi="ar-SA"/>
    </w:rPr>
  </w:style>
  <w:style w:type="character" w:styleId="af1">
    <w:name w:val="annotation reference"/>
    <w:rsid w:val="00971D66"/>
    <w:rPr>
      <w:kern w:val="2"/>
      <w:sz w:val="16"/>
      <w:szCs w:val="16"/>
      <w:lang w:val="en-GB" w:eastAsia="zh-CN" w:bidi="ar-SA"/>
    </w:rPr>
  </w:style>
  <w:style w:type="paragraph" w:styleId="af2">
    <w:name w:val="annotation text"/>
    <w:basedOn w:val="a"/>
    <w:link w:val="Char4"/>
    <w:rsid w:val="00971D66"/>
    <w:rPr>
      <w:kern w:val="2"/>
      <w:sz w:val="20"/>
      <w:szCs w:val="20"/>
      <w:lang w:val="en-GB"/>
    </w:rPr>
  </w:style>
  <w:style w:type="character" w:customStyle="1" w:styleId="Char4">
    <w:name w:val="批注文字 Char"/>
    <w:link w:val="af2"/>
    <w:rsid w:val="00971D66"/>
    <w:rPr>
      <w:kern w:val="2"/>
      <w:lang w:val="en-GB" w:eastAsia="en-US" w:bidi="ar-SA"/>
    </w:rPr>
  </w:style>
  <w:style w:type="paragraph" w:styleId="af3">
    <w:name w:val="annotation subject"/>
    <w:basedOn w:val="af2"/>
    <w:next w:val="af2"/>
    <w:link w:val="Char5"/>
    <w:rsid w:val="00971D66"/>
    <w:rPr>
      <w:b/>
      <w:bCs/>
    </w:rPr>
  </w:style>
  <w:style w:type="character" w:customStyle="1" w:styleId="Char5">
    <w:name w:val="批注主题 Char"/>
    <w:link w:val="af3"/>
    <w:rsid w:val="00971D66"/>
    <w:rPr>
      <w:b/>
      <w:bCs/>
      <w:kern w:val="2"/>
      <w:lang w:val="en-GB" w:eastAsia="en-US" w:bidi="ar-SA"/>
    </w:rPr>
  </w:style>
  <w:style w:type="character" w:customStyle="1" w:styleId="im-content1">
    <w:name w:val="im-content1"/>
    <w:rsid w:val="00D50518"/>
    <w:rPr>
      <w:vanish w:val="0"/>
      <w:webHidden w:val="0"/>
      <w:color w:val="333333"/>
      <w:kern w:val="2"/>
      <w:lang w:val="en-GB" w:eastAsia="zh-CN" w:bidi="ar-SA"/>
      <w:specVanish w:val="0"/>
    </w:rPr>
  </w:style>
  <w:style w:type="character" w:customStyle="1" w:styleId="im-content2">
    <w:name w:val="im-content2"/>
    <w:rsid w:val="00E34340"/>
    <w:rPr>
      <w:vanish w:val="0"/>
      <w:webHidden w:val="0"/>
      <w:color w:val="333333"/>
      <w:kern w:val="2"/>
      <w:lang w:val="en-GB" w:eastAsia="zh-CN" w:bidi="ar-SA"/>
      <w:specVanish w:val="0"/>
    </w:rPr>
  </w:style>
  <w:style w:type="character" w:customStyle="1" w:styleId="im-content3">
    <w:name w:val="im-content3"/>
    <w:rsid w:val="00E34340"/>
    <w:rPr>
      <w:vanish w:val="0"/>
      <w:webHidden w:val="0"/>
      <w:color w:val="333333"/>
      <w:kern w:val="2"/>
      <w:lang w:val="en-GB" w:eastAsia="zh-CN" w:bidi="ar-SA"/>
      <w:specVanish w:val="0"/>
    </w:rPr>
  </w:style>
  <w:style w:type="character" w:styleId="af4">
    <w:name w:val="Placeholder Text"/>
    <w:uiPriority w:val="99"/>
    <w:semiHidden/>
    <w:rsid w:val="00C65B88"/>
    <w:rPr>
      <w:color w:val="808080"/>
      <w:kern w:val="2"/>
      <w:lang w:val="en-GB" w:eastAsia="zh-CN" w:bidi="ar-SA"/>
    </w:rPr>
  </w:style>
  <w:style w:type="paragraph" w:styleId="af5">
    <w:name w:val="Revision"/>
    <w:hidden/>
    <w:uiPriority w:val="99"/>
    <w:semiHidden/>
    <w:rsid w:val="00080259"/>
    <w:rPr>
      <w:sz w:val="22"/>
      <w:szCs w:val="22"/>
      <w:lang w:eastAsia="en-US"/>
    </w:rPr>
  </w:style>
  <w:style w:type="paragraph" w:customStyle="1" w:styleId="21Descriptiontext">
    <w:name w:val="2.1 Description text"/>
    <w:basedOn w:val="a"/>
    <w:rsid w:val="00666C4B"/>
    <w:pPr>
      <w:tabs>
        <w:tab w:val="left" w:pos="851"/>
        <w:tab w:val="left" w:pos="1418"/>
      </w:tabs>
      <w:autoSpaceDE/>
      <w:autoSpaceDN/>
      <w:adjustRightInd/>
      <w:snapToGrid/>
      <w:spacing w:after="240" w:line="360" w:lineRule="auto"/>
      <w:jc w:val="left"/>
    </w:pPr>
    <w:rPr>
      <w:rFonts w:ascii="Courier New" w:eastAsia="Times New Roman" w:hAnsi="Courier New"/>
      <w:sz w:val="24"/>
      <w:szCs w:val="24"/>
      <w:lang w:val="en-GB" w:eastAsia="sv-SE"/>
    </w:rPr>
  </w:style>
  <w:style w:type="character" w:customStyle="1" w:styleId="Char6">
    <w:name w:val="标题 Char"/>
    <w:link w:val="af6"/>
    <w:rsid w:val="00565191"/>
    <w:rPr>
      <w:rFonts w:cs="Arial"/>
      <w:b/>
      <w:bCs/>
      <w:kern w:val="2"/>
      <w:sz w:val="28"/>
      <w:szCs w:val="32"/>
      <w:lang w:val="en-GB"/>
    </w:rPr>
  </w:style>
  <w:style w:type="paragraph" w:styleId="af6">
    <w:name w:val="Title"/>
    <w:basedOn w:val="a"/>
    <w:link w:val="Char6"/>
    <w:qFormat/>
    <w:rsid w:val="00565191"/>
    <w:pPr>
      <w:widowControl w:val="0"/>
      <w:autoSpaceDE/>
      <w:autoSpaceDN/>
      <w:adjustRightInd/>
      <w:snapToGrid/>
      <w:spacing w:after="0" w:line="360" w:lineRule="auto"/>
      <w:jc w:val="left"/>
      <w:textAlignment w:val="center"/>
      <w:outlineLvl w:val="0"/>
    </w:pPr>
    <w:rPr>
      <w:b/>
      <w:bCs/>
      <w:kern w:val="2"/>
      <w:sz w:val="28"/>
      <w:szCs w:val="32"/>
      <w:lang w:val="en-GB" w:eastAsia="x-none"/>
    </w:rPr>
  </w:style>
  <w:style w:type="character" w:customStyle="1" w:styleId="Char10">
    <w:name w:val="标题 Char1"/>
    <w:rsid w:val="00565191"/>
    <w:rPr>
      <w:rFonts w:ascii="Calibri Light" w:hAnsi="Calibri Light" w:cs="Times New Roman"/>
      <w:b/>
      <w:bCs/>
      <w:kern w:val="2"/>
      <w:sz w:val="32"/>
      <w:szCs w:val="32"/>
      <w:lang w:val="en-GB" w:eastAsia="en-US" w:bidi="ar-SA"/>
    </w:rPr>
  </w:style>
  <w:style w:type="paragraph" w:styleId="af7">
    <w:name w:val="List Paragraph"/>
    <w:aliases w:val="- Bullets,목록 단락,リスト段落,Lista1,?? ??,?????,????"/>
    <w:basedOn w:val="a"/>
    <w:link w:val="Char7"/>
    <w:uiPriority w:val="34"/>
    <w:qFormat/>
    <w:rsid w:val="009B6FEA"/>
    <w:pPr>
      <w:autoSpaceDE/>
      <w:autoSpaceDN/>
      <w:adjustRightInd/>
      <w:snapToGrid/>
      <w:spacing w:after="0"/>
      <w:ind w:leftChars="400" w:left="840" w:hanging="720"/>
      <w:jc w:val="left"/>
    </w:pPr>
    <w:rPr>
      <w:rFonts w:ascii="Times" w:eastAsia="Batang" w:hAnsi="Times"/>
      <w:sz w:val="20"/>
      <w:szCs w:val="24"/>
      <w:lang w:val="en-GB" w:eastAsia="x-none"/>
    </w:rPr>
  </w:style>
  <w:style w:type="character" w:customStyle="1" w:styleId="Char7">
    <w:name w:val="列出段落 Char"/>
    <w:aliases w:val="- Bullets Char,목록 단락 Char,リスト段落 Char,Lista1 Char,?? ?? Char,????? Char,???? Char"/>
    <w:link w:val="af7"/>
    <w:uiPriority w:val="34"/>
    <w:qFormat/>
    <w:rsid w:val="009B6FEA"/>
    <w:rPr>
      <w:rFonts w:ascii="Times" w:eastAsia="Batang" w:hAnsi="Times"/>
      <w:szCs w:val="24"/>
      <w:lang w:val="en-GB" w:eastAsia="x-none"/>
    </w:rPr>
  </w:style>
  <w:style w:type="paragraph" w:customStyle="1" w:styleId="bullet">
    <w:name w:val="bullet"/>
    <w:basedOn w:val="af7"/>
    <w:link w:val="bulletChar"/>
    <w:qFormat/>
    <w:rsid w:val="009B6FEA"/>
    <w:pPr>
      <w:widowControl w:val="0"/>
      <w:numPr>
        <w:numId w:val="5"/>
      </w:numPr>
      <w:spacing w:after="60"/>
      <w:ind w:leftChars="0" w:left="720"/>
      <w:contextualSpacing/>
      <w:jc w:val="both"/>
    </w:pPr>
    <w:rPr>
      <w:rFonts w:ascii="Times New Roman" w:eastAsia="Times New Roman" w:hAnsi="Times New Roman"/>
      <w:kern w:val="2"/>
      <w:lang w:eastAsia="en-US"/>
    </w:rPr>
  </w:style>
  <w:style w:type="character" w:customStyle="1" w:styleId="bulletChar">
    <w:name w:val="bullet Char"/>
    <w:link w:val="bullet"/>
    <w:rsid w:val="009B6FEA"/>
    <w:rPr>
      <w:rFonts w:eastAsia="Times New Roman"/>
      <w:kern w:val="2"/>
      <w:szCs w:val="24"/>
      <w:lang w:val="en-GB" w:eastAsia="en-US"/>
    </w:rPr>
  </w:style>
  <w:style w:type="paragraph" w:customStyle="1" w:styleId="B2">
    <w:name w:val="B2"/>
    <w:basedOn w:val="21"/>
    <w:uiPriority w:val="99"/>
    <w:rsid w:val="006961F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rsid w:val="006961F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01020">
      <w:bodyDiv w:val="1"/>
      <w:marLeft w:val="0"/>
      <w:marRight w:val="0"/>
      <w:marTop w:val="0"/>
      <w:marBottom w:val="0"/>
      <w:divBdr>
        <w:top w:val="none" w:sz="0" w:space="0" w:color="auto"/>
        <w:left w:val="none" w:sz="0" w:space="0" w:color="auto"/>
        <w:bottom w:val="none" w:sz="0" w:space="0" w:color="auto"/>
        <w:right w:val="none" w:sz="0" w:space="0" w:color="auto"/>
      </w:divBdr>
    </w:div>
    <w:div w:id="190775348">
      <w:bodyDiv w:val="1"/>
      <w:marLeft w:val="0"/>
      <w:marRight w:val="0"/>
      <w:marTop w:val="0"/>
      <w:marBottom w:val="0"/>
      <w:divBdr>
        <w:top w:val="none" w:sz="0" w:space="0" w:color="auto"/>
        <w:left w:val="none" w:sz="0" w:space="0" w:color="auto"/>
        <w:bottom w:val="none" w:sz="0" w:space="0" w:color="auto"/>
        <w:right w:val="none" w:sz="0" w:space="0" w:color="auto"/>
      </w:divBdr>
    </w:div>
    <w:div w:id="1928910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75657">
      <w:bodyDiv w:val="1"/>
      <w:marLeft w:val="0"/>
      <w:marRight w:val="0"/>
      <w:marTop w:val="0"/>
      <w:marBottom w:val="0"/>
      <w:divBdr>
        <w:top w:val="none" w:sz="0" w:space="0" w:color="auto"/>
        <w:left w:val="none" w:sz="0" w:space="0" w:color="auto"/>
        <w:bottom w:val="none" w:sz="0" w:space="0" w:color="auto"/>
        <w:right w:val="none" w:sz="0" w:space="0" w:color="auto"/>
      </w:divBdr>
      <w:divsChild>
        <w:div w:id="1862821789">
          <w:marLeft w:val="360"/>
          <w:marRight w:val="0"/>
          <w:marTop w:val="200"/>
          <w:marBottom w:val="0"/>
          <w:divBdr>
            <w:top w:val="none" w:sz="0" w:space="0" w:color="auto"/>
            <w:left w:val="none" w:sz="0" w:space="0" w:color="auto"/>
            <w:bottom w:val="none" w:sz="0" w:space="0" w:color="auto"/>
            <w:right w:val="none" w:sz="0" w:space="0" w:color="auto"/>
          </w:divBdr>
        </w:div>
      </w:divsChild>
    </w:div>
    <w:div w:id="457604728">
      <w:bodyDiv w:val="1"/>
      <w:marLeft w:val="0"/>
      <w:marRight w:val="0"/>
      <w:marTop w:val="0"/>
      <w:marBottom w:val="0"/>
      <w:divBdr>
        <w:top w:val="none" w:sz="0" w:space="0" w:color="auto"/>
        <w:left w:val="none" w:sz="0" w:space="0" w:color="auto"/>
        <w:bottom w:val="none" w:sz="0" w:space="0" w:color="auto"/>
        <w:right w:val="none" w:sz="0" w:space="0" w:color="auto"/>
      </w:divBdr>
      <w:divsChild>
        <w:div w:id="1907252758">
          <w:marLeft w:val="1080"/>
          <w:marRight w:val="0"/>
          <w:marTop w:val="100"/>
          <w:marBottom w:val="0"/>
          <w:divBdr>
            <w:top w:val="none" w:sz="0" w:space="0" w:color="auto"/>
            <w:left w:val="none" w:sz="0" w:space="0" w:color="auto"/>
            <w:bottom w:val="none" w:sz="0" w:space="0" w:color="auto"/>
            <w:right w:val="none" w:sz="0" w:space="0" w:color="auto"/>
          </w:divBdr>
        </w:div>
        <w:div w:id="2054423229">
          <w:marLeft w:val="360"/>
          <w:marRight w:val="0"/>
          <w:marTop w:val="200"/>
          <w:marBottom w:val="0"/>
          <w:divBdr>
            <w:top w:val="none" w:sz="0" w:space="0" w:color="auto"/>
            <w:left w:val="none" w:sz="0" w:space="0" w:color="auto"/>
            <w:bottom w:val="none" w:sz="0" w:space="0" w:color="auto"/>
            <w:right w:val="none" w:sz="0" w:space="0" w:color="auto"/>
          </w:divBdr>
        </w:div>
      </w:divsChild>
    </w:div>
    <w:div w:id="477847815">
      <w:bodyDiv w:val="1"/>
      <w:marLeft w:val="0"/>
      <w:marRight w:val="0"/>
      <w:marTop w:val="0"/>
      <w:marBottom w:val="0"/>
      <w:divBdr>
        <w:top w:val="none" w:sz="0" w:space="0" w:color="auto"/>
        <w:left w:val="none" w:sz="0" w:space="0" w:color="auto"/>
        <w:bottom w:val="none" w:sz="0" w:space="0" w:color="auto"/>
        <w:right w:val="none" w:sz="0" w:space="0" w:color="auto"/>
      </w:divBdr>
    </w:div>
    <w:div w:id="492649543">
      <w:bodyDiv w:val="1"/>
      <w:marLeft w:val="0"/>
      <w:marRight w:val="0"/>
      <w:marTop w:val="0"/>
      <w:marBottom w:val="0"/>
      <w:divBdr>
        <w:top w:val="none" w:sz="0" w:space="0" w:color="auto"/>
        <w:left w:val="none" w:sz="0" w:space="0" w:color="auto"/>
        <w:bottom w:val="none" w:sz="0" w:space="0" w:color="auto"/>
        <w:right w:val="none" w:sz="0" w:space="0" w:color="auto"/>
      </w:divBdr>
    </w:div>
    <w:div w:id="5165815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27187681">
      <w:bodyDiv w:val="1"/>
      <w:marLeft w:val="0"/>
      <w:marRight w:val="0"/>
      <w:marTop w:val="0"/>
      <w:marBottom w:val="0"/>
      <w:divBdr>
        <w:top w:val="none" w:sz="0" w:space="0" w:color="auto"/>
        <w:left w:val="none" w:sz="0" w:space="0" w:color="auto"/>
        <w:bottom w:val="none" w:sz="0" w:space="0" w:color="auto"/>
        <w:right w:val="none" w:sz="0" w:space="0" w:color="auto"/>
      </w:divBdr>
      <w:divsChild>
        <w:div w:id="164131550">
          <w:marLeft w:val="360"/>
          <w:marRight w:val="0"/>
          <w:marTop w:val="200"/>
          <w:marBottom w:val="0"/>
          <w:divBdr>
            <w:top w:val="none" w:sz="0" w:space="0" w:color="auto"/>
            <w:left w:val="none" w:sz="0" w:space="0" w:color="auto"/>
            <w:bottom w:val="none" w:sz="0" w:space="0" w:color="auto"/>
            <w:right w:val="none" w:sz="0" w:space="0" w:color="auto"/>
          </w:divBdr>
        </w:div>
        <w:div w:id="550657848">
          <w:marLeft w:val="360"/>
          <w:marRight w:val="0"/>
          <w:marTop w:val="200"/>
          <w:marBottom w:val="0"/>
          <w:divBdr>
            <w:top w:val="none" w:sz="0" w:space="0" w:color="auto"/>
            <w:left w:val="none" w:sz="0" w:space="0" w:color="auto"/>
            <w:bottom w:val="none" w:sz="0" w:space="0" w:color="auto"/>
            <w:right w:val="none" w:sz="0" w:space="0" w:color="auto"/>
          </w:divBdr>
        </w:div>
        <w:div w:id="1370227330">
          <w:marLeft w:val="360"/>
          <w:marRight w:val="0"/>
          <w:marTop w:val="200"/>
          <w:marBottom w:val="0"/>
          <w:divBdr>
            <w:top w:val="none" w:sz="0" w:space="0" w:color="auto"/>
            <w:left w:val="none" w:sz="0" w:space="0" w:color="auto"/>
            <w:bottom w:val="none" w:sz="0" w:space="0" w:color="auto"/>
            <w:right w:val="none" w:sz="0" w:space="0" w:color="auto"/>
          </w:divBdr>
        </w:div>
        <w:div w:id="1775783121">
          <w:marLeft w:val="360"/>
          <w:marRight w:val="0"/>
          <w:marTop w:val="200"/>
          <w:marBottom w:val="0"/>
          <w:divBdr>
            <w:top w:val="none" w:sz="0" w:space="0" w:color="auto"/>
            <w:left w:val="none" w:sz="0" w:space="0" w:color="auto"/>
            <w:bottom w:val="none" w:sz="0" w:space="0" w:color="auto"/>
            <w:right w:val="none" w:sz="0" w:space="0" w:color="auto"/>
          </w:divBdr>
        </w:div>
      </w:divsChild>
    </w:div>
    <w:div w:id="1256784507">
      <w:bodyDiv w:val="1"/>
      <w:marLeft w:val="0"/>
      <w:marRight w:val="0"/>
      <w:marTop w:val="0"/>
      <w:marBottom w:val="0"/>
      <w:divBdr>
        <w:top w:val="none" w:sz="0" w:space="0" w:color="auto"/>
        <w:left w:val="none" w:sz="0" w:space="0" w:color="auto"/>
        <w:bottom w:val="none" w:sz="0" w:space="0" w:color="auto"/>
        <w:right w:val="none" w:sz="0" w:space="0" w:color="auto"/>
      </w:divBdr>
      <w:divsChild>
        <w:div w:id="579606586">
          <w:marLeft w:val="1987"/>
          <w:marRight w:val="0"/>
          <w:marTop w:val="200"/>
          <w:marBottom w:val="0"/>
          <w:divBdr>
            <w:top w:val="none" w:sz="0" w:space="0" w:color="auto"/>
            <w:left w:val="none" w:sz="0" w:space="0" w:color="auto"/>
            <w:bottom w:val="none" w:sz="0" w:space="0" w:color="auto"/>
            <w:right w:val="none" w:sz="0" w:space="0" w:color="auto"/>
          </w:divBdr>
        </w:div>
        <w:div w:id="900749166">
          <w:marLeft w:val="1987"/>
          <w:marRight w:val="0"/>
          <w:marTop w:val="200"/>
          <w:marBottom w:val="0"/>
          <w:divBdr>
            <w:top w:val="none" w:sz="0" w:space="0" w:color="auto"/>
            <w:left w:val="none" w:sz="0" w:space="0" w:color="auto"/>
            <w:bottom w:val="none" w:sz="0" w:space="0" w:color="auto"/>
            <w:right w:val="none" w:sz="0" w:space="0" w:color="auto"/>
          </w:divBdr>
        </w:div>
        <w:div w:id="1382631528">
          <w:marLeft w:val="1987"/>
          <w:marRight w:val="0"/>
          <w:marTop w:val="200"/>
          <w:marBottom w:val="0"/>
          <w:divBdr>
            <w:top w:val="none" w:sz="0" w:space="0" w:color="auto"/>
            <w:left w:val="none" w:sz="0" w:space="0" w:color="auto"/>
            <w:bottom w:val="none" w:sz="0" w:space="0" w:color="auto"/>
            <w:right w:val="none" w:sz="0" w:space="0" w:color="auto"/>
          </w:divBdr>
        </w:div>
        <w:div w:id="1695500978">
          <w:marLeft w:val="1987"/>
          <w:marRight w:val="0"/>
          <w:marTop w:val="200"/>
          <w:marBottom w:val="0"/>
          <w:divBdr>
            <w:top w:val="none" w:sz="0" w:space="0" w:color="auto"/>
            <w:left w:val="none" w:sz="0" w:space="0" w:color="auto"/>
            <w:bottom w:val="none" w:sz="0" w:space="0" w:color="auto"/>
            <w:right w:val="none" w:sz="0" w:space="0" w:color="auto"/>
          </w:divBdr>
        </w:div>
        <w:div w:id="1702585514">
          <w:marLeft w:val="1987"/>
          <w:marRight w:val="0"/>
          <w:marTop w:val="200"/>
          <w:marBottom w:val="0"/>
          <w:divBdr>
            <w:top w:val="none" w:sz="0" w:space="0" w:color="auto"/>
            <w:left w:val="none" w:sz="0" w:space="0" w:color="auto"/>
            <w:bottom w:val="none" w:sz="0" w:space="0" w:color="auto"/>
            <w:right w:val="none" w:sz="0" w:space="0" w:color="auto"/>
          </w:divBdr>
        </w:div>
        <w:div w:id="1817994601">
          <w:marLeft w:val="1267"/>
          <w:marRight w:val="0"/>
          <w:marTop w:val="200"/>
          <w:marBottom w:val="0"/>
          <w:divBdr>
            <w:top w:val="none" w:sz="0" w:space="0" w:color="auto"/>
            <w:left w:val="none" w:sz="0" w:space="0" w:color="auto"/>
            <w:bottom w:val="none" w:sz="0" w:space="0" w:color="auto"/>
            <w:right w:val="none" w:sz="0" w:space="0" w:color="auto"/>
          </w:divBdr>
        </w:div>
        <w:div w:id="2035495709">
          <w:marLeft w:val="1267"/>
          <w:marRight w:val="0"/>
          <w:marTop w:val="200"/>
          <w:marBottom w:val="0"/>
          <w:divBdr>
            <w:top w:val="none" w:sz="0" w:space="0" w:color="auto"/>
            <w:left w:val="none" w:sz="0" w:space="0" w:color="auto"/>
            <w:bottom w:val="none" w:sz="0" w:space="0" w:color="auto"/>
            <w:right w:val="none" w:sz="0" w:space="0" w:color="auto"/>
          </w:divBdr>
        </w:div>
        <w:div w:id="2078283364">
          <w:marLeft w:val="1987"/>
          <w:marRight w:val="0"/>
          <w:marTop w:val="200"/>
          <w:marBottom w:val="0"/>
          <w:divBdr>
            <w:top w:val="none" w:sz="0" w:space="0" w:color="auto"/>
            <w:left w:val="none" w:sz="0" w:space="0" w:color="auto"/>
            <w:bottom w:val="none" w:sz="0" w:space="0" w:color="auto"/>
            <w:right w:val="none" w:sz="0" w:space="0" w:color="auto"/>
          </w:divBdr>
        </w:div>
      </w:divsChild>
    </w:div>
    <w:div w:id="1397314573">
      <w:bodyDiv w:val="1"/>
      <w:marLeft w:val="0"/>
      <w:marRight w:val="0"/>
      <w:marTop w:val="0"/>
      <w:marBottom w:val="0"/>
      <w:divBdr>
        <w:top w:val="none" w:sz="0" w:space="0" w:color="auto"/>
        <w:left w:val="none" w:sz="0" w:space="0" w:color="auto"/>
        <w:bottom w:val="none" w:sz="0" w:space="0" w:color="auto"/>
        <w:right w:val="none" w:sz="0" w:space="0" w:color="auto"/>
      </w:divBdr>
    </w:div>
    <w:div w:id="1614823831">
      <w:bodyDiv w:val="1"/>
      <w:marLeft w:val="0"/>
      <w:marRight w:val="0"/>
      <w:marTop w:val="0"/>
      <w:marBottom w:val="0"/>
      <w:divBdr>
        <w:top w:val="none" w:sz="0" w:space="0" w:color="auto"/>
        <w:left w:val="none" w:sz="0" w:space="0" w:color="auto"/>
        <w:bottom w:val="none" w:sz="0" w:space="0" w:color="auto"/>
        <w:right w:val="none" w:sz="0" w:space="0" w:color="auto"/>
      </w:divBdr>
    </w:div>
    <w:div w:id="163220604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61434">
      <w:bodyDiv w:val="1"/>
      <w:marLeft w:val="0"/>
      <w:marRight w:val="0"/>
      <w:marTop w:val="0"/>
      <w:marBottom w:val="0"/>
      <w:divBdr>
        <w:top w:val="none" w:sz="0" w:space="0" w:color="auto"/>
        <w:left w:val="none" w:sz="0" w:space="0" w:color="auto"/>
        <w:bottom w:val="none" w:sz="0" w:space="0" w:color="auto"/>
        <w:right w:val="none" w:sz="0" w:space="0" w:color="auto"/>
      </w:divBdr>
      <w:divsChild>
        <w:div w:id="474832428">
          <w:marLeft w:val="0"/>
          <w:marRight w:val="0"/>
          <w:marTop w:val="0"/>
          <w:marBottom w:val="0"/>
          <w:divBdr>
            <w:top w:val="none" w:sz="0" w:space="0" w:color="auto"/>
            <w:left w:val="none" w:sz="0" w:space="0" w:color="auto"/>
            <w:bottom w:val="none" w:sz="0" w:space="0" w:color="auto"/>
            <w:right w:val="none" w:sz="0" w:space="0" w:color="auto"/>
          </w:divBdr>
          <w:divsChild>
            <w:div w:id="147744396">
              <w:marLeft w:val="0"/>
              <w:marRight w:val="0"/>
              <w:marTop w:val="0"/>
              <w:marBottom w:val="37"/>
              <w:divBdr>
                <w:top w:val="none" w:sz="0" w:space="0" w:color="auto"/>
                <w:left w:val="none" w:sz="0" w:space="0" w:color="auto"/>
                <w:bottom w:val="none" w:sz="0" w:space="0" w:color="auto"/>
                <w:right w:val="none" w:sz="0" w:space="0" w:color="auto"/>
              </w:divBdr>
              <w:divsChild>
                <w:div w:id="986934830">
                  <w:marLeft w:val="0"/>
                  <w:marRight w:val="0"/>
                  <w:marTop w:val="0"/>
                  <w:marBottom w:val="56"/>
                  <w:divBdr>
                    <w:top w:val="none" w:sz="0" w:space="0" w:color="auto"/>
                    <w:left w:val="none" w:sz="0" w:space="0" w:color="auto"/>
                    <w:bottom w:val="none" w:sz="0" w:space="0" w:color="auto"/>
                    <w:right w:val="none" w:sz="0" w:space="0" w:color="auto"/>
                  </w:divBdr>
                </w:div>
              </w:divsChild>
            </w:div>
            <w:div w:id="774205089">
              <w:marLeft w:val="0"/>
              <w:marRight w:val="0"/>
              <w:marTop w:val="0"/>
              <w:marBottom w:val="37"/>
              <w:divBdr>
                <w:top w:val="none" w:sz="0" w:space="0" w:color="auto"/>
                <w:left w:val="none" w:sz="0" w:space="0" w:color="auto"/>
                <w:bottom w:val="none" w:sz="0" w:space="0" w:color="auto"/>
                <w:right w:val="none" w:sz="0" w:space="0" w:color="auto"/>
              </w:divBdr>
              <w:divsChild>
                <w:div w:id="1223835043">
                  <w:marLeft w:val="0"/>
                  <w:marRight w:val="0"/>
                  <w:marTop w:val="0"/>
                  <w:marBottom w:val="56"/>
                  <w:divBdr>
                    <w:top w:val="none" w:sz="0" w:space="0" w:color="auto"/>
                    <w:left w:val="none" w:sz="0" w:space="0" w:color="auto"/>
                    <w:bottom w:val="none" w:sz="0" w:space="0" w:color="auto"/>
                    <w:right w:val="none" w:sz="0" w:space="0" w:color="auto"/>
                  </w:divBdr>
                </w:div>
              </w:divsChild>
            </w:div>
            <w:div w:id="1407261823">
              <w:marLeft w:val="0"/>
              <w:marRight w:val="0"/>
              <w:marTop w:val="0"/>
              <w:marBottom w:val="37"/>
              <w:divBdr>
                <w:top w:val="none" w:sz="0" w:space="0" w:color="auto"/>
                <w:left w:val="none" w:sz="0" w:space="0" w:color="auto"/>
                <w:bottom w:val="none" w:sz="0" w:space="0" w:color="auto"/>
                <w:right w:val="none" w:sz="0" w:space="0" w:color="auto"/>
              </w:divBdr>
              <w:divsChild>
                <w:div w:id="937717620">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0520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LTE\&#21103;&#26412;ran94B-summar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r>
              <a:rPr lang="en-US" altLang="zh-CN" b="1" i="0" baseline="0">
                <a:solidFill>
                  <a:schemeClr val="accent5">
                    <a:lumMod val="75000"/>
                  </a:schemeClr>
                </a:solidFill>
              </a:rPr>
              <a:t>80MHz, DL, UPT</a:t>
            </a:r>
            <a:endParaRPr lang="zh-CN" altLang="en-US" b="1" i="0" baseline="0">
              <a:solidFill>
                <a:schemeClr val="accent5">
                  <a:lumMod val="75000"/>
                </a:schemeClr>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accent5">
                  <a:lumMod val="75000"/>
                </a:schemeClr>
              </a:solidFill>
              <a:latin typeface="+mn-lt"/>
              <a:ea typeface="+mn-ea"/>
              <a:cs typeface="+mn-cs"/>
            </a:defRPr>
          </a:pPr>
          <a:endParaRPr lang="zh-CN"/>
        </a:p>
      </c:txPr>
    </c:title>
    <c:autoTitleDeleted val="0"/>
    <c:plotArea>
      <c:layout/>
      <c:barChart>
        <c:barDir val="col"/>
        <c:grouping val="clustered"/>
        <c:varyColors val="0"/>
        <c:ser>
          <c:idx val="0"/>
          <c:order val="0"/>
          <c:tx>
            <c:strRef>
              <c:f>'indoor (2)'!$A$137</c:f>
              <c:strCache>
                <c:ptCount val="1"/>
                <c:pt idx="0">
                  <c:v>With dynamic LBT </c:v>
                </c:pt>
              </c:strCache>
            </c:strRef>
          </c:tx>
          <c:spPr>
            <a:solidFill>
              <a:schemeClr val="accent1"/>
            </a:solidFill>
            <a:ln>
              <a:noFill/>
            </a:ln>
            <a:effectLst/>
          </c:spPr>
          <c:invertIfNegative val="0"/>
          <c:cat>
            <c:strRef>
              <c:f>'indoor (2)'!$A$132:$C$132</c:f>
              <c:strCache>
                <c:ptCount val="3"/>
                <c:pt idx="0">
                  <c:v>Low</c:v>
                </c:pt>
                <c:pt idx="1">
                  <c:v>Medium</c:v>
                </c:pt>
                <c:pt idx="2">
                  <c:v>High</c:v>
                </c:pt>
              </c:strCache>
            </c:strRef>
          </c:cat>
          <c:val>
            <c:numRef>
              <c:f>'indoor (2)'!$A$133:$C$133</c:f>
              <c:numCache>
                <c:formatCode>General</c:formatCode>
                <c:ptCount val="3"/>
                <c:pt idx="0">
                  <c:v>288.75200000000001</c:v>
                </c:pt>
                <c:pt idx="1">
                  <c:v>259.20960000000002</c:v>
                </c:pt>
                <c:pt idx="2">
                  <c:v>211.33940000000001</c:v>
                </c:pt>
              </c:numCache>
            </c:numRef>
          </c:val>
        </c:ser>
        <c:ser>
          <c:idx val="1"/>
          <c:order val="1"/>
          <c:tx>
            <c:strRef>
              <c:f>'indoor (2)'!$A$138</c:f>
              <c:strCache>
                <c:ptCount val="1"/>
                <c:pt idx="0">
                  <c:v>Without dynamic LBT</c:v>
                </c:pt>
              </c:strCache>
            </c:strRef>
          </c:tx>
          <c:spPr>
            <a:solidFill>
              <a:schemeClr val="accent2"/>
            </a:solidFill>
            <a:ln>
              <a:noFill/>
            </a:ln>
            <a:effectLst/>
          </c:spPr>
          <c:invertIfNegative val="0"/>
          <c:dLbls>
            <c:dLbl>
              <c:idx val="0"/>
              <c:tx>
                <c:rich>
                  <a:bodyPr/>
                  <a:lstStyle/>
                  <a:p>
                    <a:fld id="{252A1A43-3906-4F47-BFDF-68824CA59AC5}"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F65E496-642D-4DCD-94B7-4B84FDA638E1}"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5697A395-3F66-4098-AE6E-8CB9F8408C16}" type="CELLRANGE">
                      <a:rPr lang="zh-CN" altLang="en-US"/>
                      <a:pPr/>
                      <a:t>[CELLRANGE]</a:t>
                    </a:fld>
                    <a:endParaRPr lang="zh-CN" altLang="en-US"/>
                  </a:p>
                </c:rich>
              </c:tx>
              <c:dLblPos val="outEnd"/>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5">
                        <a:lumMod val="75000"/>
                      </a:schemeClr>
                    </a:solidFill>
                    <a:latin typeface="+mn-lt"/>
                    <a:ea typeface="+mn-ea"/>
                    <a:cs typeface="+mn-cs"/>
                  </a:defRPr>
                </a:pPr>
                <a:endParaRPr lang="zh-CN"/>
              </a:p>
            </c:txPr>
            <c:dLblPos val="outEnd"/>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cat>
            <c:strRef>
              <c:f>'indoor (2)'!$A$132:$C$132</c:f>
              <c:strCache>
                <c:ptCount val="3"/>
                <c:pt idx="0">
                  <c:v>Low</c:v>
                </c:pt>
                <c:pt idx="1">
                  <c:v>Medium</c:v>
                </c:pt>
                <c:pt idx="2">
                  <c:v>High</c:v>
                </c:pt>
              </c:strCache>
            </c:strRef>
          </c:cat>
          <c:val>
            <c:numRef>
              <c:f>'indoor (2)'!$A$134:$C$134</c:f>
              <c:numCache>
                <c:formatCode>General</c:formatCode>
                <c:ptCount val="3"/>
                <c:pt idx="0">
                  <c:v>280.46359999999999</c:v>
                </c:pt>
                <c:pt idx="1">
                  <c:v>243.45660000000001</c:v>
                </c:pt>
                <c:pt idx="2">
                  <c:v>178.38910000000001</c:v>
                </c:pt>
              </c:numCache>
            </c:numRef>
          </c:val>
          <c:extLst>
            <c:ext xmlns:c15="http://schemas.microsoft.com/office/drawing/2012/chart" uri="{02D57815-91ED-43cb-92C2-25804820EDAC}">
              <c15:datalabelsRange>
                <c15:f>'indoor (2)'!$A$135:$C$135</c15:f>
                <c15:dlblRangeCache>
                  <c:ptCount val="3"/>
                  <c:pt idx="0">
                    <c:v>-2.9%</c:v>
                  </c:pt>
                  <c:pt idx="1">
                    <c:v>-6.1%</c:v>
                  </c:pt>
                  <c:pt idx="2">
                    <c:v>-15.6%</c:v>
                  </c:pt>
                </c15:dlblRangeCache>
              </c15:datalabelsRange>
            </c:ext>
          </c:extLst>
        </c:ser>
        <c:dLbls>
          <c:showLegendKey val="0"/>
          <c:showVal val="0"/>
          <c:showCatName val="0"/>
          <c:showSerName val="0"/>
          <c:showPercent val="0"/>
          <c:showBubbleSize val="0"/>
        </c:dLbls>
        <c:gapWidth val="219"/>
        <c:overlap val="-27"/>
        <c:axId val="1117807232"/>
        <c:axId val="1117807776"/>
      </c:barChart>
      <c:catAx>
        <c:axId val="1117807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1117807776"/>
        <c:crosses val="autoZero"/>
        <c:auto val="1"/>
        <c:lblAlgn val="ctr"/>
        <c:lblOffset val="100"/>
        <c:noMultiLvlLbl val="0"/>
      </c:catAx>
      <c:valAx>
        <c:axId val="11178077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crossAx val="1117807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1" i="0" u="none" strike="noStrike" kern="1200" baseline="0">
              <a:solidFill>
                <a:schemeClr val="accent5">
                  <a:lumMod val="7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9E9046-1D99-4270-8141-5C14731F1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2564</Words>
  <Characters>14617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17147</CharactersWithSpaces>
  <SharedDoc>false</SharedDoc>
  <HLinks>
    <vt:vector size="6" baseType="variant">
      <vt:variant>
        <vt:i4>6356996</vt:i4>
      </vt:variant>
      <vt:variant>
        <vt:i4>12492</vt:i4>
      </vt:variant>
      <vt:variant>
        <vt:i4>1026</vt:i4>
      </vt:variant>
      <vt:variant>
        <vt:i4>1</vt:i4>
      </vt:variant>
      <vt:variant>
        <vt:lpwstr>cid:image001.png@01D4408D.058E3840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Zhangjiayin</cp:lastModifiedBy>
  <cp:revision>23</cp:revision>
  <cp:lastPrinted>2007-06-18T21:08:00Z</cp:lastPrinted>
  <dcterms:created xsi:type="dcterms:W3CDTF">2019-01-09T08:04:00Z</dcterms:created>
  <dcterms:modified xsi:type="dcterms:W3CDTF">2019-01-11T16:20:00Z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(3)hvfy441oGYSR2u8Po69oZ4sKLDPDv35oXdhwS1Hk8dKcciPzQkBSA3V498BJECj6eyyqy0/d_x000d_
P27xJIVmc32TlzMuAeYB0nv6482B5k0yHTXJtl+g2hTOBtbQiCkzs4IphGfFAjxnEjGn4gYF_x000d_
fAJZeQeXaMqs57lr5orQ+mpMhJ3jgv+SsE3GlbNuU3OzFOjxsuWm/skFmjPZ9oo7DQvzXtbB_x000d_
bWHAWM78pLbYYkQ7JD</vt:lpwstr>
  </property>
  <property fmtid="{D5CDD505-2E9C-101B-9397-08002B2CF9AE}" pid="13" name="_2015_ms_pID_725343_00">
    <vt:lpwstr>_2015_ms_pID_725343</vt:lpwstr>
  </property>
  <property fmtid="{D5CDD505-2E9C-101B-9397-08002B2CF9AE}" pid="14" name="_2015_ms_pID_7253431">
    <vt:lpwstr>3SxpReOy0+Bdca53Pg+HWomekNnrwEU+SvF0uZVaXm024IITJow7xG_x000d_
EcVXazlAu61LMNeexNb4z+TDHh7bIy/ZvY3BuQdDsguP/hhPZj3pYDjEybtfA5pNog1bxkfJ_x000d_
eLGyUVdazXlMJPEfb5trgrQz1SCgEMUztQM+8AftijYh6WYNnfmgfIEHdVCbODLTAxkOZUFK_x000d_
MVS959e1wPupwnBjI0uPz8EkPoQBeVTI3eLY</vt:lpwstr>
  </property>
  <property fmtid="{D5CDD505-2E9C-101B-9397-08002B2CF9AE}" pid="15" name="_2015_ms_pID_7253431_00">
    <vt:lpwstr>_2015_ms_pID_7253431</vt:lpwstr>
  </property>
  <property fmtid="{D5CDD505-2E9C-101B-9397-08002B2CF9AE}" pid="16" name="_2015_ms_pID_7253432">
    <vt:lpwstr>8DHgmersBMZeGNJDl90U+B8nJR17mcaBiRzD_x000d_
WIU+BqBrI7rCOm3tChXRTWII+aqPLgkKJh9erGJpxPfRXLClYaE=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1546827080</vt:lpwstr>
  </property>
</Properties>
</file>