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A6C" w:rsidRDefault="00F220E0">
      <w:pPr>
        <w:pStyle w:val="TdocHeader2"/>
        <w:jc w:val="left"/>
        <w:rPr>
          <w:rFonts w:eastAsia="Times New Roman" w:cs="Arial"/>
          <w:bCs/>
          <w:sz w:val="20"/>
          <w:szCs w:val="18"/>
          <w:lang w:val="en-US" w:eastAsia="zh-CN"/>
        </w:rPr>
      </w:pPr>
      <w:r>
        <w:rPr>
          <w:rFonts w:eastAsia="Times New Roman" w:cs="Arial"/>
          <w:bCs/>
          <w:sz w:val="20"/>
          <w:szCs w:val="18"/>
          <w:lang w:val="en-US" w:eastAsia="zh-CN"/>
        </w:rPr>
        <w:t>3GPP TSG RAN WG1 Meeting NR#2</w:t>
      </w:r>
      <w:r w:rsidR="004B42A1">
        <w:rPr>
          <w:rFonts w:eastAsia="Times New Roman" w:cs="Arial"/>
          <w:bCs/>
          <w:sz w:val="20"/>
          <w:szCs w:val="18"/>
          <w:lang w:val="en-US" w:eastAsia="zh-CN"/>
        </w:rPr>
        <w:t xml:space="preserve">                         </w:t>
      </w:r>
      <w:r w:rsidR="00BF6989">
        <w:rPr>
          <w:rFonts w:eastAsia="Times New Roman" w:cs="Arial"/>
          <w:bCs/>
          <w:sz w:val="20"/>
          <w:szCs w:val="18"/>
          <w:lang w:val="en-US" w:eastAsia="zh-CN"/>
        </w:rPr>
        <w:t xml:space="preserve">                      </w:t>
      </w:r>
      <w:r w:rsidR="00BF6989">
        <w:rPr>
          <w:rFonts w:eastAsia="Times New Roman" w:cs="Arial"/>
          <w:bCs/>
          <w:sz w:val="20"/>
          <w:szCs w:val="18"/>
          <w:lang w:val="en-US" w:eastAsia="zh-CN"/>
        </w:rPr>
        <w:tab/>
      </w:r>
      <w:r w:rsidR="00607B4E">
        <w:rPr>
          <w:rFonts w:eastAsia="Times New Roman" w:cs="Arial"/>
          <w:bCs/>
          <w:sz w:val="20"/>
          <w:szCs w:val="18"/>
          <w:lang w:val="en-US" w:eastAsia="zh-CN"/>
        </w:rPr>
        <w:t>R1-1711529</w:t>
      </w:r>
    </w:p>
    <w:p w:rsidR="00CF2A6C" w:rsidRDefault="00F220E0">
      <w:pPr>
        <w:pStyle w:val="TdocHeader2"/>
        <w:rPr>
          <w:sz w:val="20"/>
          <w:lang w:val="en-US"/>
        </w:rPr>
      </w:pPr>
      <w:r>
        <w:rPr>
          <w:rFonts w:eastAsia="Times New Roman" w:cs="Arial"/>
          <w:bCs/>
          <w:sz w:val="20"/>
          <w:szCs w:val="18"/>
          <w:lang w:val="en-US" w:eastAsia="zh-CN"/>
        </w:rPr>
        <w:t>Qingdao, China, 27</w:t>
      </w:r>
      <w:r w:rsidR="004B42A1">
        <w:rPr>
          <w:rFonts w:eastAsia="Times New Roman" w:cs="Arial"/>
          <w:bCs/>
          <w:sz w:val="20"/>
          <w:szCs w:val="18"/>
          <w:vertAlign w:val="superscript"/>
          <w:lang w:val="en-US" w:eastAsia="zh-CN"/>
        </w:rPr>
        <w:t>th</w:t>
      </w:r>
      <w:r>
        <w:rPr>
          <w:rFonts w:eastAsia="Times New Roman" w:cs="Arial"/>
          <w:bCs/>
          <w:sz w:val="20"/>
          <w:szCs w:val="18"/>
          <w:lang w:val="en-US" w:eastAsia="zh-CN"/>
        </w:rPr>
        <w:t xml:space="preserve"> – 30</w:t>
      </w:r>
      <w:r w:rsidR="004B42A1">
        <w:rPr>
          <w:rFonts w:eastAsia="Times New Roman" w:cs="Arial"/>
          <w:bCs/>
          <w:sz w:val="20"/>
          <w:szCs w:val="18"/>
          <w:vertAlign w:val="superscript"/>
          <w:lang w:val="en-US" w:eastAsia="zh-CN"/>
        </w:rPr>
        <w:t>th</w:t>
      </w:r>
      <w:r>
        <w:rPr>
          <w:rFonts w:eastAsia="Times New Roman" w:cs="Arial"/>
          <w:bCs/>
          <w:sz w:val="20"/>
          <w:szCs w:val="18"/>
          <w:lang w:val="en-US" w:eastAsia="zh-CN"/>
        </w:rPr>
        <w:t xml:space="preserve"> June</w:t>
      </w:r>
      <w:r w:rsidR="004B42A1">
        <w:rPr>
          <w:rFonts w:eastAsia="Times New Roman" w:cs="Arial"/>
          <w:bCs/>
          <w:sz w:val="20"/>
          <w:szCs w:val="18"/>
          <w:lang w:val="en-US" w:eastAsia="zh-CN"/>
        </w:rPr>
        <w:t xml:space="preserve"> 2017</w:t>
      </w:r>
    </w:p>
    <w:p w:rsidR="00CF2A6C" w:rsidRDefault="00CF2A6C">
      <w:pPr>
        <w:pStyle w:val="TdocHeader2"/>
        <w:rPr>
          <w:sz w:val="20"/>
          <w:lang w:val="en-US"/>
        </w:rPr>
      </w:pPr>
    </w:p>
    <w:p w:rsidR="00CF2A6C" w:rsidRDefault="004B42A1">
      <w:pPr>
        <w:pStyle w:val="TdocHeader2"/>
        <w:rPr>
          <w:sz w:val="20"/>
          <w:lang w:val="en-US"/>
        </w:rPr>
      </w:pPr>
      <w:r>
        <w:rPr>
          <w:sz w:val="20"/>
          <w:lang w:val="en-US"/>
        </w:rPr>
        <w:t xml:space="preserve">Source: </w:t>
      </w:r>
      <w:r>
        <w:rPr>
          <w:sz w:val="20"/>
          <w:lang w:val="en-US"/>
        </w:rPr>
        <w:tab/>
        <w:t xml:space="preserve">Hughes Network Systems, </w:t>
      </w:r>
      <w:r w:rsidR="00F220E0">
        <w:rPr>
          <w:sz w:val="20"/>
          <w:lang w:val="en-US"/>
        </w:rPr>
        <w:t>Dish Networks</w:t>
      </w:r>
    </w:p>
    <w:p w:rsidR="00CF2A6C" w:rsidRDefault="004B42A1">
      <w:pPr>
        <w:pStyle w:val="TdocHeader2"/>
        <w:rPr>
          <w:sz w:val="20"/>
          <w:lang w:val="en-US"/>
        </w:rPr>
      </w:pPr>
      <w:r>
        <w:rPr>
          <w:sz w:val="20"/>
          <w:lang w:val="en-US"/>
        </w:rPr>
        <w:t>Title:</w:t>
      </w:r>
      <w:bookmarkStart w:id="0" w:name="Title"/>
      <w:bookmarkEnd w:id="0"/>
      <w:r w:rsidR="006C65A2">
        <w:rPr>
          <w:sz w:val="20"/>
          <w:lang w:val="en-US"/>
        </w:rPr>
        <w:tab/>
        <w:t>Channel Model for Non-Terrestrial Networks</w:t>
      </w:r>
    </w:p>
    <w:p w:rsidR="00CF2A6C" w:rsidRDefault="004B42A1">
      <w:pPr>
        <w:pStyle w:val="TdocHeader2"/>
        <w:rPr>
          <w:sz w:val="20"/>
          <w:lang w:val="en-US"/>
        </w:rPr>
      </w:pPr>
      <w:r>
        <w:rPr>
          <w:sz w:val="20"/>
          <w:lang w:val="en-US"/>
        </w:rPr>
        <w:t>Agenda Item:</w:t>
      </w:r>
      <w:r>
        <w:rPr>
          <w:sz w:val="20"/>
          <w:lang w:val="en-US"/>
        </w:rPr>
        <w:tab/>
      </w:r>
      <w:r w:rsidR="00607B4E">
        <w:rPr>
          <w:sz w:val="20"/>
          <w:lang w:val="en-US"/>
        </w:rPr>
        <w:t>5.1.11</w:t>
      </w:r>
      <w:bookmarkStart w:id="1" w:name="_GoBack"/>
      <w:bookmarkEnd w:id="1"/>
    </w:p>
    <w:p w:rsidR="00CF2A6C" w:rsidRDefault="004B42A1">
      <w:pPr>
        <w:pStyle w:val="TdocHeader2"/>
        <w:rPr>
          <w:sz w:val="20"/>
          <w:lang w:val="en-US"/>
        </w:rPr>
      </w:pPr>
      <w:r>
        <w:rPr>
          <w:sz w:val="20"/>
          <w:lang w:val="en-US"/>
        </w:rPr>
        <w:t>Document for:</w:t>
      </w:r>
      <w:r>
        <w:rPr>
          <w:sz w:val="20"/>
          <w:lang w:val="en-US"/>
        </w:rPr>
        <w:tab/>
        <w:t>Discussion</w:t>
      </w:r>
    </w:p>
    <w:p w:rsidR="00CF2A6C" w:rsidRDefault="00CF2A6C">
      <w:pPr>
        <w:pStyle w:val="TdocHeader2"/>
        <w:rPr>
          <w:sz w:val="20"/>
          <w:lang w:val="en-US"/>
        </w:rPr>
      </w:pPr>
    </w:p>
    <w:p w:rsidR="00CF2A6C" w:rsidRDefault="006C65A2">
      <w:pPr>
        <w:pStyle w:val="Heading1"/>
        <w:numPr>
          <w:ilvl w:val="0"/>
          <w:numId w:val="2"/>
        </w:numPr>
        <w:textAlignment w:val="auto"/>
        <w:rPr>
          <w:lang w:val="en-US"/>
        </w:rPr>
      </w:pPr>
      <w:bookmarkStart w:id="2" w:name="_Ref298777854"/>
      <w:bookmarkEnd w:id="2"/>
      <w:r>
        <w:rPr>
          <w:lang w:val="en-US"/>
        </w:rPr>
        <w:t>Scope</w:t>
      </w:r>
    </w:p>
    <w:p w:rsidR="00CF2A6C" w:rsidRDefault="00240BC1">
      <w:pPr>
        <w:jc w:val="both"/>
        <w:rPr>
          <w:sz w:val="24"/>
          <w:szCs w:val="24"/>
        </w:rPr>
      </w:pPr>
      <w:r>
        <w:rPr>
          <w:sz w:val="24"/>
          <w:szCs w:val="24"/>
        </w:rPr>
        <w:t>This document</w:t>
      </w:r>
      <w:r w:rsidR="006C65A2">
        <w:rPr>
          <w:sz w:val="24"/>
          <w:szCs w:val="24"/>
        </w:rPr>
        <w:t xml:space="preserve"> suggests models and several key parameters to be used with non-terrestrial network (NTN) </w:t>
      </w:r>
      <w:r w:rsidR="009E0C9E">
        <w:rPr>
          <w:sz w:val="24"/>
          <w:szCs w:val="24"/>
        </w:rPr>
        <w:t xml:space="preserve">satellite </w:t>
      </w:r>
      <w:r w:rsidR="006C65A2">
        <w:rPr>
          <w:sz w:val="24"/>
          <w:szCs w:val="24"/>
        </w:rPr>
        <w:t>channels.</w:t>
      </w:r>
    </w:p>
    <w:p w:rsidR="00CF2A6C" w:rsidRDefault="006C65A2">
      <w:pPr>
        <w:pStyle w:val="Heading1"/>
        <w:numPr>
          <w:ilvl w:val="0"/>
          <w:numId w:val="2"/>
        </w:numPr>
        <w:textAlignment w:val="auto"/>
        <w:rPr>
          <w:lang w:val="en-US"/>
        </w:rPr>
      </w:pPr>
      <w:r>
        <w:rPr>
          <w:lang w:val="en-US"/>
        </w:rPr>
        <w:t>Introduction</w:t>
      </w:r>
    </w:p>
    <w:p w:rsidR="00171046" w:rsidRDefault="00240BC1" w:rsidP="00171046">
      <w:pPr>
        <w:rPr>
          <w:sz w:val="24"/>
          <w:szCs w:val="24"/>
          <w:lang w:eastAsia="zh-CN"/>
        </w:rPr>
      </w:pPr>
      <w:r w:rsidRPr="00240BC1">
        <w:rPr>
          <w:sz w:val="24"/>
          <w:szCs w:val="24"/>
          <w:lang w:eastAsia="zh-CN"/>
        </w:rPr>
        <w:t>The channel model study</w:t>
      </w:r>
      <w:r w:rsidR="006C65A2">
        <w:rPr>
          <w:sz w:val="24"/>
          <w:szCs w:val="24"/>
          <w:lang w:eastAsia="zh-CN"/>
        </w:rPr>
        <w:t xml:space="preserve"> for NTN </w:t>
      </w:r>
      <w:r w:rsidRPr="00240BC1">
        <w:rPr>
          <w:sz w:val="24"/>
          <w:szCs w:val="24"/>
          <w:lang w:eastAsia="zh-CN"/>
        </w:rPr>
        <w:t>include</w:t>
      </w:r>
      <w:r w:rsidR="006C65A2">
        <w:rPr>
          <w:sz w:val="24"/>
          <w:szCs w:val="24"/>
          <w:lang w:eastAsia="zh-CN"/>
        </w:rPr>
        <w:t>s at least two key components:  t</w:t>
      </w:r>
      <w:r w:rsidRPr="00240BC1">
        <w:rPr>
          <w:sz w:val="24"/>
          <w:szCs w:val="24"/>
          <w:lang w:eastAsia="zh-CN"/>
        </w:rPr>
        <w:t xml:space="preserve">he satellite (or HAPS) payload model and the propagation model.  The propagation model is highly dependent on the size of </w:t>
      </w:r>
      <w:r w:rsidR="006C65A2">
        <w:rPr>
          <w:sz w:val="24"/>
          <w:szCs w:val="24"/>
          <w:lang w:eastAsia="zh-CN"/>
        </w:rPr>
        <w:t xml:space="preserve">the </w:t>
      </w:r>
      <w:r w:rsidRPr="00240BC1">
        <w:rPr>
          <w:sz w:val="24"/>
          <w:szCs w:val="24"/>
          <w:lang w:eastAsia="zh-CN"/>
        </w:rPr>
        <w:t xml:space="preserve">user equipment antenna and the elevation angle for the intended use case.  In the interest of selecting a generic model that can be used for evaluating 5G New Radio (NR) performance over most common satellite systems,  this contribution proposes to consider only a limited set of user terminals and range of elevation angles that have often been proposed for satellite networks.  The intent is </w:t>
      </w:r>
      <w:r>
        <w:rPr>
          <w:sz w:val="24"/>
          <w:szCs w:val="24"/>
          <w:lang w:eastAsia="zh-CN"/>
        </w:rPr>
        <w:t xml:space="preserve">to try </w:t>
      </w:r>
      <w:r w:rsidRPr="00240BC1">
        <w:rPr>
          <w:sz w:val="24"/>
          <w:szCs w:val="24"/>
          <w:lang w:eastAsia="zh-CN"/>
        </w:rPr>
        <w:t>to use those parameters to help establish a relatively simple propaga</w:t>
      </w:r>
      <w:r>
        <w:rPr>
          <w:sz w:val="24"/>
          <w:szCs w:val="24"/>
          <w:lang w:eastAsia="zh-CN"/>
        </w:rPr>
        <w:t>tion model as input of the NTN c</w:t>
      </w:r>
      <w:r w:rsidRPr="00240BC1">
        <w:rPr>
          <w:sz w:val="24"/>
          <w:szCs w:val="24"/>
          <w:lang w:eastAsia="zh-CN"/>
        </w:rPr>
        <w:t>hannel</w:t>
      </w:r>
      <w:r>
        <w:rPr>
          <w:sz w:val="24"/>
          <w:szCs w:val="24"/>
          <w:lang w:eastAsia="zh-CN"/>
        </w:rPr>
        <w:t xml:space="preserve"> m</w:t>
      </w:r>
      <w:r w:rsidRPr="00240BC1">
        <w:rPr>
          <w:sz w:val="24"/>
          <w:szCs w:val="24"/>
          <w:lang w:eastAsia="zh-CN"/>
        </w:rPr>
        <w:t>odel</w:t>
      </w:r>
      <w:r>
        <w:rPr>
          <w:sz w:val="24"/>
          <w:szCs w:val="24"/>
          <w:lang w:eastAsia="zh-CN"/>
        </w:rPr>
        <w:t>ing</w:t>
      </w:r>
      <w:r w:rsidRPr="00240BC1">
        <w:rPr>
          <w:sz w:val="24"/>
          <w:szCs w:val="24"/>
          <w:lang w:eastAsia="zh-CN"/>
        </w:rPr>
        <w:t xml:space="preserve"> effort.  The proposed parameters are intended as examples for discussions only.</w:t>
      </w:r>
    </w:p>
    <w:p w:rsidR="00240BC1" w:rsidRDefault="004177E5" w:rsidP="00240BC1">
      <w:pPr>
        <w:pStyle w:val="Heading1"/>
        <w:numPr>
          <w:ilvl w:val="0"/>
          <w:numId w:val="2"/>
        </w:numPr>
        <w:textAlignment w:val="auto"/>
        <w:rPr>
          <w:lang w:val="en-US"/>
        </w:rPr>
      </w:pPr>
      <w:r>
        <w:rPr>
          <w:lang w:val="en-US"/>
        </w:rPr>
        <w:t>Typical Satellite Systems u</w:t>
      </w:r>
      <w:r w:rsidR="00240BC1">
        <w:rPr>
          <w:lang w:val="en-US"/>
        </w:rPr>
        <w:t>nder Considerations</w:t>
      </w:r>
    </w:p>
    <w:p w:rsidR="004177E5" w:rsidRPr="004177E5" w:rsidRDefault="004177E5" w:rsidP="004177E5">
      <w:pPr>
        <w:rPr>
          <w:sz w:val="24"/>
          <w:szCs w:val="24"/>
        </w:rPr>
      </w:pPr>
      <w:r w:rsidRPr="004177E5">
        <w:rPr>
          <w:sz w:val="24"/>
          <w:szCs w:val="24"/>
        </w:rPr>
        <w:t xml:space="preserve">Satellite systems can be separated into Geo synchronous (GEO), and Non-Geo synchronous (NGSO) systems.  Within each, they can be separated by the frequency bands they use.  Typical frequency bands are </w:t>
      </w:r>
      <w:proofErr w:type="spellStart"/>
      <w:r w:rsidRPr="004177E5">
        <w:rPr>
          <w:sz w:val="24"/>
          <w:szCs w:val="24"/>
        </w:rPr>
        <w:t>Ka</w:t>
      </w:r>
      <w:proofErr w:type="spellEnd"/>
      <w:r w:rsidRPr="004177E5">
        <w:rPr>
          <w:sz w:val="24"/>
          <w:szCs w:val="24"/>
        </w:rPr>
        <w:t>, Ku, C, S, and L bands.</w:t>
      </w:r>
      <w:r w:rsidR="00D11B20">
        <w:rPr>
          <w:sz w:val="24"/>
          <w:szCs w:val="24"/>
        </w:rPr>
        <w:t xml:space="preserve">  In this contribution, we will focus on </w:t>
      </w:r>
      <w:proofErr w:type="spellStart"/>
      <w:r w:rsidR="00D11B20">
        <w:rPr>
          <w:sz w:val="24"/>
          <w:szCs w:val="24"/>
        </w:rPr>
        <w:t>Ka</w:t>
      </w:r>
      <w:proofErr w:type="spellEnd"/>
      <w:r w:rsidR="00D11B20">
        <w:rPr>
          <w:sz w:val="24"/>
          <w:szCs w:val="24"/>
        </w:rPr>
        <w:t>, S and L band, as they are being considered for 5G.</w:t>
      </w:r>
      <w:r w:rsidRPr="004177E5">
        <w:rPr>
          <w:sz w:val="24"/>
          <w:szCs w:val="24"/>
        </w:rPr>
        <w:t xml:space="preserve">  From service perspective, it can be separa</w:t>
      </w:r>
      <w:r>
        <w:rPr>
          <w:sz w:val="24"/>
          <w:szCs w:val="24"/>
        </w:rPr>
        <w:t>ted into Fixed, Broadcast, and M</w:t>
      </w:r>
      <w:r w:rsidRPr="004177E5">
        <w:rPr>
          <w:sz w:val="24"/>
          <w:szCs w:val="24"/>
        </w:rPr>
        <w:t xml:space="preserve">obile.  In the context of 5G over satellites, the immediate interest is on mobile services, although applications of fixed services type of terminal on mobile platforms </w:t>
      </w:r>
      <w:proofErr w:type="gramStart"/>
      <w:r w:rsidRPr="004177E5">
        <w:rPr>
          <w:sz w:val="24"/>
          <w:szCs w:val="24"/>
        </w:rPr>
        <w:t>such</w:t>
      </w:r>
      <w:proofErr w:type="gramEnd"/>
      <w:r w:rsidRPr="004177E5">
        <w:rPr>
          <w:sz w:val="24"/>
          <w:szCs w:val="24"/>
        </w:rPr>
        <w:t xml:space="preserve"> as airplanes, ships, trains and automobiles should be included.  In the interest of minimizing cases, we propose to consider antenna sizes in diameters o</w:t>
      </w:r>
      <w:r w:rsidR="00B95EE2">
        <w:rPr>
          <w:sz w:val="24"/>
          <w:szCs w:val="24"/>
        </w:rPr>
        <w:t xml:space="preserve">f an equivalent dish for </w:t>
      </w:r>
      <w:proofErr w:type="spellStart"/>
      <w:r w:rsidRPr="004177E5">
        <w:rPr>
          <w:sz w:val="24"/>
          <w:szCs w:val="24"/>
        </w:rPr>
        <w:t>Ka</w:t>
      </w:r>
      <w:proofErr w:type="spellEnd"/>
      <w:r w:rsidRPr="004177E5">
        <w:rPr>
          <w:sz w:val="24"/>
          <w:szCs w:val="24"/>
        </w:rPr>
        <w:t>, or an antenna on a handheld devices in Table 1 below.</w:t>
      </w:r>
    </w:p>
    <w:p w:rsidR="004177E5" w:rsidRPr="004177E5" w:rsidRDefault="004177E5" w:rsidP="004177E5">
      <w:pPr>
        <w:rPr>
          <w:b/>
          <w:sz w:val="24"/>
        </w:rPr>
      </w:pPr>
      <w:r w:rsidRPr="004177E5">
        <w:rPr>
          <w:b/>
          <w:sz w:val="24"/>
        </w:rPr>
        <w:t>Table 1. Summary of typical user equipment type or size used for most common satellite networks</w:t>
      </w:r>
    </w:p>
    <w:tbl>
      <w:tblPr>
        <w:tblStyle w:val="TableGrid"/>
        <w:tblW w:w="0" w:type="auto"/>
        <w:jc w:val="center"/>
        <w:tblLook w:val="04A0" w:firstRow="1" w:lastRow="0" w:firstColumn="1" w:lastColumn="0" w:noHBand="0" w:noVBand="1"/>
      </w:tblPr>
      <w:tblGrid>
        <w:gridCol w:w="2700"/>
        <w:gridCol w:w="3060"/>
        <w:gridCol w:w="2610"/>
      </w:tblGrid>
      <w:tr w:rsidR="004177E5" w:rsidTr="00E16C47">
        <w:trPr>
          <w:jc w:val="center"/>
        </w:trPr>
        <w:tc>
          <w:tcPr>
            <w:tcW w:w="2700" w:type="dxa"/>
          </w:tcPr>
          <w:p w:rsidR="004177E5" w:rsidRDefault="004177E5" w:rsidP="00215854">
            <w:r>
              <w:t>Frequency bands</w:t>
            </w:r>
          </w:p>
        </w:tc>
        <w:tc>
          <w:tcPr>
            <w:tcW w:w="3060" w:type="dxa"/>
          </w:tcPr>
          <w:p w:rsidR="004177E5" w:rsidRDefault="004177E5" w:rsidP="00215854">
            <w:r>
              <w:t>GEO Satellites</w:t>
            </w:r>
          </w:p>
        </w:tc>
        <w:tc>
          <w:tcPr>
            <w:tcW w:w="2610" w:type="dxa"/>
          </w:tcPr>
          <w:p w:rsidR="004177E5" w:rsidRDefault="004177E5" w:rsidP="00215854">
            <w:r>
              <w:t>NGSO Satellites</w:t>
            </w:r>
          </w:p>
        </w:tc>
      </w:tr>
      <w:tr w:rsidR="004177E5" w:rsidTr="00E16C47">
        <w:trPr>
          <w:jc w:val="center"/>
        </w:trPr>
        <w:tc>
          <w:tcPr>
            <w:tcW w:w="2700" w:type="dxa"/>
          </w:tcPr>
          <w:p w:rsidR="004177E5" w:rsidRDefault="004177E5" w:rsidP="00215854">
            <w:proofErr w:type="spellStart"/>
            <w:r>
              <w:t>Ka</w:t>
            </w:r>
            <w:proofErr w:type="spellEnd"/>
            <w:r>
              <w:t xml:space="preserve"> (equiv. dish)</w:t>
            </w:r>
          </w:p>
        </w:tc>
        <w:tc>
          <w:tcPr>
            <w:tcW w:w="3060" w:type="dxa"/>
          </w:tcPr>
          <w:p w:rsidR="004177E5" w:rsidRDefault="004177E5" w:rsidP="00215854">
            <w:r>
              <w:t>30 cm – 75 cm</w:t>
            </w:r>
          </w:p>
        </w:tc>
        <w:tc>
          <w:tcPr>
            <w:tcW w:w="2610" w:type="dxa"/>
          </w:tcPr>
          <w:p w:rsidR="004177E5" w:rsidRDefault="004177E5" w:rsidP="00215854">
            <w:r>
              <w:t>30 cm</w:t>
            </w:r>
          </w:p>
        </w:tc>
      </w:tr>
      <w:tr w:rsidR="004177E5" w:rsidTr="00E16C47">
        <w:trPr>
          <w:jc w:val="center"/>
        </w:trPr>
        <w:tc>
          <w:tcPr>
            <w:tcW w:w="2700" w:type="dxa"/>
          </w:tcPr>
          <w:p w:rsidR="004177E5" w:rsidRDefault="004177E5" w:rsidP="00215854">
            <w:r>
              <w:lastRenderedPageBreak/>
              <w:t>S and L</w:t>
            </w:r>
          </w:p>
        </w:tc>
        <w:tc>
          <w:tcPr>
            <w:tcW w:w="3060" w:type="dxa"/>
          </w:tcPr>
          <w:p w:rsidR="004177E5" w:rsidRDefault="004177E5" w:rsidP="00215854">
            <w:r>
              <w:t>Handheld, portable, vehicle-mounted</w:t>
            </w:r>
          </w:p>
        </w:tc>
        <w:tc>
          <w:tcPr>
            <w:tcW w:w="2610" w:type="dxa"/>
          </w:tcPr>
          <w:p w:rsidR="004177E5" w:rsidRDefault="004177E5" w:rsidP="00215854">
            <w:r>
              <w:t>Handheld and portable</w:t>
            </w:r>
          </w:p>
        </w:tc>
      </w:tr>
    </w:tbl>
    <w:p w:rsidR="004177E5" w:rsidRPr="004177E5" w:rsidRDefault="004177E5" w:rsidP="004177E5">
      <w:pPr>
        <w:pStyle w:val="ListParagraph"/>
        <w:ind w:left="432"/>
        <w:rPr>
          <w:sz w:val="24"/>
        </w:rPr>
      </w:pPr>
    </w:p>
    <w:p w:rsidR="004177E5" w:rsidRPr="004177E5" w:rsidRDefault="00D04235" w:rsidP="004177E5">
      <w:pPr>
        <w:pStyle w:val="ListParagraph"/>
        <w:ind w:left="432"/>
        <w:rPr>
          <w:sz w:val="24"/>
          <w:szCs w:val="24"/>
        </w:rPr>
      </w:pPr>
      <w:r>
        <w:rPr>
          <w:sz w:val="24"/>
          <w:szCs w:val="24"/>
        </w:rPr>
        <w:t>For</w:t>
      </w:r>
      <w:r w:rsidR="004177E5" w:rsidRPr="004177E5">
        <w:rPr>
          <w:sz w:val="24"/>
          <w:szCs w:val="24"/>
        </w:rPr>
        <w:t xml:space="preserve"> </w:t>
      </w:r>
      <w:proofErr w:type="spellStart"/>
      <w:r w:rsidR="004177E5" w:rsidRPr="004177E5">
        <w:rPr>
          <w:sz w:val="24"/>
          <w:szCs w:val="24"/>
        </w:rPr>
        <w:t>Ka</w:t>
      </w:r>
      <w:proofErr w:type="spellEnd"/>
      <w:r w:rsidR="004177E5" w:rsidRPr="004177E5">
        <w:rPr>
          <w:sz w:val="24"/>
          <w:szCs w:val="24"/>
        </w:rPr>
        <w:t xml:space="preserve"> band GEO satellites, the satellites are spaced 2 degrees apart on orbital slot, to limit interference </w:t>
      </w:r>
      <w:r w:rsidR="004177E5">
        <w:rPr>
          <w:sz w:val="24"/>
          <w:szCs w:val="24"/>
        </w:rPr>
        <w:t>to and from adjacent satellites;</w:t>
      </w:r>
      <w:r w:rsidR="004177E5" w:rsidRPr="004177E5">
        <w:rPr>
          <w:sz w:val="24"/>
          <w:szCs w:val="24"/>
        </w:rPr>
        <w:t xml:space="preserve"> 75 cm dishes are typically used.  30 cm dishes are used with sufficient spread-spectrum spreading and limited transmit power to fit within the off-axis emission density limits set by Federal Communications Commission Part 25 or similar rules by </w:t>
      </w:r>
      <w:r w:rsidR="00D11B20">
        <w:rPr>
          <w:sz w:val="24"/>
          <w:szCs w:val="24"/>
        </w:rPr>
        <w:t>ITU-R.  There are several</w:t>
      </w:r>
      <w:r w:rsidR="004177E5" w:rsidRPr="004177E5">
        <w:rPr>
          <w:sz w:val="24"/>
          <w:szCs w:val="24"/>
        </w:rPr>
        <w:t xml:space="preserve"> </w:t>
      </w:r>
      <w:proofErr w:type="spellStart"/>
      <w:r w:rsidR="004177E5" w:rsidRPr="004177E5">
        <w:rPr>
          <w:sz w:val="24"/>
          <w:szCs w:val="24"/>
        </w:rPr>
        <w:t>Ka</w:t>
      </w:r>
      <w:proofErr w:type="spellEnd"/>
      <w:r w:rsidR="004177E5" w:rsidRPr="004177E5">
        <w:rPr>
          <w:sz w:val="24"/>
          <w:szCs w:val="24"/>
        </w:rPr>
        <w:t xml:space="preserve"> band NGSO systems being proposed or under development.  It is our educated guess that they are typically in the 30 cm dish equivalent class, although some will ultimately use array antenna with equivalent gain.</w:t>
      </w:r>
    </w:p>
    <w:p w:rsidR="00FA17A6" w:rsidRDefault="004177E5" w:rsidP="00FA17A6">
      <w:pPr>
        <w:pStyle w:val="ListParagraph"/>
        <w:ind w:left="432"/>
        <w:rPr>
          <w:sz w:val="24"/>
          <w:szCs w:val="24"/>
        </w:rPr>
      </w:pPr>
      <w:r w:rsidRPr="004177E5">
        <w:rPr>
          <w:sz w:val="24"/>
          <w:szCs w:val="24"/>
        </w:rPr>
        <w:t xml:space="preserve">For the S and L band GEO satellite systems, they can be typically classified in three categories, 0-3 dB gain antenna that are typically on handheld devices for voice or narrow band data, portable devices in a </w:t>
      </w:r>
      <w:r w:rsidR="00FA17A6">
        <w:rPr>
          <w:sz w:val="24"/>
          <w:szCs w:val="24"/>
        </w:rPr>
        <w:t>form factor about the size of a</w:t>
      </w:r>
      <w:r w:rsidRPr="004177E5">
        <w:rPr>
          <w:sz w:val="24"/>
          <w:szCs w:val="24"/>
        </w:rPr>
        <w:t xml:space="preserve"> tablet or laptop for 100s of kbps data communication, and larger vehicle-mounted directive antenna for higher speed data.  NGSO systems will have similar systems.</w:t>
      </w:r>
    </w:p>
    <w:p w:rsidR="00FA17A6" w:rsidRDefault="00FA17A6" w:rsidP="00FA17A6">
      <w:pPr>
        <w:pStyle w:val="ListParagraph"/>
        <w:ind w:left="432"/>
        <w:rPr>
          <w:sz w:val="24"/>
          <w:szCs w:val="24"/>
        </w:rPr>
      </w:pPr>
    </w:p>
    <w:p w:rsidR="00FA17A6" w:rsidRDefault="00FA17A6" w:rsidP="00FA17A6">
      <w:pPr>
        <w:pStyle w:val="Heading1"/>
        <w:numPr>
          <w:ilvl w:val="0"/>
          <w:numId w:val="2"/>
        </w:numPr>
        <w:textAlignment w:val="auto"/>
        <w:rPr>
          <w:lang w:val="en-US"/>
        </w:rPr>
      </w:pPr>
      <w:r>
        <w:rPr>
          <w:lang w:val="en-US"/>
        </w:rPr>
        <w:t>Impact of User Terminal Antenna on Channel Model</w:t>
      </w:r>
    </w:p>
    <w:p w:rsidR="00FA17A6" w:rsidRPr="00FA17A6" w:rsidRDefault="00FA17A6" w:rsidP="00FA17A6">
      <w:pPr>
        <w:pStyle w:val="ListParagraph"/>
        <w:ind w:left="432"/>
        <w:rPr>
          <w:sz w:val="24"/>
          <w:szCs w:val="24"/>
        </w:rPr>
      </w:pPr>
      <w:r w:rsidRPr="00FA17A6">
        <w:rPr>
          <w:sz w:val="24"/>
          <w:szCs w:val="24"/>
        </w:rPr>
        <w:t xml:space="preserve">Given the size of the antenna, the corresponding half-power </w:t>
      </w:r>
      <w:proofErr w:type="spellStart"/>
      <w:r w:rsidRPr="00FA17A6">
        <w:rPr>
          <w:sz w:val="24"/>
          <w:szCs w:val="24"/>
        </w:rPr>
        <w:t>beamwidth</w:t>
      </w:r>
      <w:proofErr w:type="spellEnd"/>
      <w:r w:rsidRPr="00FA17A6">
        <w:rPr>
          <w:sz w:val="24"/>
          <w:szCs w:val="24"/>
        </w:rPr>
        <w:t xml:space="preserve"> gives an indication the multipath reflection from ground surface or nearby environment for a given elevation angle. Table 2 illustrates the half-power </w:t>
      </w:r>
      <w:proofErr w:type="spellStart"/>
      <w:r w:rsidRPr="00FA17A6">
        <w:rPr>
          <w:sz w:val="24"/>
          <w:szCs w:val="24"/>
        </w:rPr>
        <w:t>beamwidth</w:t>
      </w:r>
      <w:proofErr w:type="spellEnd"/>
      <w:r w:rsidRPr="00FA17A6">
        <w:rPr>
          <w:sz w:val="24"/>
          <w:szCs w:val="24"/>
        </w:rPr>
        <w:t xml:space="preserve"> of typical antennas used in user equipment mentioned in Table </w:t>
      </w:r>
      <w:r w:rsidR="00E16C47">
        <w:rPr>
          <w:sz w:val="24"/>
          <w:szCs w:val="24"/>
        </w:rPr>
        <w:t xml:space="preserve">1. In fact, for typical </w:t>
      </w:r>
      <w:proofErr w:type="spellStart"/>
      <w:r w:rsidR="00E16C47">
        <w:rPr>
          <w:sz w:val="24"/>
          <w:szCs w:val="24"/>
        </w:rPr>
        <w:t>Ka</w:t>
      </w:r>
      <w:proofErr w:type="spellEnd"/>
      <w:r w:rsidRPr="00FA17A6">
        <w:rPr>
          <w:sz w:val="24"/>
          <w:szCs w:val="24"/>
        </w:rPr>
        <w:t xml:space="preserve"> band systems at elevation angle 30 degrees or higher, multipath fading has not been a major impairment. But, blockage due to terrain in mountainous regions and buildings in urban regions, or foliage on tree-lined road always exist.</w:t>
      </w:r>
    </w:p>
    <w:p w:rsidR="00FA17A6" w:rsidRPr="00FA17A6" w:rsidRDefault="00FA17A6" w:rsidP="00FA17A6">
      <w:pPr>
        <w:pStyle w:val="ListParagraph"/>
        <w:ind w:left="432"/>
        <w:rPr>
          <w:sz w:val="24"/>
          <w:szCs w:val="24"/>
        </w:rPr>
      </w:pPr>
    </w:p>
    <w:p w:rsidR="00FA17A6" w:rsidRPr="00FA17A6" w:rsidRDefault="00FA17A6" w:rsidP="00FA17A6">
      <w:pPr>
        <w:pStyle w:val="ListParagraph"/>
        <w:ind w:left="432"/>
        <w:rPr>
          <w:b/>
          <w:sz w:val="24"/>
          <w:szCs w:val="24"/>
        </w:rPr>
      </w:pPr>
      <w:r w:rsidRPr="00FA17A6">
        <w:rPr>
          <w:rStyle w:val="CommentReference"/>
          <w:b/>
          <w:sz w:val="24"/>
          <w:szCs w:val="24"/>
        </w:rPr>
        <w:t xml:space="preserve">Table 2. Typical half-power </w:t>
      </w:r>
      <w:proofErr w:type="spellStart"/>
      <w:r w:rsidRPr="00FA17A6">
        <w:rPr>
          <w:rStyle w:val="CommentReference"/>
          <w:b/>
          <w:sz w:val="24"/>
          <w:szCs w:val="24"/>
        </w:rPr>
        <w:t>beamwidth</w:t>
      </w:r>
      <w:proofErr w:type="spellEnd"/>
      <w:r w:rsidRPr="00FA17A6">
        <w:rPr>
          <w:rStyle w:val="CommentReference"/>
          <w:b/>
          <w:sz w:val="24"/>
          <w:szCs w:val="24"/>
        </w:rPr>
        <w:t xml:space="preserve"> of user equipment antennas for common satellite networks.</w:t>
      </w:r>
    </w:p>
    <w:tbl>
      <w:tblPr>
        <w:tblStyle w:val="TableGrid"/>
        <w:tblW w:w="8010" w:type="dxa"/>
        <w:jc w:val="center"/>
        <w:tblLook w:val="04A0" w:firstRow="1" w:lastRow="0" w:firstColumn="1" w:lastColumn="0" w:noHBand="0" w:noVBand="1"/>
      </w:tblPr>
      <w:tblGrid>
        <w:gridCol w:w="2695"/>
        <w:gridCol w:w="2700"/>
        <w:gridCol w:w="2615"/>
      </w:tblGrid>
      <w:tr w:rsidR="00E16C47" w:rsidRPr="00FA17A6" w:rsidTr="00E16C47">
        <w:trPr>
          <w:jc w:val="center"/>
        </w:trPr>
        <w:tc>
          <w:tcPr>
            <w:tcW w:w="2695" w:type="dxa"/>
          </w:tcPr>
          <w:p w:rsidR="00E16C47" w:rsidRPr="00FA17A6" w:rsidRDefault="00E16C47" w:rsidP="00215854">
            <w:pPr>
              <w:rPr>
                <w:sz w:val="24"/>
                <w:szCs w:val="24"/>
              </w:rPr>
            </w:pPr>
            <w:r w:rsidRPr="00FA17A6">
              <w:rPr>
                <w:sz w:val="24"/>
                <w:szCs w:val="24"/>
              </w:rPr>
              <w:t xml:space="preserve">Antenna </w:t>
            </w:r>
          </w:p>
        </w:tc>
        <w:tc>
          <w:tcPr>
            <w:tcW w:w="2700" w:type="dxa"/>
          </w:tcPr>
          <w:p w:rsidR="00E16C47" w:rsidRPr="00FA17A6" w:rsidRDefault="00E16C47" w:rsidP="00215854">
            <w:pPr>
              <w:rPr>
                <w:sz w:val="24"/>
                <w:szCs w:val="24"/>
              </w:rPr>
            </w:pPr>
            <w:proofErr w:type="spellStart"/>
            <w:r w:rsidRPr="00FA17A6">
              <w:rPr>
                <w:sz w:val="24"/>
                <w:szCs w:val="24"/>
              </w:rPr>
              <w:t>Ka</w:t>
            </w:r>
            <w:proofErr w:type="spellEnd"/>
            <w:r w:rsidRPr="00FA17A6">
              <w:rPr>
                <w:sz w:val="24"/>
                <w:szCs w:val="24"/>
              </w:rPr>
              <w:t xml:space="preserve"> (27 GHz)</w:t>
            </w:r>
          </w:p>
        </w:tc>
        <w:tc>
          <w:tcPr>
            <w:tcW w:w="2615" w:type="dxa"/>
          </w:tcPr>
          <w:p w:rsidR="00E16C47" w:rsidRPr="00FA17A6" w:rsidRDefault="00E16C47" w:rsidP="00215854">
            <w:pPr>
              <w:rPr>
                <w:sz w:val="24"/>
                <w:szCs w:val="24"/>
              </w:rPr>
            </w:pPr>
            <w:r w:rsidRPr="00FA17A6">
              <w:rPr>
                <w:sz w:val="24"/>
                <w:szCs w:val="24"/>
              </w:rPr>
              <w:t>S and L band</w:t>
            </w:r>
          </w:p>
        </w:tc>
      </w:tr>
      <w:tr w:rsidR="00E16C47" w:rsidRPr="00FA17A6" w:rsidTr="00E16C47">
        <w:trPr>
          <w:jc w:val="center"/>
        </w:trPr>
        <w:tc>
          <w:tcPr>
            <w:tcW w:w="2695" w:type="dxa"/>
          </w:tcPr>
          <w:p w:rsidR="00E16C47" w:rsidRPr="00FA17A6" w:rsidRDefault="00E16C47" w:rsidP="00215854">
            <w:pPr>
              <w:rPr>
                <w:sz w:val="24"/>
                <w:szCs w:val="24"/>
              </w:rPr>
            </w:pPr>
            <w:r w:rsidRPr="00FA17A6">
              <w:rPr>
                <w:sz w:val="24"/>
                <w:szCs w:val="24"/>
              </w:rPr>
              <w:t>30-cm dish</w:t>
            </w:r>
          </w:p>
        </w:tc>
        <w:tc>
          <w:tcPr>
            <w:tcW w:w="2700" w:type="dxa"/>
          </w:tcPr>
          <w:p w:rsidR="00E16C47" w:rsidRPr="00FA17A6" w:rsidRDefault="00E16C47" w:rsidP="00215854">
            <w:pPr>
              <w:rPr>
                <w:sz w:val="24"/>
                <w:szCs w:val="24"/>
              </w:rPr>
            </w:pPr>
            <w:r w:rsidRPr="00FA17A6">
              <w:rPr>
                <w:sz w:val="24"/>
                <w:szCs w:val="24"/>
              </w:rPr>
              <w:t xml:space="preserve">2.6 </w:t>
            </w:r>
            <w:proofErr w:type="spellStart"/>
            <w:r w:rsidRPr="00FA17A6">
              <w:rPr>
                <w:sz w:val="24"/>
                <w:szCs w:val="24"/>
              </w:rPr>
              <w:t>deg</w:t>
            </w:r>
            <w:proofErr w:type="spellEnd"/>
          </w:p>
        </w:tc>
        <w:tc>
          <w:tcPr>
            <w:tcW w:w="2615" w:type="dxa"/>
          </w:tcPr>
          <w:p w:rsidR="00E16C47" w:rsidRPr="00FA17A6" w:rsidRDefault="00E16C47" w:rsidP="00215854">
            <w:pPr>
              <w:rPr>
                <w:sz w:val="24"/>
                <w:szCs w:val="24"/>
              </w:rPr>
            </w:pPr>
            <w:r w:rsidRPr="00FA17A6">
              <w:rPr>
                <w:sz w:val="24"/>
                <w:szCs w:val="24"/>
              </w:rPr>
              <w:t>N/A</w:t>
            </w:r>
          </w:p>
        </w:tc>
      </w:tr>
      <w:tr w:rsidR="00E16C47" w:rsidRPr="00FA17A6" w:rsidTr="00E16C47">
        <w:trPr>
          <w:jc w:val="center"/>
        </w:trPr>
        <w:tc>
          <w:tcPr>
            <w:tcW w:w="2695" w:type="dxa"/>
          </w:tcPr>
          <w:p w:rsidR="00E16C47" w:rsidRPr="00FA17A6" w:rsidRDefault="00E16C47" w:rsidP="00215854">
            <w:pPr>
              <w:rPr>
                <w:sz w:val="24"/>
                <w:szCs w:val="24"/>
              </w:rPr>
            </w:pPr>
            <w:r w:rsidRPr="00FA17A6">
              <w:rPr>
                <w:sz w:val="24"/>
                <w:szCs w:val="24"/>
              </w:rPr>
              <w:t>75-cm dish</w:t>
            </w:r>
          </w:p>
        </w:tc>
        <w:tc>
          <w:tcPr>
            <w:tcW w:w="2700" w:type="dxa"/>
          </w:tcPr>
          <w:p w:rsidR="00E16C47" w:rsidRPr="00FA17A6" w:rsidRDefault="00E16C47" w:rsidP="00215854">
            <w:pPr>
              <w:rPr>
                <w:sz w:val="24"/>
                <w:szCs w:val="24"/>
              </w:rPr>
            </w:pPr>
            <w:r w:rsidRPr="00FA17A6">
              <w:rPr>
                <w:sz w:val="24"/>
                <w:szCs w:val="24"/>
              </w:rPr>
              <w:t xml:space="preserve">1 </w:t>
            </w:r>
            <w:proofErr w:type="spellStart"/>
            <w:r w:rsidRPr="00FA17A6">
              <w:rPr>
                <w:sz w:val="24"/>
                <w:szCs w:val="24"/>
              </w:rPr>
              <w:t>deg</w:t>
            </w:r>
            <w:proofErr w:type="spellEnd"/>
          </w:p>
        </w:tc>
        <w:tc>
          <w:tcPr>
            <w:tcW w:w="2615" w:type="dxa"/>
          </w:tcPr>
          <w:p w:rsidR="00E16C47" w:rsidRPr="00FA17A6" w:rsidRDefault="00E16C47" w:rsidP="00215854">
            <w:pPr>
              <w:rPr>
                <w:sz w:val="24"/>
                <w:szCs w:val="24"/>
              </w:rPr>
            </w:pPr>
            <w:r w:rsidRPr="00FA17A6">
              <w:rPr>
                <w:sz w:val="24"/>
                <w:szCs w:val="24"/>
              </w:rPr>
              <w:t>N/A</w:t>
            </w:r>
          </w:p>
        </w:tc>
      </w:tr>
      <w:tr w:rsidR="00E16C47" w:rsidRPr="00FA17A6" w:rsidTr="00E16C47">
        <w:trPr>
          <w:jc w:val="center"/>
        </w:trPr>
        <w:tc>
          <w:tcPr>
            <w:tcW w:w="2695" w:type="dxa"/>
          </w:tcPr>
          <w:p w:rsidR="00E16C47" w:rsidRPr="00FA17A6" w:rsidRDefault="00E16C47" w:rsidP="00215854">
            <w:pPr>
              <w:rPr>
                <w:sz w:val="24"/>
                <w:szCs w:val="24"/>
              </w:rPr>
            </w:pPr>
            <w:r w:rsidRPr="00FA17A6">
              <w:rPr>
                <w:sz w:val="24"/>
                <w:szCs w:val="24"/>
              </w:rPr>
              <w:t>Handheld</w:t>
            </w:r>
          </w:p>
        </w:tc>
        <w:tc>
          <w:tcPr>
            <w:tcW w:w="2700" w:type="dxa"/>
          </w:tcPr>
          <w:p w:rsidR="00E16C47" w:rsidRPr="00FA17A6" w:rsidRDefault="00E16C47" w:rsidP="00215854">
            <w:pPr>
              <w:rPr>
                <w:sz w:val="24"/>
                <w:szCs w:val="24"/>
              </w:rPr>
            </w:pPr>
            <w:r w:rsidRPr="00FA17A6">
              <w:rPr>
                <w:sz w:val="24"/>
                <w:szCs w:val="24"/>
              </w:rPr>
              <w:t>N/A</w:t>
            </w:r>
          </w:p>
        </w:tc>
        <w:tc>
          <w:tcPr>
            <w:tcW w:w="2615" w:type="dxa"/>
          </w:tcPr>
          <w:p w:rsidR="00E16C47" w:rsidRPr="00FA17A6" w:rsidRDefault="00E16C47" w:rsidP="00215854">
            <w:pPr>
              <w:rPr>
                <w:sz w:val="24"/>
                <w:szCs w:val="24"/>
              </w:rPr>
            </w:pPr>
            <w:r w:rsidRPr="00FA17A6">
              <w:rPr>
                <w:sz w:val="24"/>
                <w:szCs w:val="24"/>
              </w:rPr>
              <w:t xml:space="preserve">~60 </w:t>
            </w:r>
            <w:proofErr w:type="spellStart"/>
            <w:r w:rsidRPr="00FA17A6">
              <w:rPr>
                <w:sz w:val="24"/>
                <w:szCs w:val="24"/>
              </w:rPr>
              <w:t>deg</w:t>
            </w:r>
            <w:proofErr w:type="spellEnd"/>
          </w:p>
        </w:tc>
      </w:tr>
      <w:tr w:rsidR="00E16C47" w:rsidRPr="00FA17A6" w:rsidTr="00E16C47">
        <w:trPr>
          <w:jc w:val="center"/>
        </w:trPr>
        <w:tc>
          <w:tcPr>
            <w:tcW w:w="2695" w:type="dxa"/>
          </w:tcPr>
          <w:p w:rsidR="00E16C47" w:rsidRPr="00FA17A6" w:rsidRDefault="00E16C47" w:rsidP="00215854">
            <w:pPr>
              <w:rPr>
                <w:sz w:val="24"/>
                <w:szCs w:val="24"/>
              </w:rPr>
            </w:pPr>
            <w:r w:rsidRPr="00FA17A6">
              <w:rPr>
                <w:sz w:val="24"/>
                <w:szCs w:val="24"/>
              </w:rPr>
              <w:t>Portable</w:t>
            </w:r>
          </w:p>
        </w:tc>
        <w:tc>
          <w:tcPr>
            <w:tcW w:w="2700" w:type="dxa"/>
          </w:tcPr>
          <w:p w:rsidR="00E16C47" w:rsidRPr="00FA17A6" w:rsidRDefault="00E16C47" w:rsidP="00215854">
            <w:pPr>
              <w:rPr>
                <w:sz w:val="24"/>
                <w:szCs w:val="24"/>
              </w:rPr>
            </w:pPr>
            <w:r w:rsidRPr="00FA17A6">
              <w:rPr>
                <w:sz w:val="24"/>
                <w:szCs w:val="24"/>
              </w:rPr>
              <w:t>N/A</w:t>
            </w:r>
          </w:p>
        </w:tc>
        <w:tc>
          <w:tcPr>
            <w:tcW w:w="2615" w:type="dxa"/>
          </w:tcPr>
          <w:p w:rsidR="00E16C47" w:rsidRPr="00FA17A6" w:rsidRDefault="00E16C47" w:rsidP="00215854">
            <w:pPr>
              <w:rPr>
                <w:sz w:val="24"/>
                <w:szCs w:val="24"/>
              </w:rPr>
            </w:pPr>
            <w:r w:rsidRPr="00FA17A6">
              <w:rPr>
                <w:sz w:val="24"/>
                <w:szCs w:val="24"/>
              </w:rPr>
              <w:t xml:space="preserve">~20 </w:t>
            </w:r>
            <w:proofErr w:type="spellStart"/>
            <w:r w:rsidRPr="00FA17A6">
              <w:rPr>
                <w:sz w:val="24"/>
                <w:szCs w:val="24"/>
              </w:rPr>
              <w:t>deg</w:t>
            </w:r>
            <w:proofErr w:type="spellEnd"/>
          </w:p>
        </w:tc>
      </w:tr>
    </w:tbl>
    <w:p w:rsidR="00FA17A6" w:rsidRPr="00FA17A6" w:rsidRDefault="00FA17A6" w:rsidP="00FA17A6">
      <w:pPr>
        <w:pStyle w:val="ListParagraph"/>
        <w:ind w:left="432"/>
        <w:rPr>
          <w:rStyle w:val="CommentReference"/>
          <w:sz w:val="24"/>
          <w:szCs w:val="24"/>
        </w:rPr>
      </w:pPr>
    </w:p>
    <w:p w:rsidR="00FA17A6" w:rsidRPr="00FA17A6" w:rsidRDefault="00FA17A6" w:rsidP="00FA17A6">
      <w:pPr>
        <w:pStyle w:val="ListParagraph"/>
        <w:ind w:left="432"/>
        <w:rPr>
          <w:sz w:val="24"/>
          <w:szCs w:val="24"/>
        </w:rPr>
      </w:pPr>
      <w:r w:rsidRPr="00FA17A6">
        <w:rPr>
          <w:sz w:val="24"/>
          <w:szCs w:val="24"/>
        </w:rPr>
        <w:t>Multipath fading does play a role for S or L band systems even at 30 degree elevation.  T</w:t>
      </w:r>
      <w:r>
        <w:rPr>
          <w:sz w:val="24"/>
          <w:szCs w:val="24"/>
        </w:rPr>
        <w:t xml:space="preserve">hese are typically modeled by </w:t>
      </w:r>
      <w:proofErr w:type="spellStart"/>
      <w:r>
        <w:rPr>
          <w:sz w:val="24"/>
          <w:szCs w:val="24"/>
        </w:rPr>
        <w:t>Rician</w:t>
      </w:r>
      <w:proofErr w:type="spellEnd"/>
      <w:r>
        <w:rPr>
          <w:sz w:val="24"/>
          <w:szCs w:val="24"/>
        </w:rPr>
        <w:t xml:space="preserve"> fading</w:t>
      </w:r>
      <w:r w:rsidRPr="00FA17A6">
        <w:rPr>
          <w:sz w:val="24"/>
          <w:szCs w:val="24"/>
        </w:rPr>
        <w:t xml:space="preserve">, which includes a line-of-sight (LOS) signal and </w:t>
      </w:r>
      <w:r w:rsidRPr="00FA17A6">
        <w:rPr>
          <w:sz w:val="24"/>
          <w:szCs w:val="24"/>
        </w:rPr>
        <w:lastRenderedPageBreak/>
        <w:t>a diffused multipath signal representing reflections from the ground.  The signal to mu</w:t>
      </w:r>
      <w:r w:rsidR="00BF6FBD">
        <w:rPr>
          <w:sz w:val="24"/>
          <w:szCs w:val="24"/>
        </w:rPr>
        <w:t>ltipath ratio, or K-factor, depends</w:t>
      </w:r>
      <w:r w:rsidRPr="00FA17A6">
        <w:rPr>
          <w:sz w:val="24"/>
          <w:szCs w:val="24"/>
        </w:rPr>
        <w:t xml:space="preserve"> on environment and elevation angle, and</w:t>
      </w:r>
      <w:r w:rsidR="00BF6FBD">
        <w:rPr>
          <w:sz w:val="24"/>
          <w:szCs w:val="24"/>
        </w:rPr>
        <w:t xml:space="preserve"> is</w:t>
      </w:r>
      <w:r w:rsidRPr="00FA17A6">
        <w:rPr>
          <w:sz w:val="24"/>
          <w:szCs w:val="24"/>
        </w:rPr>
        <w:t xml:space="preserve"> often determined by</w:t>
      </w:r>
      <w:r>
        <w:rPr>
          <w:sz w:val="24"/>
          <w:szCs w:val="24"/>
        </w:rPr>
        <w:t xml:space="preserve"> the measurement data.  In the</w:t>
      </w:r>
      <w:r w:rsidRPr="00FA17A6">
        <w:rPr>
          <w:sz w:val="24"/>
          <w:szCs w:val="24"/>
        </w:rPr>
        <w:t xml:space="preserve"> early work </w:t>
      </w:r>
      <w:r>
        <w:rPr>
          <w:sz w:val="24"/>
          <w:szCs w:val="24"/>
        </w:rPr>
        <w:t xml:space="preserve">of </w:t>
      </w:r>
      <w:r w:rsidRPr="00FA17A6">
        <w:rPr>
          <w:sz w:val="24"/>
          <w:szCs w:val="24"/>
        </w:rPr>
        <w:t>C. Loo [1],[2], and W. Vogel [3]-[8], it is possible to establish typical range</w:t>
      </w:r>
      <w:r>
        <w:rPr>
          <w:sz w:val="24"/>
          <w:szCs w:val="24"/>
        </w:rPr>
        <w:t>s</w:t>
      </w:r>
      <w:r w:rsidRPr="00FA17A6">
        <w:rPr>
          <w:sz w:val="24"/>
          <w:szCs w:val="24"/>
        </w:rPr>
        <w:t xml:space="preserve"> of K-factors for typical applications for a given frequency band, elevation angle, and size of the antenna.</w:t>
      </w:r>
      <w:r w:rsidRPr="00FA17A6">
        <w:rPr>
          <w:rStyle w:val="CommentReference"/>
          <w:sz w:val="24"/>
          <w:szCs w:val="24"/>
        </w:rPr>
        <w:t xml:space="preserve">  Typically, K-factors in the range of 5-10 dB are being considered for S and L-band Geo satellite networks.</w:t>
      </w:r>
    </w:p>
    <w:p w:rsidR="00FA17A6" w:rsidRDefault="00FA17A6" w:rsidP="00FA17A6">
      <w:pPr>
        <w:pStyle w:val="ListParagraph"/>
        <w:ind w:left="432"/>
        <w:rPr>
          <w:sz w:val="24"/>
          <w:szCs w:val="24"/>
        </w:rPr>
      </w:pPr>
      <w:r w:rsidRPr="00FA17A6">
        <w:rPr>
          <w:sz w:val="24"/>
          <w:szCs w:val="24"/>
        </w:rPr>
        <w:t>Cautions, however, need to be exercised for elevation angles below 15 degree, as other atmosphere effect, such as scintillation may also introduce significant i</w:t>
      </w:r>
      <w:r>
        <w:rPr>
          <w:sz w:val="24"/>
          <w:szCs w:val="24"/>
        </w:rPr>
        <w:t>mpairments [9]-[11].  ITU-R has</w:t>
      </w:r>
      <w:r w:rsidRPr="00FA17A6">
        <w:rPr>
          <w:sz w:val="24"/>
          <w:szCs w:val="24"/>
        </w:rPr>
        <w:t xml:space="preserve"> a wealth of recommendation</w:t>
      </w:r>
      <w:r>
        <w:rPr>
          <w:sz w:val="24"/>
          <w:szCs w:val="24"/>
        </w:rPr>
        <w:t>s that</w:t>
      </w:r>
      <w:r w:rsidRPr="00FA17A6">
        <w:rPr>
          <w:sz w:val="24"/>
          <w:szCs w:val="24"/>
        </w:rPr>
        <w:t xml:space="preserve"> deal with the subject.  A brief summary of those recommendations extracted from Table 6 of [12] is summarized in the Table 3 below.</w:t>
      </w:r>
    </w:p>
    <w:p w:rsidR="00DA42F2" w:rsidRPr="00FA17A6" w:rsidRDefault="00DA42F2" w:rsidP="00FA17A6">
      <w:pPr>
        <w:pStyle w:val="ListParagraph"/>
        <w:ind w:left="432"/>
        <w:rPr>
          <w:sz w:val="24"/>
          <w:szCs w:val="24"/>
        </w:rPr>
      </w:pPr>
    </w:p>
    <w:p w:rsidR="00DA42F2" w:rsidRPr="00DA42F2" w:rsidRDefault="00DA42F2" w:rsidP="00DA42F2">
      <w:pPr>
        <w:pStyle w:val="ListParagraph"/>
        <w:ind w:left="432"/>
        <w:rPr>
          <w:b/>
          <w:sz w:val="24"/>
          <w:szCs w:val="24"/>
        </w:rPr>
      </w:pPr>
      <w:r w:rsidRPr="00DA42F2">
        <w:rPr>
          <w:b/>
          <w:sz w:val="24"/>
          <w:szCs w:val="24"/>
        </w:rPr>
        <w:t>Table 3. P-series of ITU-R recommendations relevant to Mobile Satellite Channel Model</w:t>
      </w:r>
    </w:p>
    <w:tbl>
      <w:tblPr>
        <w:tblStyle w:val="TableGrid"/>
        <w:tblW w:w="0" w:type="auto"/>
        <w:tblLook w:val="04A0" w:firstRow="1" w:lastRow="0" w:firstColumn="1" w:lastColumn="0" w:noHBand="0" w:noVBand="1"/>
      </w:tblPr>
      <w:tblGrid>
        <w:gridCol w:w="2065"/>
        <w:gridCol w:w="1710"/>
        <w:gridCol w:w="5575"/>
      </w:tblGrid>
      <w:tr w:rsidR="00FA17A6" w:rsidRPr="00FA17A6" w:rsidTr="00215854">
        <w:trPr>
          <w:trHeight w:val="602"/>
        </w:trPr>
        <w:tc>
          <w:tcPr>
            <w:tcW w:w="2065" w:type="dxa"/>
          </w:tcPr>
          <w:p w:rsidR="00FA17A6" w:rsidRPr="00FA17A6" w:rsidRDefault="00FA17A6" w:rsidP="00215854">
            <w:pPr>
              <w:jc w:val="center"/>
              <w:rPr>
                <w:b/>
                <w:sz w:val="24"/>
                <w:szCs w:val="24"/>
              </w:rPr>
            </w:pPr>
            <w:r w:rsidRPr="00FA17A6">
              <w:rPr>
                <w:b/>
                <w:sz w:val="24"/>
                <w:szCs w:val="24"/>
              </w:rPr>
              <w:t>Serial number of recommendations</w:t>
            </w:r>
          </w:p>
        </w:tc>
        <w:tc>
          <w:tcPr>
            <w:tcW w:w="1710" w:type="dxa"/>
          </w:tcPr>
          <w:p w:rsidR="00FA17A6" w:rsidRPr="00FA17A6" w:rsidRDefault="00FA17A6" w:rsidP="00215854">
            <w:pPr>
              <w:jc w:val="center"/>
              <w:rPr>
                <w:b/>
                <w:sz w:val="24"/>
                <w:szCs w:val="24"/>
              </w:rPr>
            </w:pPr>
            <w:r w:rsidRPr="00FA17A6">
              <w:rPr>
                <w:b/>
                <w:sz w:val="24"/>
                <w:szCs w:val="24"/>
              </w:rPr>
              <w:t>Authorized date</w:t>
            </w:r>
          </w:p>
        </w:tc>
        <w:tc>
          <w:tcPr>
            <w:tcW w:w="5575" w:type="dxa"/>
          </w:tcPr>
          <w:p w:rsidR="00FA17A6" w:rsidRPr="00FA17A6" w:rsidRDefault="00FA17A6" w:rsidP="00215854">
            <w:pPr>
              <w:jc w:val="center"/>
              <w:rPr>
                <w:b/>
                <w:sz w:val="24"/>
                <w:szCs w:val="24"/>
              </w:rPr>
            </w:pPr>
            <w:r w:rsidRPr="00FA17A6">
              <w:rPr>
                <w:b/>
                <w:sz w:val="24"/>
                <w:szCs w:val="24"/>
              </w:rPr>
              <w:t>Corresponding Core content in recommendations</w:t>
            </w:r>
          </w:p>
        </w:tc>
      </w:tr>
      <w:tr w:rsidR="00FA17A6" w:rsidRPr="00FA17A6" w:rsidTr="00215854">
        <w:tc>
          <w:tcPr>
            <w:tcW w:w="2065" w:type="dxa"/>
          </w:tcPr>
          <w:p w:rsidR="00FA17A6" w:rsidRPr="00FA17A6" w:rsidRDefault="00FA17A6" w:rsidP="00215854">
            <w:pPr>
              <w:jc w:val="center"/>
              <w:rPr>
                <w:sz w:val="24"/>
                <w:szCs w:val="24"/>
              </w:rPr>
            </w:pPr>
            <w:r w:rsidRPr="00FA17A6">
              <w:rPr>
                <w:sz w:val="24"/>
                <w:szCs w:val="24"/>
              </w:rPr>
              <w:t>P.618-11</w:t>
            </w:r>
          </w:p>
        </w:tc>
        <w:tc>
          <w:tcPr>
            <w:tcW w:w="1710" w:type="dxa"/>
          </w:tcPr>
          <w:p w:rsidR="00FA17A6" w:rsidRPr="00FA17A6" w:rsidRDefault="00FA17A6" w:rsidP="00215854">
            <w:pPr>
              <w:jc w:val="center"/>
              <w:rPr>
                <w:sz w:val="24"/>
                <w:szCs w:val="24"/>
              </w:rPr>
            </w:pPr>
            <w:r w:rsidRPr="00FA17A6">
              <w:rPr>
                <w:sz w:val="24"/>
                <w:szCs w:val="24"/>
              </w:rPr>
              <w:t>2013-09</w:t>
            </w:r>
          </w:p>
        </w:tc>
        <w:tc>
          <w:tcPr>
            <w:tcW w:w="5575" w:type="dxa"/>
          </w:tcPr>
          <w:p w:rsidR="00FA17A6" w:rsidRPr="00FA17A6" w:rsidRDefault="00FA17A6" w:rsidP="00215854">
            <w:pPr>
              <w:rPr>
                <w:sz w:val="24"/>
                <w:szCs w:val="24"/>
              </w:rPr>
            </w:pPr>
            <w:r w:rsidRPr="00FA17A6">
              <w:rPr>
                <w:sz w:val="24"/>
                <w:szCs w:val="24"/>
              </w:rPr>
              <w:t>Propagation data and prediction methods required for the design of Earth-space telecommunication systems</w:t>
            </w:r>
          </w:p>
        </w:tc>
      </w:tr>
      <w:tr w:rsidR="00FA17A6" w:rsidRPr="00FA17A6" w:rsidTr="00215854">
        <w:tc>
          <w:tcPr>
            <w:tcW w:w="2065" w:type="dxa"/>
          </w:tcPr>
          <w:p w:rsidR="00FA17A6" w:rsidRPr="00FA17A6" w:rsidRDefault="00FA17A6" w:rsidP="00215854">
            <w:pPr>
              <w:jc w:val="center"/>
              <w:rPr>
                <w:sz w:val="24"/>
                <w:szCs w:val="24"/>
              </w:rPr>
            </w:pPr>
            <w:r w:rsidRPr="00FA17A6">
              <w:rPr>
                <w:sz w:val="24"/>
                <w:szCs w:val="24"/>
              </w:rPr>
              <w:t>P.679-3</w:t>
            </w:r>
          </w:p>
        </w:tc>
        <w:tc>
          <w:tcPr>
            <w:tcW w:w="1710" w:type="dxa"/>
          </w:tcPr>
          <w:p w:rsidR="00FA17A6" w:rsidRPr="00FA17A6" w:rsidRDefault="00FA17A6" w:rsidP="00215854">
            <w:pPr>
              <w:jc w:val="center"/>
              <w:rPr>
                <w:sz w:val="24"/>
                <w:szCs w:val="24"/>
              </w:rPr>
            </w:pPr>
            <w:r w:rsidRPr="00FA17A6">
              <w:rPr>
                <w:sz w:val="24"/>
                <w:szCs w:val="24"/>
              </w:rPr>
              <w:t>2001-02</w:t>
            </w:r>
          </w:p>
        </w:tc>
        <w:tc>
          <w:tcPr>
            <w:tcW w:w="5575" w:type="dxa"/>
          </w:tcPr>
          <w:p w:rsidR="00FA17A6" w:rsidRPr="00FA17A6" w:rsidRDefault="00FA17A6" w:rsidP="00215854">
            <w:pPr>
              <w:rPr>
                <w:sz w:val="24"/>
                <w:szCs w:val="24"/>
              </w:rPr>
            </w:pPr>
            <w:r w:rsidRPr="00FA17A6">
              <w:rPr>
                <w:sz w:val="24"/>
                <w:szCs w:val="24"/>
              </w:rPr>
              <w:t>Propagation data required for the design of broadcasting-satellite systems</w:t>
            </w:r>
          </w:p>
        </w:tc>
      </w:tr>
      <w:tr w:rsidR="00FA17A6" w:rsidRPr="00FA17A6" w:rsidTr="00215854">
        <w:tc>
          <w:tcPr>
            <w:tcW w:w="2065" w:type="dxa"/>
          </w:tcPr>
          <w:p w:rsidR="00FA17A6" w:rsidRPr="00FA17A6" w:rsidRDefault="00FA17A6" w:rsidP="00215854">
            <w:pPr>
              <w:jc w:val="center"/>
              <w:rPr>
                <w:sz w:val="24"/>
                <w:szCs w:val="24"/>
              </w:rPr>
            </w:pPr>
            <w:r w:rsidRPr="00FA17A6">
              <w:rPr>
                <w:sz w:val="24"/>
                <w:szCs w:val="24"/>
              </w:rPr>
              <w:t>P.680-3</w:t>
            </w:r>
          </w:p>
        </w:tc>
        <w:tc>
          <w:tcPr>
            <w:tcW w:w="1710" w:type="dxa"/>
          </w:tcPr>
          <w:p w:rsidR="00FA17A6" w:rsidRPr="00FA17A6" w:rsidRDefault="00FA17A6" w:rsidP="00215854">
            <w:pPr>
              <w:jc w:val="center"/>
              <w:rPr>
                <w:sz w:val="24"/>
                <w:szCs w:val="24"/>
              </w:rPr>
            </w:pPr>
            <w:r w:rsidRPr="00FA17A6">
              <w:rPr>
                <w:sz w:val="24"/>
                <w:szCs w:val="24"/>
              </w:rPr>
              <w:t>1999-10</w:t>
            </w:r>
          </w:p>
        </w:tc>
        <w:tc>
          <w:tcPr>
            <w:tcW w:w="5575" w:type="dxa"/>
          </w:tcPr>
          <w:p w:rsidR="00FA17A6" w:rsidRPr="00FA17A6" w:rsidRDefault="00FA17A6" w:rsidP="00215854">
            <w:pPr>
              <w:rPr>
                <w:sz w:val="24"/>
                <w:szCs w:val="24"/>
              </w:rPr>
            </w:pPr>
            <w:r w:rsidRPr="00FA17A6">
              <w:rPr>
                <w:sz w:val="24"/>
                <w:szCs w:val="24"/>
              </w:rPr>
              <w:t>Propagation data required for the design of Earth-space maritime mobile</w:t>
            </w:r>
          </w:p>
        </w:tc>
      </w:tr>
      <w:tr w:rsidR="00FA17A6" w:rsidRPr="00FA17A6" w:rsidTr="00215854">
        <w:tc>
          <w:tcPr>
            <w:tcW w:w="2065" w:type="dxa"/>
          </w:tcPr>
          <w:p w:rsidR="00FA17A6" w:rsidRPr="00FA17A6" w:rsidRDefault="00FA17A6" w:rsidP="00215854">
            <w:pPr>
              <w:jc w:val="center"/>
              <w:rPr>
                <w:sz w:val="24"/>
                <w:szCs w:val="24"/>
              </w:rPr>
            </w:pPr>
            <w:r w:rsidRPr="00FA17A6">
              <w:rPr>
                <w:sz w:val="24"/>
                <w:szCs w:val="24"/>
              </w:rPr>
              <w:t>P.681-7</w:t>
            </w:r>
          </w:p>
        </w:tc>
        <w:tc>
          <w:tcPr>
            <w:tcW w:w="1710" w:type="dxa"/>
          </w:tcPr>
          <w:p w:rsidR="00FA17A6" w:rsidRPr="00FA17A6" w:rsidRDefault="00FA17A6" w:rsidP="00215854">
            <w:pPr>
              <w:jc w:val="center"/>
              <w:rPr>
                <w:sz w:val="24"/>
                <w:szCs w:val="24"/>
              </w:rPr>
            </w:pPr>
            <w:r w:rsidRPr="00FA17A6">
              <w:rPr>
                <w:sz w:val="24"/>
                <w:szCs w:val="24"/>
              </w:rPr>
              <w:t>2009-10</w:t>
            </w:r>
          </w:p>
        </w:tc>
        <w:tc>
          <w:tcPr>
            <w:tcW w:w="5575" w:type="dxa"/>
          </w:tcPr>
          <w:p w:rsidR="00FA17A6" w:rsidRPr="00FA17A6" w:rsidRDefault="00FA17A6" w:rsidP="00215854">
            <w:pPr>
              <w:rPr>
                <w:sz w:val="24"/>
                <w:szCs w:val="24"/>
              </w:rPr>
            </w:pPr>
            <w:r w:rsidRPr="00FA17A6">
              <w:rPr>
                <w:sz w:val="24"/>
                <w:szCs w:val="24"/>
              </w:rPr>
              <w:t>Propagation data required for the design of Earth-space land mobile telecommunication systems</w:t>
            </w:r>
          </w:p>
        </w:tc>
      </w:tr>
      <w:tr w:rsidR="00FA17A6" w:rsidRPr="00FA17A6" w:rsidTr="00215854">
        <w:tc>
          <w:tcPr>
            <w:tcW w:w="2065" w:type="dxa"/>
          </w:tcPr>
          <w:p w:rsidR="00FA17A6" w:rsidRPr="00FA17A6" w:rsidRDefault="00FA17A6" w:rsidP="00215854">
            <w:pPr>
              <w:jc w:val="center"/>
              <w:rPr>
                <w:sz w:val="24"/>
                <w:szCs w:val="24"/>
              </w:rPr>
            </w:pPr>
            <w:r w:rsidRPr="00FA17A6">
              <w:rPr>
                <w:sz w:val="24"/>
                <w:szCs w:val="24"/>
              </w:rPr>
              <w:t>P.682-3</w:t>
            </w:r>
          </w:p>
        </w:tc>
        <w:tc>
          <w:tcPr>
            <w:tcW w:w="1710" w:type="dxa"/>
          </w:tcPr>
          <w:p w:rsidR="00FA17A6" w:rsidRPr="00FA17A6" w:rsidRDefault="00FA17A6" w:rsidP="00215854">
            <w:pPr>
              <w:jc w:val="center"/>
              <w:rPr>
                <w:sz w:val="24"/>
                <w:szCs w:val="24"/>
              </w:rPr>
            </w:pPr>
            <w:r w:rsidRPr="00FA17A6">
              <w:rPr>
                <w:sz w:val="24"/>
                <w:szCs w:val="24"/>
              </w:rPr>
              <w:t>2012-02</w:t>
            </w:r>
          </w:p>
        </w:tc>
        <w:tc>
          <w:tcPr>
            <w:tcW w:w="5575" w:type="dxa"/>
          </w:tcPr>
          <w:p w:rsidR="00FA17A6" w:rsidRPr="00FA17A6" w:rsidRDefault="00FA17A6" w:rsidP="00215854">
            <w:pPr>
              <w:rPr>
                <w:sz w:val="24"/>
                <w:szCs w:val="24"/>
              </w:rPr>
            </w:pPr>
            <w:r w:rsidRPr="00FA17A6">
              <w:rPr>
                <w:sz w:val="24"/>
                <w:szCs w:val="24"/>
              </w:rPr>
              <w:t>Propagation data required for the design of Earth-space aeronautical mobile telecommunication systems</w:t>
            </w:r>
          </w:p>
        </w:tc>
      </w:tr>
      <w:tr w:rsidR="00FA17A6" w:rsidRPr="00FA17A6" w:rsidTr="00215854">
        <w:tc>
          <w:tcPr>
            <w:tcW w:w="2065" w:type="dxa"/>
          </w:tcPr>
          <w:p w:rsidR="00FA17A6" w:rsidRPr="00FA17A6" w:rsidRDefault="00FA17A6" w:rsidP="00215854">
            <w:pPr>
              <w:jc w:val="center"/>
              <w:rPr>
                <w:sz w:val="24"/>
                <w:szCs w:val="24"/>
              </w:rPr>
            </w:pPr>
            <w:r w:rsidRPr="00FA17A6">
              <w:rPr>
                <w:sz w:val="24"/>
                <w:szCs w:val="24"/>
              </w:rPr>
              <w:t>P.1623-1</w:t>
            </w:r>
          </w:p>
        </w:tc>
        <w:tc>
          <w:tcPr>
            <w:tcW w:w="1710" w:type="dxa"/>
          </w:tcPr>
          <w:p w:rsidR="00FA17A6" w:rsidRPr="00FA17A6" w:rsidRDefault="00FA17A6" w:rsidP="00215854">
            <w:pPr>
              <w:jc w:val="center"/>
              <w:rPr>
                <w:sz w:val="24"/>
                <w:szCs w:val="24"/>
              </w:rPr>
            </w:pPr>
            <w:r w:rsidRPr="00FA17A6">
              <w:rPr>
                <w:sz w:val="24"/>
                <w:szCs w:val="24"/>
              </w:rPr>
              <w:t>2005-03</w:t>
            </w:r>
          </w:p>
        </w:tc>
        <w:tc>
          <w:tcPr>
            <w:tcW w:w="5575" w:type="dxa"/>
          </w:tcPr>
          <w:p w:rsidR="00FA17A6" w:rsidRPr="00FA17A6" w:rsidRDefault="00FA17A6" w:rsidP="00215854">
            <w:pPr>
              <w:rPr>
                <w:sz w:val="24"/>
                <w:szCs w:val="24"/>
              </w:rPr>
            </w:pPr>
            <w:r w:rsidRPr="00FA17A6">
              <w:rPr>
                <w:sz w:val="24"/>
                <w:szCs w:val="24"/>
              </w:rPr>
              <w:t>Prediction method of fade dynamics on Earth-space paths</w:t>
            </w:r>
          </w:p>
        </w:tc>
      </w:tr>
      <w:tr w:rsidR="00FA17A6" w:rsidRPr="00FA17A6" w:rsidTr="00215854">
        <w:tc>
          <w:tcPr>
            <w:tcW w:w="2065" w:type="dxa"/>
          </w:tcPr>
          <w:p w:rsidR="00FA17A6" w:rsidRPr="00FA17A6" w:rsidRDefault="00FA17A6" w:rsidP="00215854">
            <w:pPr>
              <w:jc w:val="center"/>
              <w:rPr>
                <w:sz w:val="24"/>
                <w:szCs w:val="24"/>
              </w:rPr>
            </w:pPr>
            <w:r w:rsidRPr="00FA17A6">
              <w:rPr>
                <w:sz w:val="24"/>
                <w:szCs w:val="24"/>
              </w:rPr>
              <w:t>P.1853-1</w:t>
            </w:r>
          </w:p>
        </w:tc>
        <w:tc>
          <w:tcPr>
            <w:tcW w:w="1710" w:type="dxa"/>
          </w:tcPr>
          <w:p w:rsidR="00FA17A6" w:rsidRPr="00FA17A6" w:rsidRDefault="00FA17A6" w:rsidP="00215854">
            <w:pPr>
              <w:jc w:val="center"/>
              <w:rPr>
                <w:sz w:val="24"/>
                <w:szCs w:val="24"/>
              </w:rPr>
            </w:pPr>
            <w:r w:rsidRPr="00FA17A6">
              <w:rPr>
                <w:sz w:val="24"/>
                <w:szCs w:val="24"/>
              </w:rPr>
              <w:t>2012-02</w:t>
            </w:r>
          </w:p>
        </w:tc>
        <w:tc>
          <w:tcPr>
            <w:tcW w:w="5575" w:type="dxa"/>
          </w:tcPr>
          <w:p w:rsidR="00FA17A6" w:rsidRPr="00FA17A6" w:rsidRDefault="00FA17A6" w:rsidP="00215854">
            <w:pPr>
              <w:rPr>
                <w:sz w:val="24"/>
                <w:szCs w:val="24"/>
              </w:rPr>
            </w:pPr>
            <w:r w:rsidRPr="00FA17A6">
              <w:rPr>
                <w:sz w:val="24"/>
                <w:szCs w:val="24"/>
              </w:rPr>
              <w:t>Tropospheric attenuation time series synthesis</w:t>
            </w:r>
          </w:p>
        </w:tc>
      </w:tr>
      <w:tr w:rsidR="00FA17A6" w:rsidRPr="00FA17A6" w:rsidTr="00215854">
        <w:tc>
          <w:tcPr>
            <w:tcW w:w="2065" w:type="dxa"/>
          </w:tcPr>
          <w:p w:rsidR="00FA17A6" w:rsidRPr="00FA17A6" w:rsidRDefault="00FA17A6" w:rsidP="00215854">
            <w:pPr>
              <w:jc w:val="center"/>
              <w:rPr>
                <w:sz w:val="24"/>
                <w:szCs w:val="24"/>
              </w:rPr>
            </w:pPr>
            <w:r w:rsidRPr="00FA17A6">
              <w:rPr>
                <w:sz w:val="24"/>
                <w:szCs w:val="24"/>
              </w:rPr>
              <w:t>P.2041</w:t>
            </w:r>
          </w:p>
        </w:tc>
        <w:tc>
          <w:tcPr>
            <w:tcW w:w="1710" w:type="dxa"/>
          </w:tcPr>
          <w:p w:rsidR="00FA17A6" w:rsidRPr="00FA17A6" w:rsidRDefault="00FA17A6" w:rsidP="00215854">
            <w:pPr>
              <w:jc w:val="center"/>
              <w:rPr>
                <w:sz w:val="24"/>
                <w:szCs w:val="24"/>
              </w:rPr>
            </w:pPr>
            <w:r w:rsidRPr="00FA17A6">
              <w:rPr>
                <w:sz w:val="24"/>
                <w:szCs w:val="24"/>
              </w:rPr>
              <w:t>2013-09</w:t>
            </w:r>
          </w:p>
        </w:tc>
        <w:tc>
          <w:tcPr>
            <w:tcW w:w="5575" w:type="dxa"/>
          </w:tcPr>
          <w:p w:rsidR="00FA17A6" w:rsidRPr="00FA17A6" w:rsidRDefault="00FA17A6" w:rsidP="00215854">
            <w:pPr>
              <w:rPr>
                <w:sz w:val="24"/>
                <w:szCs w:val="24"/>
              </w:rPr>
            </w:pPr>
            <w:r w:rsidRPr="00FA17A6">
              <w:rPr>
                <w:sz w:val="24"/>
                <w:szCs w:val="24"/>
              </w:rPr>
              <w:t>Prediction of path attenuation on links between an airborne platform and Space and between an airborne platform and the surface of the Earth</w:t>
            </w:r>
          </w:p>
        </w:tc>
      </w:tr>
    </w:tbl>
    <w:p w:rsidR="00DA42F2" w:rsidRDefault="00DA42F2" w:rsidP="00DA42F2">
      <w:pPr>
        <w:jc w:val="both"/>
        <w:rPr>
          <w:sz w:val="24"/>
          <w:szCs w:val="24"/>
        </w:rPr>
      </w:pPr>
    </w:p>
    <w:p w:rsidR="00DA42F2" w:rsidRDefault="00DA42F2" w:rsidP="00DA42F2">
      <w:pPr>
        <w:pStyle w:val="Heading1"/>
        <w:numPr>
          <w:ilvl w:val="0"/>
          <w:numId w:val="2"/>
        </w:numPr>
        <w:textAlignment w:val="auto"/>
        <w:rPr>
          <w:lang w:val="en-US"/>
        </w:rPr>
      </w:pPr>
      <w:r>
        <w:rPr>
          <w:lang w:val="en-US"/>
        </w:rPr>
        <w:lastRenderedPageBreak/>
        <w:t>Intended Region of Operation in Elevation Angle</w:t>
      </w:r>
    </w:p>
    <w:p w:rsidR="00DA42F2" w:rsidRPr="00DA42F2" w:rsidRDefault="00DA42F2" w:rsidP="00DA42F2">
      <w:pPr>
        <w:rPr>
          <w:sz w:val="24"/>
          <w:szCs w:val="24"/>
        </w:rPr>
      </w:pPr>
      <w:r w:rsidRPr="00DA42F2">
        <w:rPr>
          <w:sz w:val="24"/>
          <w:szCs w:val="24"/>
        </w:rPr>
        <w:t xml:space="preserve">Elevation angle plays a significant role in the channel model, not only </w:t>
      </w:r>
      <w:r>
        <w:rPr>
          <w:sz w:val="24"/>
          <w:szCs w:val="24"/>
        </w:rPr>
        <w:t xml:space="preserve">for </w:t>
      </w:r>
      <w:r w:rsidRPr="00DA42F2">
        <w:rPr>
          <w:sz w:val="24"/>
          <w:szCs w:val="24"/>
        </w:rPr>
        <w:t>multipath fading, but also in terms of blockage for land-based terminals. Below is a summary table of educated guesses for several for different type</w:t>
      </w:r>
      <w:r>
        <w:rPr>
          <w:sz w:val="24"/>
          <w:szCs w:val="24"/>
        </w:rPr>
        <w:t>s</w:t>
      </w:r>
      <w:r w:rsidRPr="00DA42F2">
        <w:rPr>
          <w:sz w:val="24"/>
          <w:szCs w:val="24"/>
        </w:rPr>
        <w:t xml:space="preserve"> of satellite systems applications.  The intent is to identify the use cases most appropriate for 5G NR, and </w:t>
      </w:r>
      <w:r>
        <w:rPr>
          <w:sz w:val="24"/>
          <w:szCs w:val="24"/>
        </w:rPr>
        <w:t xml:space="preserve">to </w:t>
      </w:r>
      <w:r w:rsidRPr="00DA42F2">
        <w:rPr>
          <w:sz w:val="24"/>
          <w:szCs w:val="24"/>
        </w:rPr>
        <w:t>focus on the appropriate propagation models and parameters for the channel model study.  It seems that the propagation model should focus on elevations above 15 degrees.</w:t>
      </w:r>
    </w:p>
    <w:p w:rsidR="00DA42F2" w:rsidRPr="00DA42F2" w:rsidRDefault="00DA42F2" w:rsidP="00DA42F2">
      <w:pPr>
        <w:jc w:val="center"/>
        <w:rPr>
          <w:b/>
          <w:sz w:val="24"/>
          <w:szCs w:val="24"/>
        </w:rPr>
      </w:pPr>
      <w:r w:rsidRPr="00DA42F2">
        <w:rPr>
          <w:b/>
          <w:sz w:val="24"/>
          <w:szCs w:val="24"/>
        </w:rPr>
        <w:t>Table 4. Educated guesses of elevation angles satellite systems intend to cover</w:t>
      </w:r>
    </w:p>
    <w:tbl>
      <w:tblPr>
        <w:tblStyle w:val="TableGrid"/>
        <w:tblW w:w="0" w:type="auto"/>
        <w:tblLook w:val="04A0" w:firstRow="1" w:lastRow="0" w:firstColumn="1" w:lastColumn="0" w:noHBand="0" w:noVBand="1"/>
      </w:tblPr>
      <w:tblGrid>
        <w:gridCol w:w="2245"/>
        <w:gridCol w:w="1440"/>
        <w:gridCol w:w="5665"/>
      </w:tblGrid>
      <w:tr w:rsidR="00DA42F2" w:rsidRPr="00DA42F2" w:rsidTr="00215854">
        <w:tc>
          <w:tcPr>
            <w:tcW w:w="2245" w:type="dxa"/>
          </w:tcPr>
          <w:p w:rsidR="00DA42F2" w:rsidRPr="00DA42F2" w:rsidRDefault="00DA42F2" w:rsidP="00215854">
            <w:pPr>
              <w:jc w:val="center"/>
              <w:rPr>
                <w:sz w:val="24"/>
                <w:szCs w:val="24"/>
              </w:rPr>
            </w:pPr>
            <w:r w:rsidRPr="00DA42F2">
              <w:rPr>
                <w:sz w:val="24"/>
                <w:szCs w:val="24"/>
              </w:rPr>
              <w:t>Satellite Systems</w:t>
            </w:r>
          </w:p>
        </w:tc>
        <w:tc>
          <w:tcPr>
            <w:tcW w:w="1440" w:type="dxa"/>
          </w:tcPr>
          <w:p w:rsidR="00DA42F2" w:rsidRPr="00DA42F2" w:rsidRDefault="00DA42F2" w:rsidP="00215854">
            <w:pPr>
              <w:jc w:val="center"/>
              <w:rPr>
                <w:sz w:val="24"/>
                <w:szCs w:val="24"/>
              </w:rPr>
            </w:pPr>
            <w:r w:rsidRPr="00DA42F2">
              <w:rPr>
                <w:sz w:val="24"/>
                <w:szCs w:val="24"/>
              </w:rPr>
              <w:t>Elev. Angle</w:t>
            </w:r>
          </w:p>
        </w:tc>
        <w:tc>
          <w:tcPr>
            <w:tcW w:w="5665" w:type="dxa"/>
          </w:tcPr>
          <w:p w:rsidR="00DA42F2" w:rsidRPr="00DA42F2" w:rsidRDefault="00DA42F2" w:rsidP="00215854">
            <w:pPr>
              <w:jc w:val="center"/>
              <w:rPr>
                <w:sz w:val="24"/>
                <w:szCs w:val="24"/>
              </w:rPr>
            </w:pPr>
            <w:r w:rsidRPr="00DA42F2">
              <w:rPr>
                <w:sz w:val="24"/>
                <w:szCs w:val="24"/>
              </w:rPr>
              <w:t>Rationale/remarks</w:t>
            </w:r>
          </w:p>
        </w:tc>
      </w:tr>
      <w:tr w:rsidR="00DA42F2" w:rsidRPr="00DA42F2" w:rsidTr="00E16C47">
        <w:trPr>
          <w:trHeight w:val="710"/>
        </w:trPr>
        <w:tc>
          <w:tcPr>
            <w:tcW w:w="2245" w:type="dxa"/>
          </w:tcPr>
          <w:p w:rsidR="00DA42F2" w:rsidRPr="00DA42F2" w:rsidRDefault="00DA42F2" w:rsidP="00215854">
            <w:pPr>
              <w:jc w:val="center"/>
              <w:rPr>
                <w:sz w:val="24"/>
                <w:szCs w:val="24"/>
              </w:rPr>
            </w:pPr>
            <w:r w:rsidRPr="00DA42F2">
              <w:rPr>
                <w:sz w:val="24"/>
                <w:szCs w:val="24"/>
              </w:rPr>
              <w:t>International GEO (</w:t>
            </w:r>
            <w:proofErr w:type="spellStart"/>
            <w:r w:rsidRPr="00DA42F2">
              <w:rPr>
                <w:sz w:val="24"/>
                <w:szCs w:val="24"/>
              </w:rPr>
              <w:t>Trunking</w:t>
            </w:r>
            <w:proofErr w:type="spellEnd"/>
            <w:r w:rsidRPr="00DA42F2">
              <w:rPr>
                <w:sz w:val="24"/>
                <w:szCs w:val="24"/>
              </w:rPr>
              <w:t>)</w:t>
            </w:r>
          </w:p>
        </w:tc>
        <w:tc>
          <w:tcPr>
            <w:tcW w:w="1440" w:type="dxa"/>
          </w:tcPr>
          <w:p w:rsidR="00DA42F2" w:rsidRPr="00DA42F2" w:rsidRDefault="00DA42F2" w:rsidP="00215854">
            <w:pPr>
              <w:jc w:val="center"/>
              <w:rPr>
                <w:sz w:val="24"/>
                <w:szCs w:val="24"/>
              </w:rPr>
            </w:pPr>
            <w:r w:rsidRPr="00DA42F2">
              <w:rPr>
                <w:sz w:val="24"/>
                <w:szCs w:val="24"/>
              </w:rPr>
              <w:t xml:space="preserve">5 </w:t>
            </w:r>
            <w:proofErr w:type="spellStart"/>
            <w:r w:rsidRPr="00DA42F2">
              <w:rPr>
                <w:sz w:val="24"/>
                <w:szCs w:val="24"/>
              </w:rPr>
              <w:t>deg</w:t>
            </w:r>
            <w:proofErr w:type="spellEnd"/>
          </w:p>
        </w:tc>
        <w:tc>
          <w:tcPr>
            <w:tcW w:w="5665" w:type="dxa"/>
          </w:tcPr>
          <w:p w:rsidR="00DA42F2" w:rsidRPr="00DA42F2" w:rsidRDefault="00DA42F2" w:rsidP="00E16C47">
            <w:pPr>
              <w:jc w:val="center"/>
              <w:rPr>
                <w:sz w:val="24"/>
                <w:szCs w:val="24"/>
              </w:rPr>
            </w:pPr>
            <w:r w:rsidRPr="00DA42F2">
              <w:rPr>
                <w:sz w:val="24"/>
                <w:szCs w:val="24"/>
              </w:rPr>
              <w:t>Max coverage, w/ very large antennas and narrow beams</w:t>
            </w:r>
          </w:p>
        </w:tc>
      </w:tr>
      <w:tr w:rsidR="00DA42F2" w:rsidRPr="00DA42F2" w:rsidTr="00215854">
        <w:tc>
          <w:tcPr>
            <w:tcW w:w="2245" w:type="dxa"/>
          </w:tcPr>
          <w:p w:rsidR="00DA42F2" w:rsidRPr="00DA42F2" w:rsidRDefault="00DA42F2" w:rsidP="00215854">
            <w:pPr>
              <w:jc w:val="center"/>
              <w:rPr>
                <w:sz w:val="24"/>
                <w:szCs w:val="24"/>
              </w:rPr>
            </w:pPr>
            <w:r w:rsidRPr="00DA42F2">
              <w:rPr>
                <w:sz w:val="24"/>
                <w:szCs w:val="24"/>
              </w:rPr>
              <w:t>Regional GEO</w:t>
            </w:r>
          </w:p>
        </w:tc>
        <w:tc>
          <w:tcPr>
            <w:tcW w:w="1440" w:type="dxa"/>
          </w:tcPr>
          <w:p w:rsidR="00DA42F2" w:rsidRPr="00DA42F2" w:rsidRDefault="00DA42F2" w:rsidP="00215854">
            <w:pPr>
              <w:jc w:val="center"/>
              <w:rPr>
                <w:sz w:val="24"/>
                <w:szCs w:val="24"/>
              </w:rPr>
            </w:pPr>
            <w:r w:rsidRPr="00DA42F2">
              <w:rPr>
                <w:sz w:val="24"/>
                <w:szCs w:val="24"/>
              </w:rPr>
              <w:t xml:space="preserve">10 </w:t>
            </w:r>
            <w:proofErr w:type="spellStart"/>
            <w:r w:rsidRPr="00DA42F2">
              <w:rPr>
                <w:sz w:val="24"/>
                <w:szCs w:val="24"/>
              </w:rPr>
              <w:t>deg</w:t>
            </w:r>
            <w:proofErr w:type="spellEnd"/>
          </w:p>
        </w:tc>
        <w:tc>
          <w:tcPr>
            <w:tcW w:w="5665" w:type="dxa"/>
          </w:tcPr>
          <w:p w:rsidR="00DA42F2" w:rsidRPr="00DA42F2" w:rsidRDefault="00DA42F2" w:rsidP="00215854">
            <w:pPr>
              <w:jc w:val="center"/>
              <w:rPr>
                <w:sz w:val="24"/>
                <w:szCs w:val="24"/>
              </w:rPr>
            </w:pPr>
            <w:r w:rsidRPr="00DA42F2">
              <w:rPr>
                <w:sz w:val="24"/>
                <w:szCs w:val="24"/>
              </w:rPr>
              <w:t>Significantly higher for regions in lower and medium latitude</w:t>
            </w:r>
          </w:p>
        </w:tc>
      </w:tr>
      <w:tr w:rsidR="00DA42F2" w:rsidRPr="00DA42F2" w:rsidTr="00215854">
        <w:tc>
          <w:tcPr>
            <w:tcW w:w="2245" w:type="dxa"/>
          </w:tcPr>
          <w:p w:rsidR="00DA42F2" w:rsidRPr="00DA42F2" w:rsidRDefault="00DA42F2" w:rsidP="00215854">
            <w:pPr>
              <w:jc w:val="center"/>
              <w:rPr>
                <w:sz w:val="24"/>
                <w:szCs w:val="24"/>
              </w:rPr>
            </w:pPr>
            <w:r w:rsidRPr="00DA42F2">
              <w:rPr>
                <w:sz w:val="24"/>
                <w:szCs w:val="24"/>
              </w:rPr>
              <w:t>International (GEO) Maritime</w:t>
            </w:r>
          </w:p>
        </w:tc>
        <w:tc>
          <w:tcPr>
            <w:tcW w:w="1440" w:type="dxa"/>
          </w:tcPr>
          <w:p w:rsidR="00DA42F2" w:rsidRPr="00DA42F2" w:rsidRDefault="00DA42F2" w:rsidP="00215854">
            <w:pPr>
              <w:jc w:val="center"/>
              <w:rPr>
                <w:sz w:val="24"/>
                <w:szCs w:val="24"/>
              </w:rPr>
            </w:pPr>
            <w:r w:rsidRPr="00DA42F2">
              <w:rPr>
                <w:sz w:val="24"/>
                <w:szCs w:val="24"/>
              </w:rPr>
              <w:t xml:space="preserve">5 </w:t>
            </w:r>
            <w:proofErr w:type="spellStart"/>
            <w:r w:rsidRPr="00DA42F2">
              <w:rPr>
                <w:sz w:val="24"/>
                <w:szCs w:val="24"/>
              </w:rPr>
              <w:t>deg</w:t>
            </w:r>
            <w:proofErr w:type="spellEnd"/>
          </w:p>
        </w:tc>
        <w:tc>
          <w:tcPr>
            <w:tcW w:w="5665" w:type="dxa"/>
          </w:tcPr>
          <w:p w:rsidR="00DA42F2" w:rsidRPr="00DA42F2" w:rsidRDefault="00DA42F2" w:rsidP="00215854">
            <w:pPr>
              <w:jc w:val="center"/>
              <w:rPr>
                <w:sz w:val="24"/>
                <w:szCs w:val="24"/>
              </w:rPr>
            </w:pPr>
            <w:r w:rsidRPr="00DA42F2">
              <w:rPr>
                <w:sz w:val="24"/>
                <w:szCs w:val="24"/>
              </w:rPr>
              <w:t>Large ships, sea surfaces</w:t>
            </w:r>
          </w:p>
        </w:tc>
      </w:tr>
      <w:tr w:rsidR="00DA42F2" w:rsidRPr="00DA42F2" w:rsidTr="00215854">
        <w:tc>
          <w:tcPr>
            <w:tcW w:w="2245" w:type="dxa"/>
          </w:tcPr>
          <w:p w:rsidR="00DA42F2" w:rsidRPr="00DA42F2" w:rsidRDefault="00DA42F2" w:rsidP="00215854">
            <w:pPr>
              <w:jc w:val="center"/>
              <w:rPr>
                <w:sz w:val="24"/>
                <w:szCs w:val="24"/>
              </w:rPr>
            </w:pPr>
            <w:r w:rsidRPr="00DA42F2">
              <w:rPr>
                <w:sz w:val="24"/>
                <w:szCs w:val="24"/>
              </w:rPr>
              <w:t>Aeronautical</w:t>
            </w:r>
          </w:p>
        </w:tc>
        <w:tc>
          <w:tcPr>
            <w:tcW w:w="1440" w:type="dxa"/>
          </w:tcPr>
          <w:p w:rsidR="00DA42F2" w:rsidRPr="00DA42F2" w:rsidRDefault="00DA42F2" w:rsidP="00215854">
            <w:pPr>
              <w:jc w:val="center"/>
              <w:rPr>
                <w:sz w:val="24"/>
                <w:szCs w:val="24"/>
              </w:rPr>
            </w:pPr>
            <w:r w:rsidRPr="00DA42F2">
              <w:rPr>
                <w:sz w:val="24"/>
                <w:szCs w:val="24"/>
              </w:rPr>
              <w:t xml:space="preserve">20 </w:t>
            </w:r>
            <w:proofErr w:type="spellStart"/>
            <w:r w:rsidRPr="00DA42F2">
              <w:rPr>
                <w:sz w:val="24"/>
                <w:szCs w:val="24"/>
              </w:rPr>
              <w:t>deg</w:t>
            </w:r>
            <w:proofErr w:type="spellEnd"/>
          </w:p>
        </w:tc>
        <w:tc>
          <w:tcPr>
            <w:tcW w:w="5665" w:type="dxa"/>
          </w:tcPr>
          <w:p w:rsidR="00DA42F2" w:rsidRPr="00DA42F2" w:rsidRDefault="00DA42F2" w:rsidP="00215854">
            <w:pPr>
              <w:jc w:val="center"/>
              <w:rPr>
                <w:sz w:val="24"/>
                <w:szCs w:val="24"/>
              </w:rPr>
            </w:pPr>
            <w:r w:rsidRPr="00DA42F2">
              <w:rPr>
                <w:sz w:val="24"/>
                <w:szCs w:val="24"/>
              </w:rPr>
              <w:t>Aero-dynamic constraints prevent from lower angles</w:t>
            </w:r>
          </w:p>
        </w:tc>
      </w:tr>
      <w:tr w:rsidR="00DA42F2" w:rsidRPr="00DA42F2" w:rsidTr="00215854">
        <w:tc>
          <w:tcPr>
            <w:tcW w:w="2245" w:type="dxa"/>
          </w:tcPr>
          <w:p w:rsidR="00DA42F2" w:rsidRPr="00DA42F2" w:rsidRDefault="00DA42F2" w:rsidP="00215854">
            <w:pPr>
              <w:jc w:val="center"/>
              <w:rPr>
                <w:sz w:val="24"/>
                <w:szCs w:val="24"/>
              </w:rPr>
            </w:pPr>
            <w:r w:rsidRPr="00DA42F2">
              <w:rPr>
                <w:sz w:val="24"/>
                <w:szCs w:val="24"/>
              </w:rPr>
              <w:t>Vehicles</w:t>
            </w:r>
          </w:p>
        </w:tc>
        <w:tc>
          <w:tcPr>
            <w:tcW w:w="1440" w:type="dxa"/>
          </w:tcPr>
          <w:p w:rsidR="00DA42F2" w:rsidRPr="00DA42F2" w:rsidRDefault="00DA42F2" w:rsidP="00215854">
            <w:pPr>
              <w:jc w:val="center"/>
              <w:rPr>
                <w:sz w:val="24"/>
                <w:szCs w:val="24"/>
              </w:rPr>
            </w:pPr>
            <w:r w:rsidRPr="00DA42F2">
              <w:rPr>
                <w:sz w:val="24"/>
                <w:szCs w:val="24"/>
              </w:rPr>
              <w:t xml:space="preserve">15 </w:t>
            </w:r>
            <w:proofErr w:type="spellStart"/>
            <w:r w:rsidRPr="00DA42F2">
              <w:rPr>
                <w:sz w:val="24"/>
                <w:szCs w:val="24"/>
              </w:rPr>
              <w:t>deg</w:t>
            </w:r>
            <w:proofErr w:type="spellEnd"/>
          </w:p>
        </w:tc>
        <w:tc>
          <w:tcPr>
            <w:tcW w:w="5665" w:type="dxa"/>
          </w:tcPr>
          <w:p w:rsidR="00DA42F2" w:rsidRPr="00DA42F2" w:rsidRDefault="00DA42F2" w:rsidP="00215854">
            <w:pPr>
              <w:jc w:val="center"/>
              <w:rPr>
                <w:sz w:val="24"/>
                <w:szCs w:val="24"/>
              </w:rPr>
            </w:pPr>
            <w:r w:rsidRPr="00DA42F2">
              <w:rPr>
                <w:sz w:val="24"/>
                <w:szCs w:val="24"/>
              </w:rPr>
              <w:t>Road conditions, terrain, and vehicle mechanics</w:t>
            </w:r>
          </w:p>
        </w:tc>
      </w:tr>
      <w:tr w:rsidR="00DA42F2" w:rsidRPr="00DA42F2" w:rsidTr="00215854">
        <w:tc>
          <w:tcPr>
            <w:tcW w:w="2245" w:type="dxa"/>
          </w:tcPr>
          <w:p w:rsidR="00DA42F2" w:rsidRPr="00DA42F2" w:rsidRDefault="00DA42F2" w:rsidP="00215854">
            <w:pPr>
              <w:jc w:val="center"/>
              <w:rPr>
                <w:sz w:val="24"/>
                <w:szCs w:val="24"/>
              </w:rPr>
            </w:pPr>
            <w:r w:rsidRPr="00DA42F2">
              <w:rPr>
                <w:sz w:val="24"/>
                <w:szCs w:val="24"/>
              </w:rPr>
              <w:t>NGSO</w:t>
            </w:r>
          </w:p>
        </w:tc>
        <w:tc>
          <w:tcPr>
            <w:tcW w:w="1440" w:type="dxa"/>
          </w:tcPr>
          <w:p w:rsidR="00DA42F2" w:rsidRPr="00DA42F2" w:rsidRDefault="00DA42F2" w:rsidP="00215854">
            <w:pPr>
              <w:jc w:val="center"/>
              <w:rPr>
                <w:sz w:val="24"/>
                <w:szCs w:val="24"/>
              </w:rPr>
            </w:pPr>
            <w:r w:rsidRPr="00DA42F2">
              <w:rPr>
                <w:sz w:val="24"/>
                <w:szCs w:val="24"/>
              </w:rPr>
              <w:t xml:space="preserve">30 </w:t>
            </w:r>
            <w:proofErr w:type="spellStart"/>
            <w:r w:rsidRPr="00DA42F2">
              <w:rPr>
                <w:sz w:val="24"/>
                <w:szCs w:val="24"/>
              </w:rPr>
              <w:t>deg</w:t>
            </w:r>
            <w:proofErr w:type="spellEnd"/>
          </w:p>
        </w:tc>
        <w:tc>
          <w:tcPr>
            <w:tcW w:w="5665" w:type="dxa"/>
          </w:tcPr>
          <w:p w:rsidR="00DA42F2" w:rsidRPr="00DA42F2" w:rsidRDefault="00DA42F2" w:rsidP="00215854">
            <w:pPr>
              <w:jc w:val="center"/>
              <w:rPr>
                <w:sz w:val="24"/>
                <w:szCs w:val="24"/>
              </w:rPr>
            </w:pPr>
            <w:r w:rsidRPr="00DA42F2">
              <w:rPr>
                <w:sz w:val="24"/>
                <w:szCs w:val="24"/>
              </w:rPr>
              <w:t>Large number of alternative satellites as handoff candidates</w:t>
            </w:r>
          </w:p>
        </w:tc>
      </w:tr>
    </w:tbl>
    <w:p w:rsidR="00DA42F2" w:rsidRPr="00DA42F2" w:rsidRDefault="00DA42F2" w:rsidP="00DA42F2">
      <w:pPr>
        <w:pStyle w:val="ListParagraph"/>
        <w:ind w:left="432"/>
        <w:rPr>
          <w:sz w:val="24"/>
          <w:szCs w:val="24"/>
        </w:rPr>
      </w:pPr>
    </w:p>
    <w:p w:rsidR="00240BC1" w:rsidRPr="00240BC1" w:rsidRDefault="00240BC1" w:rsidP="00240BC1">
      <w:pPr>
        <w:rPr>
          <w:lang w:eastAsia="zh-CN"/>
        </w:rPr>
      </w:pPr>
    </w:p>
    <w:p w:rsidR="00CF2A6C" w:rsidRDefault="00DA42F2">
      <w:pPr>
        <w:pStyle w:val="Heading1"/>
        <w:numPr>
          <w:ilvl w:val="0"/>
          <w:numId w:val="2"/>
        </w:numPr>
        <w:textAlignment w:val="auto"/>
        <w:rPr>
          <w:lang w:val="en-US"/>
        </w:rPr>
      </w:pPr>
      <w:r>
        <w:rPr>
          <w:lang w:val="en-US"/>
        </w:rPr>
        <w:t>Conclusion</w:t>
      </w:r>
    </w:p>
    <w:p w:rsidR="00DA42F2" w:rsidRPr="00B334D1" w:rsidRDefault="00DA42F2" w:rsidP="00DA42F2">
      <w:pPr>
        <w:rPr>
          <w:sz w:val="24"/>
        </w:rPr>
      </w:pPr>
      <w:r w:rsidRPr="00DA42F2">
        <w:rPr>
          <w:sz w:val="24"/>
        </w:rPr>
        <w:t xml:space="preserve">A </w:t>
      </w:r>
      <w:proofErr w:type="spellStart"/>
      <w:r w:rsidRPr="00DA42F2">
        <w:rPr>
          <w:sz w:val="24"/>
        </w:rPr>
        <w:t>Rician</w:t>
      </w:r>
      <w:proofErr w:type="spellEnd"/>
      <w:r w:rsidRPr="00DA42F2">
        <w:rPr>
          <w:sz w:val="24"/>
        </w:rPr>
        <w:t xml:space="preserve"> model with two or three selected direct to multipath ratio along with the Additive </w:t>
      </w:r>
      <w:proofErr w:type="spellStart"/>
      <w:r w:rsidRPr="00DA42F2">
        <w:rPr>
          <w:sz w:val="24"/>
        </w:rPr>
        <w:t>Gaussion</w:t>
      </w:r>
      <w:proofErr w:type="spellEnd"/>
      <w:r w:rsidRPr="00DA42F2">
        <w:rPr>
          <w:sz w:val="24"/>
        </w:rPr>
        <w:t xml:space="preserve"> Noise (AWGN) (for very high direct to multipath ratio) </w:t>
      </w:r>
      <w:r>
        <w:rPr>
          <w:sz w:val="24"/>
        </w:rPr>
        <w:t xml:space="preserve">channel </w:t>
      </w:r>
      <w:r w:rsidRPr="00DA42F2">
        <w:rPr>
          <w:sz w:val="24"/>
        </w:rPr>
        <w:t>are recommended as the propagation model for 5G NR for NTN.</w:t>
      </w:r>
    </w:p>
    <w:p w:rsidR="00CF2A6C" w:rsidRDefault="004B42A1">
      <w:pPr>
        <w:pStyle w:val="Heading1"/>
        <w:numPr>
          <w:ilvl w:val="0"/>
          <w:numId w:val="2"/>
        </w:numPr>
        <w:textAlignment w:val="auto"/>
        <w:rPr>
          <w:lang w:val="en-US"/>
        </w:rPr>
      </w:pPr>
      <w:r>
        <w:rPr>
          <w:lang w:val="en-US"/>
        </w:rPr>
        <w:t>References</w:t>
      </w:r>
    </w:p>
    <w:p w:rsidR="00DA42F2" w:rsidRPr="00DA42F2" w:rsidRDefault="00DA42F2" w:rsidP="00DA42F2">
      <w:pPr>
        <w:rPr>
          <w:sz w:val="24"/>
          <w:szCs w:val="24"/>
        </w:rPr>
      </w:pPr>
      <w:r w:rsidRPr="00DA42F2">
        <w:rPr>
          <w:sz w:val="24"/>
          <w:szCs w:val="24"/>
        </w:rPr>
        <w:t>[1] Loo, C.: “A statistical model for a land mobile satellite link”, IEEE Transactions on Vehicular Technology, vol. vt-34, no.3, Aug.1985, pp.122-127.</w:t>
      </w:r>
    </w:p>
    <w:p w:rsidR="00DA42F2" w:rsidRPr="00DA42F2" w:rsidRDefault="00DA42F2" w:rsidP="00DA42F2">
      <w:pPr>
        <w:rPr>
          <w:sz w:val="24"/>
          <w:szCs w:val="24"/>
        </w:rPr>
      </w:pPr>
      <w:r w:rsidRPr="00DA42F2">
        <w:rPr>
          <w:sz w:val="24"/>
          <w:szCs w:val="24"/>
        </w:rPr>
        <w:t>[2] Loo, C. and Butterworth, J.S.: “Land Mobile Satellite Channel Measurements and Modeling”, Proceedings of the IEEE, vol.86, no.7, Jul 1998, pp.1442-1463.</w:t>
      </w:r>
    </w:p>
    <w:p w:rsidR="00DA42F2" w:rsidRPr="00DA42F2" w:rsidRDefault="00DA42F2" w:rsidP="00DA42F2">
      <w:pPr>
        <w:rPr>
          <w:sz w:val="24"/>
          <w:szCs w:val="24"/>
        </w:rPr>
      </w:pPr>
      <w:r w:rsidRPr="00DA42F2">
        <w:rPr>
          <w:sz w:val="24"/>
          <w:szCs w:val="24"/>
        </w:rPr>
        <w:lastRenderedPageBreak/>
        <w:t>[3] Vogel, W. and Hong, U.: “Measurement and modeling of land mobile satellite propagation at UHF and L-band”, IEEE Transactions on Antennas and Propagation, vol.36, no.5, May 1988, pp.707-719.</w:t>
      </w:r>
    </w:p>
    <w:p w:rsidR="00DA42F2" w:rsidRPr="00DA42F2" w:rsidRDefault="00DA42F2" w:rsidP="00DA42F2">
      <w:pPr>
        <w:rPr>
          <w:sz w:val="24"/>
          <w:szCs w:val="24"/>
        </w:rPr>
      </w:pPr>
      <w:r w:rsidRPr="00DA42F2">
        <w:rPr>
          <w:sz w:val="24"/>
          <w:szCs w:val="24"/>
        </w:rPr>
        <w:t xml:space="preserve">[4] Vogel, W. and </w:t>
      </w:r>
      <w:proofErr w:type="spellStart"/>
      <w:r w:rsidRPr="00DA42F2">
        <w:rPr>
          <w:sz w:val="24"/>
          <w:szCs w:val="24"/>
        </w:rPr>
        <w:t>Goldhirsh</w:t>
      </w:r>
      <w:proofErr w:type="spellEnd"/>
      <w:r w:rsidRPr="00DA42F2">
        <w:rPr>
          <w:sz w:val="24"/>
          <w:szCs w:val="24"/>
        </w:rPr>
        <w:t xml:space="preserve">, J.: “Mobile satellite system propagation measurements at L-band using MARECS-B2”, IEEE Transactions on Antennas and Propagation, vol. 38, no.2, Feb.1990, pp.259-264 </w:t>
      </w:r>
    </w:p>
    <w:p w:rsidR="00DA42F2" w:rsidRPr="00DA42F2" w:rsidRDefault="00DA42F2" w:rsidP="00DA42F2">
      <w:pPr>
        <w:rPr>
          <w:sz w:val="24"/>
          <w:szCs w:val="24"/>
        </w:rPr>
      </w:pPr>
      <w:r w:rsidRPr="00DA42F2">
        <w:rPr>
          <w:sz w:val="24"/>
          <w:szCs w:val="24"/>
        </w:rPr>
        <w:t xml:space="preserve">[5] Vogel, W.J. and </w:t>
      </w:r>
      <w:proofErr w:type="spellStart"/>
      <w:r w:rsidRPr="00DA42F2">
        <w:rPr>
          <w:sz w:val="24"/>
          <w:szCs w:val="24"/>
        </w:rPr>
        <w:t>Goldhirsh</w:t>
      </w:r>
      <w:proofErr w:type="spellEnd"/>
      <w:r w:rsidRPr="00DA42F2">
        <w:rPr>
          <w:sz w:val="24"/>
          <w:szCs w:val="24"/>
        </w:rPr>
        <w:t>, J.: “Multipath Fading at L Band for Low Elevation Angle, Land Mobile Satellite Scenarios”, IEEE Journal on Selected Areas in Communications, vol.13, no.2, Feb.1995, pp.197-204.</w:t>
      </w:r>
    </w:p>
    <w:p w:rsidR="00DA42F2" w:rsidRPr="00DA42F2" w:rsidRDefault="00DA42F2" w:rsidP="00DA42F2">
      <w:pPr>
        <w:rPr>
          <w:sz w:val="24"/>
          <w:szCs w:val="24"/>
        </w:rPr>
      </w:pPr>
      <w:r w:rsidRPr="00DA42F2">
        <w:rPr>
          <w:sz w:val="24"/>
          <w:szCs w:val="24"/>
        </w:rPr>
        <w:t xml:space="preserve">[6] </w:t>
      </w:r>
      <w:proofErr w:type="spellStart"/>
      <w:r w:rsidRPr="00DA42F2">
        <w:rPr>
          <w:sz w:val="24"/>
          <w:szCs w:val="24"/>
        </w:rPr>
        <w:t>Goldhirsh</w:t>
      </w:r>
      <w:proofErr w:type="spellEnd"/>
      <w:r w:rsidRPr="00DA42F2">
        <w:rPr>
          <w:sz w:val="24"/>
          <w:szCs w:val="24"/>
        </w:rPr>
        <w:t>, J. and Vogel, W.: “Mobile Satellite System Fade Statistics for Shadowing and Multipath from Roadside Trees at UHF and L-band”, IEEE Transactions on Antennas and Propagation, vol.37, no.4 Apr.1989, pp.489-498.</w:t>
      </w:r>
    </w:p>
    <w:p w:rsidR="00DA42F2" w:rsidRPr="00DA42F2" w:rsidRDefault="00DA42F2" w:rsidP="00DA42F2">
      <w:pPr>
        <w:rPr>
          <w:sz w:val="24"/>
          <w:szCs w:val="24"/>
        </w:rPr>
      </w:pPr>
      <w:r w:rsidRPr="00DA42F2">
        <w:rPr>
          <w:sz w:val="24"/>
          <w:szCs w:val="24"/>
        </w:rPr>
        <w:t xml:space="preserve">[7] </w:t>
      </w:r>
      <w:proofErr w:type="spellStart"/>
      <w:r w:rsidRPr="00DA42F2">
        <w:rPr>
          <w:sz w:val="24"/>
          <w:szCs w:val="24"/>
        </w:rPr>
        <w:t>Goldhirsh</w:t>
      </w:r>
      <w:proofErr w:type="spellEnd"/>
      <w:r w:rsidRPr="00DA42F2">
        <w:rPr>
          <w:sz w:val="24"/>
          <w:szCs w:val="24"/>
        </w:rPr>
        <w:t>, J., and Vogel, W.J.: “Earth-satellite tree attenuation at 20 GHz: foliage effects” IEE Electronics Letters, Sep.1993, 29, (18), pp.1640-1641.</w:t>
      </w:r>
    </w:p>
    <w:p w:rsidR="00DA42F2" w:rsidRPr="00DA42F2" w:rsidRDefault="00DA42F2" w:rsidP="00DA42F2">
      <w:pPr>
        <w:rPr>
          <w:sz w:val="24"/>
          <w:szCs w:val="24"/>
        </w:rPr>
      </w:pPr>
      <w:r w:rsidRPr="00DA42F2">
        <w:rPr>
          <w:sz w:val="24"/>
          <w:szCs w:val="24"/>
        </w:rPr>
        <w:t xml:space="preserve">[8] </w:t>
      </w:r>
      <w:proofErr w:type="spellStart"/>
      <w:r w:rsidRPr="00DA42F2">
        <w:rPr>
          <w:sz w:val="24"/>
          <w:szCs w:val="24"/>
        </w:rPr>
        <w:t>Hase</w:t>
      </w:r>
      <w:proofErr w:type="gramStart"/>
      <w:r w:rsidRPr="00DA42F2">
        <w:rPr>
          <w:sz w:val="24"/>
          <w:szCs w:val="24"/>
        </w:rPr>
        <w:t>,Y</w:t>
      </w:r>
      <w:proofErr w:type="spellEnd"/>
      <w:proofErr w:type="gramEnd"/>
      <w:r w:rsidRPr="00DA42F2">
        <w:rPr>
          <w:sz w:val="24"/>
          <w:szCs w:val="24"/>
        </w:rPr>
        <w:t xml:space="preserve">., </w:t>
      </w:r>
      <w:proofErr w:type="spellStart"/>
      <w:r w:rsidRPr="00DA42F2">
        <w:rPr>
          <w:sz w:val="24"/>
          <w:szCs w:val="24"/>
        </w:rPr>
        <w:t>Goldhirsh</w:t>
      </w:r>
      <w:proofErr w:type="spellEnd"/>
      <w:r w:rsidRPr="00DA42F2">
        <w:rPr>
          <w:sz w:val="24"/>
          <w:szCs w:val="24"/>
        </w:rPr>
        <w:t>, J. and Vogel, W.J.: “Fade-durations derived from land mobile satellite measurements in Australia”, IEEE Transactions on Communications, May 1991,39, (5), pp.664-668.</w:t>
      </w:r>
    </w:p>
    <w:p w:rsidR="00DA42F2" w:rsidRPr="00DA42F2" w:rsidRDefault="00DA42F2" w:rsidP="00DA42F2">
      <w:pPr>
        <w:rPr>
          <w:sz w:val="24"/>
          <w:szCs w:val="24"/>
        </w:rPr>
      </w:pPr>
      <w:r w:rsidRPr="00DA42F2">
        <w:rPr>
          <w:sz w:val="24"/>
          <w:szCs w:val="24"/>
        </w:rPr>
        <w:t>[9] Lee, C.H., Cheung, K.M., Ho, C., “A Unified Low-Elevation-Angle Scintillation Model,” IPN Progress Report, 42-185, May 2011.</w:t>
      </w:r>
    </w:p>
    <w:p w:rsidR="00DA42F2" w:rsidRPr="00DA42F2" w:rsidRDefault="00DA42F2" w:rsidP="00DA42F2">
      <w:pPr>
        <w:rPr>
          <w:sz w:val="24"/>
          <w:szCs w:val="24"/>
        </w:rPr>
      </w:pPr>
      <w:r w:rsidRPr="00DA42F2">
        <w:rPr>
          <w:sz w:val="24"/>
          <w:szCs w:val="24"/>
        </w:rPr>
        <w:t xml:space="preserve">[10] </w:t>
      </w:r>
      <w:proofErr w:type="spellStart"/>
      <w:r w:rsidRPr="00DA42F2">
        <w:rPr>
          <w:sz w:val="24"/>
          <w:szCs w:val="24"/>
        </w:rPr>
        <w:t>Vasseur</w:t>
      </w:r>
      <w:proofErr w:type="spellEnd"/>
      <w:r w:rsidRPr="00DA42F2">
        <w:rPr>
          <w:sz w:val="24"/>
          <w:szCs w:val="24"/>
        </w:rPr>
        <w:t xml:space="preserve">, H., “Prediction of tropospheric Scintillation on Satellite links from </w:t>
      </w:r>
      <w:proofErr w:type="spellStart"/>
      <w:r w:rsidRPr="00DA42F2">
        <w:rPr>
          <w:sz w:val="24"/>
          <w:szCs w:val="24"/>
        </w:rPr>
        <w:t>radiosonde</w:t>
      </w:r>
      <w:proofErr w:type="spellEnd"/>
      <w:r w:rsidRPr="00DA42F2">
        <w:rPr>
          <w:sz w:val="24"/>
          <w:szCs w:val="24"/>
        </w:rPr>
        <w:t xml:space="preserve"> Data,” IEEE Transactions on Antennas and Propagations, </w:t>
      </w:r>
      <w:proofErr w:type="spellStart"/>
      <w:r w:rsidRPr="00DA42F2">
        <w:rPr>
          <w:sz w:val="24"/>
          <w:szCs w:val="24"/>
        </w:rPr>
        <w:t>Vol</w:t>
      </w:r>
      <w:proofErr w:type="spellEnd"/>
      <w:r w:rsidRPr="00DA42F2">
        <w:rPr>
          <w:sz w:val="24"/>
          <w:szCs w:val="24"/>
        </w:rPr>
        <w:t xml:space="preserve"> 47, No. 2, Feb. 1999.</w:t>
      </w:r>
    </w:p>
    <w:p w:rsidR="00DA42F2" w:rsidRPr="00DA42F2" w:rsidRDefault="00DA42F2" w:rsidP="00DA42F2">
      <w:pPr>
        <w:rPr>
          <w:sz w:val="24"/>
          <w:szCs w:val="24"/>
        </w:rPr>
      </w:pPr>
      <w:r w:rsidRPr="00DA42F2">
        <w:rPr>
          <w:sz w:val="24"/>
          <w:szCs w:val="24"/>
        </w:rPr>
        <w:t xml:space="preserve">[11] </w:t>
      </w:r>
      <w:proofErr w:type="spellStart"/>
      <w:r w:rsidRPr="00DA42F2">
        <w:rPr>
          <w:sz w:val="24"/>
          <w:szCs w:val="24"/>
        </w:rPr>
        <w:t>Matricciani</w:t>
      </w:r>
      <w:proofErr w:type="spellEnd"/>
      <w:r w:rsidRPr="00DA42F2">
        <w:rPr>
          <w:sz w:val="24"/>
          <w:szCs w:val="24"/>
        </w:rPr>
        <w:t xml:space="preserve">, E., </w:t>
      </w:r>
      <w:proofErr w:type="spellStart"/>
      <w:r w:rsidRPr="00DA42F2">
        <w:rPr>
          <w:sz w:val="24"/>
          <w:szCs w:val="24"/>
        </w:rPr>
        <w:t>Mauri</w:t>
      </w:r>
      <w:proofErr w:type="spellEnd"/>
      <w:r w:rsidRPr="00DA42F2">
        <w:rPr>
          <w:sz w:val="24"/>
          <w:szCs w:val="24"/>
        </w:rPr>
        <w:t>, M., Riva, C., “Relationship between scintillation and rain attenuation at 19.77 GHz,” Radio Science, Vol. 31, No. 2, pp. 273-279.  March-April 1996.</w:t>
      </w:r>
    </w:p>
    <w:p w:rsidR="00DA42F2" w:rsidRPr="00DA42F2" w:rsidRDefault="00DA42F2" w:rsidP="00DA42F2">
      <w:pPr>
        <w:rPr>
          <w:sz w:val="24"/>
          <w:szCs w:val="24"/>
        </w:rPr>
      </w:pPr>
      <w:r w:rsidRPr="00DA42F2">
        <w:rPr>
          <w:sz w:val="24"/>
          <w:szCs w:val="24"/>
        </w:rPr>
        <w:t xml:space="preserve"> [12] Wei Li, </w:t>
      </w:r>
      <w:proofErr w:type="spellStart"/>
      <w:r w:rsidRPr="00DA42F2">
        <w:rPr>
          <w:sz w:val="24"/>
          <w:szCs w:val="24"/>
        </w:rPr>
        <w:t>Zhaojun</w:t>
      </w:r>
      <w:proofErr w:type="spellEnd"/>
      <w:r w:rsidRPr="00DA42F2">
        <w:rPr>
          <w:sz w:val="24"/>
          <w:szCs w:val="24"/>
        </w:rPr>
        <w:t xml:space="preserve"> Qian, </w:t>
      </w:r>
      <w:proofErr w:type="spellStart"/>
      <w:r w:rsidRPr="00DA42F2">
        <w:rPr>
          <w:sz w:val="24"/>
          <w:szCs w:val="24"/>
        </w:rPr>
        <w:t>Huiyu</w:t>
      </w:r>
      <w:proofErr w:type="spellEnd"/>
      <w:r w:rsidRPr="00DA42F2">
        <w:rPr>
          <w:sz w:val="24"/>
          <w:szCs w:val="24"/>
        </w:rPr>
        <w:t xml:space="preserve"> Li, “Interpretation and Classification of P-Series Recommendations in ITU-R”, authored by Int. J. Communications, Network and System Sciences, 2016, 9, 117-125.</w:t>
      </w:r>
    </w:p>
    <w:p w:rsidR="00DA42F2" w:rsidRDefault="00DA42F2" w:rsidP="00DA42F2">
      <w:pPr>
        <w:pStyle w:val="ListParagraph"/>
        <w:ind w:left="432"/>
      </w:pPr>
    </w:p>
    <w:p w:rsidR="00DA42F2" w:rsidRPr="00DA42F2" w:rsidRDefault="00DA42F2" w:rsidP="00DA42F2">
      <w:pPr>
        <w:rPr>
          <w:lang w:eastAsia="zh-CN"/>
        </w:rPr>
      </w:pPr>
    </w:p>
    <w:sectPr w:rsidR="00DA42F2" w:rsidRPr="00DA42F2">
      <w:pgSz w:w="12240" w:h="15840"/>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46036"/>
    <w:multiLevelType w:val="multilevel"/>
    <w:tmpl w:val="67AC88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A6C"/>
    <w:rsid w:val="00171046"/>
    <w:rsid w:val="00240BC1"/>
    <w:rsid w:val="004177E5"/>
    <w:rsid w:val="004B42A1"/>
    <w:rsid w:val="00590898"/>
    <w:rsid w:val="00607B4E"/>
    <w:rsid w:val="006C65A2"/>
    <w:rsid w:val="00777734"/>
    <w:rsid w:val="009E0C9E"/>
    <w:rsid w:val="00AB4AC3"/>
    <w:rsid w:val="00B334D1"/>
    <w:rsid w:val="00B95EE2"/>
    <w:rsid w:val="00BF6989"/>
    <w:rsid w:val="00BF6FBD"/>
    <w:rsid w:val="00C15601"/>
    <w:rsid w:val="00CD21CA"/>
    <w:rsid w:val="00CF2A6C"/>
    <w:rsid w:val="00D04235"/>
    <w:rsid w:val="00D11B20"/>
    <w:rsid w:val="00DA42F2"/>
    <w:rsid w:val="00E16C47"/>
    <w:rsid w:val="00F15DC9"/>
    <w:rsid w:val="00F220E0"/>
    <w:rsid w:val="00F27D22"/>
    <w:rsid w:val="00FA17A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0D2B49-7A54-4FDB-8B59-6689F4299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9F4"/>
    <w:pPr>
      <w:spacing w:after="160" w:line="259" w:lineRule="auto"/>
    </w:pPr>
    <w:rPr>
      <w:color w:val="00000A"/>
      <w:sz w:val="22"/>
    </w:rPr>
  </w:style>
  <w:style w:type="paragraph" w:styleId="Heading1">
    <w:name w:val="heading 1"/>
    <w:basedOn w:val="Heading"/>
    <w:next w:val="Normal"/>
    <w:link w:val="Heading1Ch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C96F92"/>
    <w:pPr>
      <w:numPr>
        <w:ilvl w:val="1"/>
      </w:numPr>
      <w:spacing w:before="180"/>
      <w:outlineLvl w:val="1"/>
    </w:pPr>
    <w:rPr>
      <w:sz w:val="32"/>
      <w:szCs w:val="32"/>
    </w:rPr>
  </w:style>
  <w:style w:type="paragraph" w:styleId="Heading3">
    <w:name w:val="heading 3"/>
    <w:basedOn w:val="Heading2"/>
    <w:next w:val="Normal"/>
    <w:link w:val="Heading3Char"/>
    <w:qFormat/>
    <w:rsid w:val="00C96F92"/>
    <w:pPr>
      <w:numPr>
        <w:ilvl w:val="2"/>
      </w:numPr>
      <w:spacing w:before="120"/>
      <w:outlineLvl w:val="2"/>
    </w:pPr>
    <w:rPr>
      <w:sz w:val="28"/>
      <w:szCs w:val="28"/>
    </w:rPr>
  </w:style>
  <w:style w:type="paragraph" w:styleId="Heading4">
    <w:name w:val="heading 4"/>
    <w:basedOn w:val="Heading3"/>
    <w:next w:val="Normal"/>
    <w:link w:val="Heading4Char"/>
    <w:qFormat/>
    <w:rsid w:val="00C96F92"/>
    <w:pPr>
      <w:numPr>
        <w:ilvl w:val="3"/>
      </w:numPr>
      <w:outlineLvl w:val="3"/>
    </w:pPr>
    <w:rPr>
      <w:sz w:val="24"/>
      <w:szCs w:val="24"/>
    </w:rPr>
  </w:style>
  <w:style w:type="paragraph" w:styleId="Heading5">
    <w:name w:val="heading 5"/>
    <w:basedOn w:val="Heading4"/>
    <w:next w:val="Normal"/>
    <w:link w:val="Heading5Char"/>
    <w:qFormat/>
    <w:rsid w:val="00C96F92"/>
    <w:pPr>
      <w:numPr>
        <w:ilvl w:val="4"/>
      </w:numPr>
      <w:outlineLvl w:val="4"/>
    </w:pPr>
    <w:rPr>
      <w:sz w:val="22"/>
      <w:szCs w:val="22"/>
    </w:rPr>
  </w:style>
  <w:style w:type="paragraph" w:styleId="Heading6">
    <w:name w:val="heading 6"/>
    <w:basedOn w:val="Normal"/>
    <w:next w:val="Normal"/>
    <w:link w:val="Heading6Ch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C96F92"/>
    <w:pPr>
      <w:numPr>
        <w:ilvl w:val="7"/>
      </w:numPr>
      <w:outlineLvl w:val="7"/>
    </w:pPr>
  </w:style>
  <w:style w:type="paragraph" w:styleId="Heading9">
    <w:name w:val="heading 9"/>
    <w:basedOn w:val="Heading8"/>
    <w:next w:val="Normal"/>
    <w:link w:val="Heading9Char"/>
    <w:qFormat/>
    <w:rsid w:val="00C96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96F92"/>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sid w:val="00C96F9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C96F92"/>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C96F92"/>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C96F92"/>
    <w:rPr>
      <w:rFonts w:ascii="Arial" w:eastAsia="Times New Roman" w:hAnsi="Arial" w:cs="Arial"/>
      <w:lang w:val="en-GB" w:eastAsia="zh-CN"/>
    </w:rPr>
  </w:style>
  <w:style w:type="character" w:customStyle="1" w:styleId="Heading6Char">
    <w:name w:val="Heading 6 Char"/>
    <w:basedOn w:val="DefaultParagraphFont"/>
    <w:link w:val="Heading6"/>
    <w:qFormat/>
    <w:rsid w:val="00C96F92"/>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C96F92"/>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C96F92"/>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C96F92"/>
    <w:rPr>
      <w:rFonts w:ascii="Arial" w:eastAsia="Times New Roman" w:hAnsi="Arial" w:cs="Arial"/>
      <w:sz w:val="20"/>
      <w:szCs w:val="20"/>
      <w:lang w:val="en-GB" w:eastAsia="zh-CN"/>
    </w:rPr>
  </w:style>
  <w:style w:type="character" w:customStyle="1" w:styleId="HeaderChar">
    <w:name w:val="Header Char"/>
    <w:basedOn w:val="DefaultParagraphFont"/>
    <w:link w:val="Header"/>
    <w:qFormat/>
    <w:rsid w:val="00C96F92"/>
  </w:style>
  <w:style w:type="character" w:customStyle="1" w:styleId="BalloonTextChar">
    <w:name w:val="Balloon Text Char"/>
    <w:basedOn w:val="DefaultParagraphFont"/>
    <w:link w:val="BalloonText"/>
    <w:uiPriority w:val="99"/>
    <w:semiHidden/>
    <w:qFormat/>
    <w:rsid w:val="00C463FA"/>
    <w:rPr>
      <w:rFonts w:ascii="Tahoma" w:hAnsi="Tahoma" w:cs="Tahoma"/>
      <w:sz w:val="16"/>
      <w:szCs w:val="16"/>
    </w:rPr>
  </w:style>
  <w:style w:type="paragraph" w:customStyle="1" w:styleId="Heading">
    <w:name w:val="Heading"/>
    <w:basedOn w:val="Normal"/>
    <w:next w:val="BodyText"/>
    <w:qFormat/>
    <w:rsid w:val="00C609F4"/>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C609F4"/>
    <w:pPr>
      <w:spacing w:after="140" w:line="288" w:lineRule="auto"/>
    </w:pPr>
  </w:style>
  <w:style w:type="paragraph" w:styleId="List">
    <w:name w:val="List"/>
    <w:basedOn w:val="BodyText"/>
    <w:rsid w:val="00C609F4"/>
    <w:rPr>
      <w:rFonts w:cs="Lohit Devanagari"/>
    </w:rPr>
  </w:style>
  <w:style w:type="paragraph" w:styleId="Caption">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Header">
    <w:name w:val="header"/>
    <w:basedOn w:val="Normal"/>
    <w:link w:val="HeaderChar"/>
    <w:unhideWhenUsed/>
    <w:rsid w:val="00C96F92"/>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C463FA"/>
    <w:pPr>
      <w:spacing w:after="0" w:line="240" w:lineRule="auto"/>
    </w:pPr>
    <w:rPr>
      <w:rFonts w:ascii="Tahoma" w:hAnsi="Tahoma" w:cs="Tahoma"/>
      <w:sz w:val="16"/>
      <w:szCs w:val="16"/>
    </w:rPr>
  </w:style>
  <w:style w:type="table" w:styleId="TableGrid">
    <w:name w:val="Table Grid"/>
    <w:basedOn w:val="TableNormal"/>
    <w:uiPriority w:val="3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DC9"/>
    <w:rPr>
      <w:color w:val="0563C1" w:themeColor="hyperlink"/>
      <w:u w:val="single"/>
    </w:rPr>
  </w:style>
  <w:style w:type="paragraph" w:styleId="ListParagraph">
    <w:name w:val="List Paragraph"/>
    <w:basedOn w:val="Normal"/>
    <w:uiPriority w:val="34"/>
    <w:qFormat/>
    <w:rsid w:val="00F27D22"/>
    <w:pPr>
      <w:ind w:left="720"/>
      <w:contextualSpacing/>
    </w:pPr>
  </w:style>
  <w:style w:type="character" w:styleId="CommentReference">
    <w:name w:val="annotation reference"/>
    <w:basedOn w:val="DefaultParagraphFont"/>
    <w:uiPriority w:val="99"/>
    <w:semiHidden/>
    <w:unhideWhenUsed/>
    <w:rsid w:val="00FA17A6"/>
    <w:rPr>
      <w:sz w:val="16"/>
      <w:szCs w:val="16"/>
    </w:rPr>
  </w:style>
  <w:style w:type="paragraph" w:styleId="CommentText">
    <w:name w:val="annotation text"/>
    <w:basedOn w:val="Normal"/>
    <w:link w:val="CommentTextChar"/>
    <w:uiPriority w:val="99"/>
    <w:semiHidden/>
    <w:unhideWhenUsed/>
    <w:rsid w:val="00C15601"/>
    <w:pPr>
      <w:spacing w:line="240" w:lineRule="auto"/>
    </w:pPr>
    <w:rPr>
      <w:sz w:val="20"/>
      <w:szCs w:val="20"/>
    </w:rPr>
  </w:style>
  <w:style w:type="character" w:customStyle="1" w:styleId="CommentTextChar">
    <w:name w:val="Comment Text Char"/>
    <w:basedOn w:val="DefaultParagraphFont"/>
    <w:link w:val="CommentText"/>
    <w:uiPriority w:val="99"/>
    <w:semiHidden/>
    <w:rsid w:val="00C15601"/>
    <w:rPr>
      <w:color w:val="00000A"/>
      <w:szCs w:val="20"/>
    </w:rPr>
  </w:style>
  <w:style w:type="paragraph" w:styleId="CommentSubject">
    <w:name w:val="annotation subject"/>
    <w:basedOn w:val="CommentText"/>
    <w:next w:val="CommentText"/>
    <w:link w:val="CommentSubjectChar"/>
    <w:uiPriority w:val="99"/>
    <w:semiHidden/>
    <w:unhideWhenUsed/>
    <w:rsid w:val="00C15601"/>
    <w:rPr>
      <w:b/>
      <w:bCs/>
    </w:rPr>
  </w:style>
  <w:style w:type="character" w:customStyle="1" w:styleId="CommentSubjectChar">
    <w:name w:val="Comment Subject Char"/>
    <w:basedOn w:val="CommentTextChar"/>
    <w:link w:val="CommentSubject"/>
    <w:uiPriority w:val="99"/>
    <w:semiHidden/>
    <w:rsid w:val="00C15601"/>
    <w:rPr>
      <w:b/>
      <w:bCs/>
      <w:color w:val="00000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1460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9767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Eroz, Mustafa</dc:creator>
  <dc:description/>
  <cp:lastModifiedBy>Eroz, Mustafa</cp:lastModifiedBy>
  <cp:revision>7</cp:revision>
  <dcterms:created xsi:type="dcterms:W3CDTF">2017-06-07T14:42:00Z</dcterms:created>
  <dcterms:modified xsi:type="dcterms:W3CDTF">2017-06-16T18:47:00Z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