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3B205" w14:textId="047D9988" w:rsidR="00EF4B41" w:rsidRPr="003F410D" w:rsidRDefault="0066502F" w:rsidP="00EF4B41">
      <w:pPr>
        <w:pStyle w:val="Header"/>
        <w:tabs>
          <w:tab w:val="clear" w:pos="4536"/>
        </w:tabs>
        <w:rPr>
          <w:i/>
        </w:rPr>
      </w:pPr>
      <w:r w:rsidRPr="0066502F">
        <w:t>3GPP TSG-RAN WG1 NR Ad-Hoc#2</w:t>
      </w:r>
      <w:r w:rsidR="00EF4B41" w:rsidRPr="003F410D">
        <w:tab/>
      </w:r>
      <w:r w:rsidR="00DC6DE5" w:rsidRPr="00DC6DE5">
        <w:t>R1-1711509</w:t>
      </w:r>
    </w:p>
    <w:p w14:paraId="502147DA" w14:textId="5B56B3C7" w:rsidR="00EF4B41" w:rsidRPr="000833FA" w:rsidRDefault="0066502F" w:rsidP="00EF4B41">
      <w:pPr>
        <w:pStyle w:val="Header"/>
        <w:rPr>
          <w:color w:val="000000"/>
        </w:rPr>
      </w:pPr>
      <w:r w:rsidRPr="0066502F">
        <w:t>Qingdao, China, 27th-30th June 2017</w:t>
      </w:r>
    </w:p>
    <w:p w14:paraId="2FC65921" w14:textId="77777777" w:rsidR="00407725" w:rsidRPr="000833FA" w:rsidRDefault="00407725" w:rsidP="00407725">
      <w:pPr>
        <w:pStyle w:val="Header"/>
      </w:pPr>
    </w:p>
    <w:p w14:paraId="1DF813C3" w14:textId="77777777"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1AD6FD" w14:textId="4735CF57"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4256E">
        <w:t xml:space="preserve">On HARQ </w:t>
      </w:r>
      <w:r w:rsidR="00D4047B">
        <w:t>F</w:t>
      </w:r>
      <w:r w:rsidR="00B264A1">
        <w:t>eedback</w:t>
      </w:r>
      <w:r w:rsidR="0024256E">
        <w:t xml:space="preserve"> </w:t>
      </w:r>
      <w:r w:rsidR="00D4047B">
        <w:t>T</w:t>
      </w:r>
      <w:r w:rsidR="0024256E">
        <w:t>iming</w:t>
      </w:r>
    </w:p>
    <w:p w14:paraId="0DB675C4" w14:textId="6BD64220"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3F410D">
        <w:t>5</w:t>
      </w:r>
      <w:r w:rsidR="0049799A">
        <w:t>.1.</w:t>
      </w:r>
      <w:r w:rsidR="00407725">
        <w:t>3</w:t>
      </w:r>
      <w:r w:rsidR="001B243C">
        <w:t>.</w:t>
      </w:r>
      <w:r w:rsidR="00A057EA">
        <w:t>3</w:t>
      </w:r>
      <w:r w:rsidR="003F410D">
        <w:t>.5.1</w:t>
      </w:r>
    </w:p>
    <w:p w14:paraId="2BD0891E" w14:textId="77777777"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7A28FE1D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11A9A3E9" w14:textId="50CA01C4" w:rsidR="00F618ED" w:rsidRDefault="00F618ED" w:rsidP="00F618ED">
      <w:pPr>
        <w:pStyle w:val="Heading1"/>
        <w:spacing w:before="180"/>
        <w:ind w:left="562" w:hanging="562"/>
      </w:pPr>
      <w:r>
        <w:t>Introduction</w:t>
      </w:r>
    </w:p>
    <w:p w14:paraId="307F088B" w14:textId="0AD5684F" w:rsidR="00A057EA" w:rsidRPr="0022072F" w:rsidRDefault="00A057EA" w:rsidP="0022072F">
      <w:pPr>
        <w:pStyle w:val="BodyText"/>
      </w:pPr>
      <w:r>
        <w:t xml:space="preserve">In this contribution we present some views related to </w:t>
      </w:r>
      <w:r w:rsidR="0066502F">
        <w:t>HARQ feedback timing and polled HARQ feedback</w:t>
      </w:r>
      <w:r>
        <w:t>.</w:t>
      </w:r>
    </w:p>
    <w:p w14:paraId="635F5223" w14:textId="2D83E804" w:rsidR="004B1C8B" w:rsidRDefault="00230310" w:rsidP="00230310">
      <w:pPr>
        <w:pStyle w:val="Heading1"/>
        <w:spacing w:before="180"/>
        <w:ind w:left="562" w:hanging="562"/>
      </w:pPr>
      <w:r>
        <w:t>Discussion</w:t>
      </w:r>
    </w:p>
    <w:p w14:paraId="35A56844" w14:textId="2326EB01" w:rsidR="0073260D" w:rsidRDefault="0073260D" w:rsidP="00A057EA">
      <w:pPr>
        <w:pStyle w:val="BodyText"/>
      </w:pPr>
      <w:r>
        <w:t xml:space="preserve">It has been agreed to indicate HARQ feedback timing in the DCI </w:t>
      </w:r>
      <w:r w:rsidR="00EB4D27">
        <w:rPr>
          <w:highlight w:val="yellow"/>
        </w:rPr>
        <w:fldChar w:fldCharType="begin"/>
      </w:r>
      <w:r w:rsidR="00EB4D27">
        <w:instrText xml:space="preserve"> REF _Ref485300390 \r \h </w:instrText>
      </w:r>
      <w:r w:rsidR="00EB4D27">
        <w:rPr>
          <w:highlight w:val="yellow"/>
        </w:rPr>
      </w:r>
      <w:r w:rsidR="00EB4D27">
        <w:rPr>
          <w:highlight w:val="yellow"/>
        </w:rPr>
        <w:fldChar w:fldCharType="separate"/>
      </w:r>
      <w:r w:rsidR="00EB4D27">
        <w:t>[1]</w:t>
      </w:r>
      <w:r w:rsidR="00EB4D27">
        <w:rPr>
          <w:highlight w:val="yellow"/>
        </w:rPr>
        <w:fldChar w:fldCharType="end"/>
      </w:r>
      <w:r>
        <w:t xml:space="preserve">. </w:t>
      </w:r>
      <w:r w:rsidR="00EB4D27">
        <w:t xml:space="preserve">DCI selects among a set of configurable values. Which values and especially the smallest possible value have not yet been agreed, so far the following has been agreed </w:t>
      </w:r>
      <w:r w:rsidR="00EB4D27">
        <w:rPr>
          <w:highlight w:val="yellow"/>
        </w:rPr>
        <w:fldChar w:fldCharType="begin"/>
      </w:r>
      <w:r w:rsidR="00EB4D27">
        <w:instrText xml:space="preserve"> REF _Ref485300398 \r \h </w:instrText>
      </w:r>
      <w:r w:rsidR="00EB4D27">
        <w:rPr>
          <w:highlight w:val="yellow"/>
        </w:rPr>
      </w:r>
      <w:r w:rsidR="00EB4D27">
        <w:rPr>
          <w:highlight w:val="yellow"/>
        </w:rPr>
        <w:fldChar w:fldCharType="separate"/>
      </w:r>
      <w:r w:rsidR="00EB4D27">
        <w:t>[2]</w:t>
      </w:r>
      <w:r w:rsidR="00EB4D27">
        <w:rPr>
          <w:highlight w:val="yellow"/>
        </w:rPr>
        <w:fldChar w:fldCharType="end"/>
      </w:r>
      <w:r w:rsidR="00EB4D27">
        <w:t>:</w:t>
      </w:r>
    </w:p>
    <w:p w14:paraId="5034CC46" w14:textId="77777777" w:rsidR="00EB4D27" w:rsidRPr="00FE37ED" w:rsidRDefault="00EB4D27" w:rsidP="00EB4D27">
      <w:pPr>
        <w:numPr>
          <w:ilvl w:val="0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slot</w:t>
      </w:r>
      <w:r>
        <w:rPr>
          <w:rFonts w:eastAsia="MS Mincho" w:hint="eastAsia"/>
          <w:lang w:eastAsia="ja-JP"/>
        </w:rPr>
        <w:t xml:space="preserve">-based </w:t>
      </w:r>
      <w:r w:rsidRPr="00FE37ED">
        <w:rPr>
          <w:rFonts w:eastAsia="MS Mincho"/>
          <w:lang w:eastAsia="ja-JP"/>
        </w:rPr>
        <w:t>scheduling, NR specification should support the following</w:t>
      </w:r>
    </w:p>
    <w:p w14:paraId="148D6842" w14:textId="77777777" w:rsidR="00EB4D27" w:rsidRPr="00FE37ED" w:rsidRDefault="00EB4D27" w:rsidP="00EB4D27">
      <w:pPr>
        <w:numPr>
          <w:ilvl w:val="1"/>
          <w:numId w:val="32"/>
        </w:numPr>
        <w:rPr>
          <w:rFonts w:eastAsia="MS Mincho"/>
          <w:lang w:eastAsia="ja-JP"/>
        </w:rPr>
      </w:pPr>
      <w:r w:rsidRPr="00FE37ED">
        <w:rPr>
          <w:rFonts w:eastAsia="MS Mincho"/>
          <w:lang w:eastAsia="ja-JP"/>
        </w:rPr>
        <w:t>DL data reception in slot N and corresponding acknowledgment in slot N+K1</w:t>
      </w:r>
    </w:p>
    <w:p w14:paraId="0FE562C1" w14:textId="77777777" w:rsidR="00EB4D27" w:rsidRPr="00FE37ED" w:rsidRDefault="00EB4D27" w:rsidP="00EB4D27">
      <w:pPr>
        <w:numPr>
          <w:ilvl w:val="2"/>
          <w:numId w:val="32"/>
        </w:numPr>
        <w:rPr>
          <w:rFonts w:eastAsia="MS Mincho"/>
          <w:lang w:eastAsia="ja-JP"/>
        </w:rPr>
      </w:pPr>
      <w:r w:rsidRPr="00FE37ED">
        <w:rPr>
          <w:rFonts w:eastAsia="MS Mincho"/>
          <w:lang w:eastAsia="ja-JP"/>
        </w:rPr>
        <w:t>All UEs should support K1≥1 with exact values for K1 FFS</w:t>
      </w:r>
    </w:p>
    <w:p w14:paraId="6E0A311F" w14:textId="77777777" w:rsidR="00EB4D27" w:rsidRPr="00FE37ED" w:rsidRDefault="00EB4D27" w:rsidP="00EB4D27">
      <w:pPr>
        <w:numPr>
          <w:ilvl w:val="2"/>
          <w:numId w:val="32"/>
        </w:numPr>
        <w:rPr>
          <w:rFonts w:eastAsia="MS Mincho"/>
          <w:lang w:eastAsia="ja-JP"/>
        </w:rPr>
      </w:pPr>
      <w:r w:rsidRPr="00FE37ED">
        <w:rPr>
          <w:rFonts w:eastAsia="MS Mincho"/>
          <w:lang w:eastAsia="ja-JP"/>
        </w:rPr>
        <w:t>Some UEs may support K1=0 (FFS conditions)</w:t>
      </w:r>
    </w:p>
    <w:p w14:paraId="0B4A6EAB" w14:textId="24AA7480" w:rsidR="00EB4D27" w:rsidRDefault="00EB4D27" w:rsidP="00A057EA">
      <w:pPr>
        <w:pStyle w:val="BodyText"/>
      </w:pPr>
    </w:p>
    <w:p w14:paraId="3A441B8E" w14:textId="6E5F1133" w:rsidR="00E27B95" w:rsidRDefault="00E27B95" w:rsidP="00A057EA">
      <w:pPr>
        <w:pStyle w:val="BodyText"/>
      </w:pPr>
      <w:r>
        <w:t>In the following we use the terminology above where K1 is expressed as a number of slots although in reality it should preferably be expressed interms of OFDM symbols to handle all cases (long PUCCH, short PUCCH, slot-based transmission, mini-slot-based transmission).</w:t>
      </w:r>
    </w:p>
    <w:p w14:paraId="4282FEB5" w14:textId="407E1AE5" w:rsidR="00615549" w:rsidRDefault="00A17B52" w:rsidP="00A057EA">
      <w:pPr>
        <w:pStyle w:val="BodyText"/>
      </w:pPr>
      <w:r>
        <w:t xml:space="preserve">Fast feedback at the end of the same slot reduces latency and HARQ </w:t>
      </w:r>
      <w:r w:rsidR="0024256E">
        <w:t>round trip time</w:t>
      </w:r>
      <w:r w:rsidR="00615549">
        <w:t xml:space="preserve"> and thus also </w:t>
      </w:r>
      <w:r w:rsidR="00F67F38">
        <w:t xml:space="preserve">end to end delay for data transmission. </w:t>
      </w:r>
      <w:r>
        <w:t xml:space="preserve">In our companion contribution </w:t>
      </w:r>
      <w:r w:rsidR="00F10964">
        <w:fldChar w:fldCharType="begin"/>
      </w:r>
      <w:r w:rsidR="00F10964">
        <w:instrText xml:space="preserve"> REF _Ref485312769 \r \h </w:instrText>
      </w:r>
      <w:r w:rsidR="00F10964">
        <w:fldChar w:fldCharType="separate"/>
      </w:r>
      <w:r w:rsidR="00F10964">
        <w:t>[3]</w:t>
      </w:r>
      <w:r w:rsidR="00F10964">
        <w:fldChar w:fldCharType="end"/>
      </w:r>
      <w:r w:rsidR="00F10964">
        <w:t xml:space="preserve"> </w:t>
      </w:r>
      <w:r>
        <w:t xml:space="preserve">we show that </w:t>
      </w:r>
      <w:r w:rsidR="003F3D06">
        <w:t>end to end delay for data</w:t>
      </w:r>
      <w:r w:rsidR="00615549">
        <w:t xml:space="preserve"> has a large impact on TCP throughput</w:t>
      </w:r>
      <w:r w:rsidR="003F3D06">
        <w:t xml:space="preserve">. </w:t>
      </w:r>
      <w:r w:rsidR="00615549">
        <w:t xml:space="preserve">In general, end to end delay includes transport network </w:t>
      </w:r>
      <w:r w:rsidR="00F10964">
        <w:t>delay and RAN delay</w:t>
      </w:r>
      <w:r w:rsidR="00615549">
        <w:t xml:space="preserve">. </w:t>
      </w:r>
      <w:r w:rsidR="003F3D06">
        <w:t xml:space="preserve">Even though current networks can have rather large transport </w:t>
      </w:r>
      <w:r w:rsidR="00F10964">
        <w:t xml:space="preserve">network </w:t>
      </w:r>
      <w:r w:rsidR="003F3D06">
        <w:t xml:space="preserve">delays it is expected that this time will shrink in </w:t>
      </w:r>
      <w:r w:rsidR="00F10964">
        <w:t xml:space="preserve">the </w:t>
      </w:r>
      <w:r w:rsidR="003F3D06">
        <w:t xml:space="preserve">future. RAN delays should not become bottle neck. It is therefore important to enable short RAN delays </w:t>
      </w:r>
      <w:r w:rsidR="00F10964">
        <w:t>which require</w:t>
      </w:r>
      <w:r w:rsidR="003F3D06">
        <w:t xml:space="preserve"> short HARQ feedback times.</w:t>
      </w:r>
    </w:p>
    <w:p w14:paraId="33DA13C2" w14:textId="1C851C11" w:rsidR="00EB4D27" w:rsidRDefault="00F10964" w:rsidP="00A057EA">
      <w:pPr>
        <w:pStyle w:val="BodyText"/>
      </w:pPr>
      <w:r>
        <w:t>For dynamic TDD f</w:t>
      </w:r>
      <w:r w:rsidR="00EB4D27">
        <w:t xml:space="preserve">ast feedback in the same slot is beneficial since the gNB would receive feedback at the end of slot which simplifies scheduling, especially in a beamformed system. In a beamformed system, if HARQ feedback is returned in a later slot, the scheduler does not have full flexibility to choose beamforming weights in the feedback slot </w:t>
      </w:r>
      <w:r>
        <w:t xml:space="preserve">but </w:t>
      </w:r>
      <w:r w:rsidR="00EB4D27">
        <w:t xml:space="preserve">must make sure that feedback can be received from the previously scheduled terminal. </w:t>
      </w:r>
      <w:r w:rsidR="001326AF">
        <w:t>A large variation of supported</w:t>
      </w:r>
      <w:r w:rsidR="0024256E">
        <w:t xml:space="preserve"> HARQ feedback time</w:t>
      </w:r>
      <w:r w:rsidR="001326AF">
        <w:t xml:space="preserve"> would further complicate scheduler operation.</w:t>
      </w:r>
    </w:p>
    <w:p w14:paraId="0903967F" w14:textId="39926C67" w:rsidR="005A2927" w:rsidRDefault="001326AF" w:rsidP="00A057EA">
      <w:pPr>
        <w:pStyle w:val="BodyText"/>
      </w:pPr>
      <w:r>
        <w:t>In unlicensed spectrum</w:t>
      </w:r>
      <w:r w:rsidR="0024256E">
        <w:t>,</w:t>
      </w:r>
      <w:r>
        <w:t xml:space="preserve"> i</w:t>
      </w:r>
      <w:r w:rsidR="005A2927">
        <w:t xml:space="preserve">mmediate HARQ feedback </w:t>
      </w:r>
      <w:r>
        <w:t>enables feedback transmission without extra LBT operation avoiding the risk of losing the channel.</w:t>
      </w:r>
    </w:p>
    <w:p w14:paraId="34C8014E" w14:textId="766028B9" w:rsidR="00E27B95" w:rsidRDefault="003F3D06" w:rsidP="00A057EA">
      <w:pPr>
        <w:pStyle w:val="BodyText"/>
      </w:pPr>
      <w:r>
        <w:t>Based on above discussion it</w:t>
      </w:r>
      <w:r w:rsidRPr="003F3D06">
        <w:t xml:space="preserve"> is importa</w:t>
      </w:r>
      <w:r w:rsidR="001326AF">
        <w:t xml:space="preserve">nt to </w:t>
      </w:r>
      <w:r w:rsidR="0024256E">
        <w:t>support</w:t>
      </w:r>
      <w:r w:rsidR="001326AF">
        <w:t xml:space="preserve"> same slot</w:t>
      </w:r>
      <w:r w:rsidRPr="003F3D06">
        <w:t xml:space="preserve"> </w:t>
      </w:r>
      <w:r w:rsidR="001326AF">
        <w:t>HARQ feedback</w:t>
      </w:r>
      <w:r w:rsidRPr="003F3D06">
        <w:t xml:space="preserve">, i.e. K1=0. </w:t>
      </w:r>
      <w:r w:rsidR="00E27B95">
        <w:t xml:space="preserve">Low latency </w:t>
      </w:r>
      <w:r w:rsidR="00DC6DE5">
        <w:t>i</w:t>
      </w:r>
      <w:r w:rsidR="00E27B95">
        <w:t xml:space="preserve">s one of the key benefits of NR compared to LTE and important if the very high data rates supported by NR is to be experienced by the end user. Furthermore, </w:t>
      </w:r>
      <w:r w:rsidR="00E27B95" w:rsidRPr="003F3D06">
        <w:t>technology has progressed significantly since the incarnation of LTE</w:t>
      </w:r>
      <w:r w:rsidR="00E27B95">
        <w:t xml:space="preserve"> 10+ years ago. It is therefore desirable to make this mandatory for all UEs in Rel-15.  </w:t>
      </w:r>
    </w:p>
    <w:p w14:paraId="710D6D2A" w14:textId="52E89995" w:rsidR="003F3D06" w:rsidRDefault="00E27B95" w:rsidP="00E27B95">
      <w:pPr>
        <w:pStyle w:val="BodyText"/>
      </w:pPr>
      <w:r>
        <w:t xml:space="preserve">In the undesirable case that not all UEs can support this, an additional values need to be supported. In spite of the discussion above, </w:t>
      </w:r>
      <w:r w:rsidR="003F3D06" w:rsidRPr="003F3D06">
        <w:t xml:space="preserve">it is </w:t>
      </w:r>
      <w:r>
        <w:t xml:space="preserve">in that case </w:t>
      </w:r>
      <w:r w:rsidR="003F3D06" w:rsidRPr="003F3D06">
        <w:t xml:space="preserve">proposed to make this value K1=1, </w:t>
      </w:r>
      <w:r w:rsidR="001326AF">
        <w:t>in case K1=0 is not mandatory for all UEs</w:t>
      </w:r>
      <w:r w:rsidR="003F3D06" w:rsidRPr="003F3D06">
        <w:t>.</w:t>
      </w:r>
    </w:p>
    <w:p w14:paraId="082390D7" w14:textId="383F4889" w:rsidR="00E27B95" w:rsidRDefault="00E27B95" w:rsidP="00A057EA">
      <w:pPr>
        <w:pStyle w:val="BodyText"/>
      </w:pPr>
      <w:r>
        <w:t xml:space="preserve">It should also be noted that allowing for multiple ACK feedback timing values will significantly complicate the scheduling operation. Allowing multiple values could therefore result in less efficient scheduling </w:t>
      </w:r>
    </w:p>
    <w:p w14:paraId="6158A3D5" w14:textId="4058DA1F" w:rsidR="00A17B52" w:rsidRPr="001326AF" w:rsidRDefault="003F3D06" w:rsidP="00A057EA">
      <w:pPr>
        <w:pStyle w:val="BodyText"/>
        <w:rPr>
          <w:b/>
        </w:rPr>
      </w:pPr>
      <w:r w:rsidRPr="001326AF">
        <w:rPr>
          <w:b/>
        </w:rPr>
        <w:t xml:space="preserve">Proposal 1: Adopt K1=0, </w:t>
      </w:r>
      <w:r w:rsidR="00E27B95">
        <w:rPr>
          <w:b/>
        </w:rPr>
        <w:t>preferably as the single supported value for all UEs</w:t>
      </w:r>
      <w:r w:rsidRPr="001326AF">
        <w:rPr>
          <w:b/>
        </w:rPr>
        <w:t>.</w:t>
      </w:r>
    </w:p>
    <w:p w14:paraId="0652E800" w14:textId="77777777" w:rsidR="001326AF" w:rsidRDefault="001326AF" w:rsidP="00A057EA">
      <w:pPr>
        <w:pStyle w:val="BodyText"/>
      </w:pPr>
    </w:p>
    <w:p w14:paraId="3B806D2B" w14:textId="51444B1B" w:rsidR="00EB4D27" w:rsidRDefault="003A064F" w:rsidP="00A057EA">
      <w:pPr>
        <w:pStyle w:val="BodyText"/>
      </w:pPr>
      <w:r>
        <w:t xml:space="preserve">In some cases it is important to have the possibility to request a feedback at a later instance. </w:t>
      </w:r>
      <w:r w:rsidR="001326AF">
        <w:t>For example, in scenarios where</w:t>
      </w:r>
      <w:r>
        <w:t xml:space="preserve"> NR coexist</w:t>
      </w:r>
      <w:r w:rsidR="001326AF">
        <w:t xml:space="preserve">s with LTE in the same band </w:t>
      </w:r>
      <w:r>
        <w:t>HARQ feedback needs to be delayed until the next available UL</w:t>
      </w:r>
      <w:r w:rsidR="005A2927">
        <w:t xml:space="preserve">, see Figure 1. One code point in the HARQ timing indication in the DCI could be reserved to </w:t>
      </w:r>
      <w:r w:rsidR="0024256E">
        <w:t>indicate postponed</w:t>
      </w:r>
      <w:r w:rsidR="005A2927">
        <w:t xml:space="preserve"> HARQ feedback. If the UE was instructed not to transmit a HARQ acknowledgement, the network could at a later time instant “pol</w:t>
      </w:r>
      <w:r w:rsidR="001326AF">
        <w:t xml:space="preserve">l” the UE for the status of </w:t>
      </w:r>
      <w:r w:rsidR="005A2927">
        <w:t>previous receptions. Polling could also have the benefit of avoiding complicated HARQ-ACK codebooks as used in LTE</w:t>
      </w:r>
      <w:r w:rsidR="0024256E">
        <w:t xml:space="preserve"> and is also</w:t>
      </w:r>
      <w:r w:rsidR="005A2927">
        <w:t xml:space="preserve"> useful for operation in unlicensed spectrum for devices not capable of ‘immediate’ ACK.</w:t>
      </w:r>
    </w:p>
    <w:p w14:paraId="7A66DE76" w14:textId="4402283F" w:rsidR="00EC06DD" w:rsidRPr="00546EB1" w:rsidRDefault="00EC06DD" w:rsidP="00A057EA">
      <w:pPr>
        <w:pStyle w:val="BodyText"/>
        <w:rPr>
          <w:b/>
        </w:rPr>
      </w:pPr>
      <w:r w:rsidRPr="00EC06DD">
        <w:rPr>
          <w:b/>
        </w:rPr>
        <w:lastRenderedPageBreak/>
        <w:t>Proposal</w:t>
      </w:r>
      <w:r w:rsidR="005A2927">
        <w:rPr>
          <w:b/>
        </w:rPr>
        <w:t xml:space="preserve"> 2</w:t>
      </w:r>
      <w:r w:rsidRPr="00EC06DD">
        <w:rPr>
          <w:b/>
        </w:rPr>
        <w:t xml:space="preserve">: </w:t>
      </w:r>
      <w:r w:rsidR="00EF4B41">
        <w:rPr>
          <w:b/>
        </w:rPr>
        <w:t>Introduce</w:t>
      </w:r>
      <w:r w:rsidRPr="00EC06DD">
        <w:rPr>
          <w:b/>
        </w:rPr>
        <w:t xml:space="preserve"> polled </w:t>
      </w:r>
      <w:r w:rsidR="00EF4B41">
        <w:rPr>
          <w:b/>
        </w:rPr>
        <w:t>HARQ-acknowledgement for PDSCH</w:t>
      </w:r>
      <w:r w:rsidR="0024256E">
        <w:rPr>
          <w:b/>
        </w:rPr>
        <w:t>.</w:t>
      </w:r>
    </w:p>
    <w:p w14:paraId="57BB77C5" w14:textId="77777777" w:rsidR="006B1453" w:rsidRDefault="006B1453" w:rsidP="006B1453">
      <w:pPr>
        <w:pStyle w:val="BodyText"/>
        <w:keepNext/>
      </w:pPr>
      <w:r w:rsidRPr="006B1453">
        <w:rPr>
          <w:noProof/>
        </w:rPr>
        <w:drawing>
          <wp:inline distT="0" distB="0" distL="0" distR="0" wp14:anchorId="153078F9" wp14:editId="77941D1B">
            <wp:extent cx="5644827" cy="1571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553" cy="161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9EB9" w14:textId="47085CCB" w:rsidR="006B1453" w:rsidRPr="006B1453" w:rsidRDefault="006B1453" w:rsidP="006B1453">
      <w:pPr>
        <w:pStyle w:val="Caption"/>
        <w:jc w:val="both"/>
      </w:pPr>
      <w:bookmarkStart w:id="3" w:name="_Ref465862656"/>
      <w:r>
        <w:t xml:space="preserve">Figure </w:t>
      </w:r>
      <w:r w:rsidR="00F5607B">
        <w:fldChar w:fldCharType="begin"/>
      </w:r>
      <w:r w:rsidR="00F5607B">
        <w:instrText xml:space="preserve"> SEQ Figure \* ARABIC </w:instrText>
      </w:r>
      <w:r w:rsidR="00F5607B">
        <w:fldChar w:fldCharType="separate"/>
      </w:r>
      <w:r>
        <w:rPr>
          <w:noProof/>
        </w:rPr>
        <w:t>1</w:t>
      </w:r>
      <w:r w:rsidR="00F5607B">
        <w:rPr>
          <w:noProof/>
        </w:rPr>
        <w:fldChar w:fldCharType="end"/>
      </w:r>
      <w:bookmarkEnd w:id="3"/>
      <w:r>
        <w:t xml:space="preserve">: </w:t>
      </w:r>
      <w:r w:rsidR="001326AF">
        <w:t>HARQ feedback timing</w:t>
      </w:r>
    </w:p>
    <w:p w14:paraId="6C34731C" w14:textId="53006192" w:rsidR="00DA7D33" w:rsidRDefault="00DA7D33" w:rsidP="00DA7D33">
      <w:pPr>
        <w:pStyle w:val="Heading1"/>
        <w:spacing w:before="180"/>
        <w:ind w:left="562" w:hanging="562"/>
      </w:pPr>
      <w:r>
        <w:t>Conclusion</w:t>
      </w:r>
    </w:p>
    <w:p w14:paraId="2F9A72A7" w14:textId="6A10A12F" w:rsidR="00EC06DD" w:rsidRDefault="005E1283" w:rsidP="005E1283">
      <w:pPr>
        <w:pStyle w:val="BodyText"/>
      </w:pPr>
      <w:r>
        <w:t>In this paper we discuss HARQ feedback timing and polled HARQ feedback. The following is proposed:</w:t>
      </w:r>
    </w:p>
    <w:p w14:paraId="5EB923C7" w14:textId="77777777" w:rsidR="00E27B95" w:rsidRPr="001326AF" w:rsidRDefault="00E27B95" w:rsidP="00E27B95">
      <w:pPr>
        <w:pStyle w:val="BodyText"/>
        <w:rPr>
          <w:b/>
        </w:rPr>
      </w:pPr>
      <w:r w:rsidRPr="001326AF">
        <w:rPr>
          <w:b/>
        </w:rPr>
        <w:t xml:space="preserve">Proposal 1: Adopt K1=0, </w:t>
      </w:r>
      <w:r>
        <w:rPr>
          <w:b/>
        </w:rPr>
        <w:t>preferably as the single supported value for all UEs</w:t>
      </w:r>
      <w:r w:rsidRPr="001326AF">
        <w:rPr>
          <w:b/>
        </w:rPr>
        <w:t>.</w:t>
      </w:r>
    </w:p>
    <w:p w14:paraId="629C3998" w14:textId="21CEBFC5" w:rsidR="001326AF" w:rsidRPr="001326AF" w:rsidRDefault="001326AF" w:rsidP="005E1283">
      <w:pPr>
        <w:pStyle w:val="BodyText"/>
        <w:rPr>
          <w:b/>
        </w:rPr>
      </w:pPr>
      <w:r w:rsidRPr="001326AF">
        <w:rPr>
          <w:b/>
        </w:rPr>
        <w:t>Proposal 2: Introduce polled HARQ-acknowledgement for PDSCH</w:t>
      </w:r>
      <w:r w:rsidR="0024256E">
        <w:rPr>
          <w:b/>
        </w:rPr>
        <w:t>.</w:t>
      </w:r>
    </w:p>
    <w:p w14:paraId="717DBD18" w14:textId="13B149DF" w:rsidR="00EB4D27" w:rsidRDefault="00EB4D27" w:rsidP="00F10964">
      <w:pPr>
        <w:pStyle w:val="Heading1"/>
        <w:numPr>
          <w:ilvl w:val="0"/>
          <w:numId w:val="0"/>
        </w:numPr>
        <w:spacing w:before="180"/>
      </w:pPr>
      <w:r>
        <w:t>References</w:t>
      </w:r>
    </w:p>
    <w:p w14:paraId="32F4E46D" w14:textId="77777777" w:rsidR="00EB4D27" w:rsidRDefault="00EB4D27" w:rsidP="00F10964">
      <w:pPr>
        <w:pStyle w:val="BodyText"/>
        <w:numPr>
          <w:ilvl w:val="0"/>
          <w:numId w:val="30"/>
        </w:numPr>
        <w:ind w:left="426" w:hanging="426"/>
      </w:pPr>
      <w:bookmarkStart w:id="4" w:name="_Ref485300390"/>
      <w:r>
        <w:t>“RAN1 Chairman’s Notes”, 3GPP TSG RAN WG1 Meeting NR #1, January 2017.</w:t>
      </w:r>
      <w:bookmarkEnd w:id="4"/>
    </w:p>
    <w:p w14:paraId="5B0BCDF2" w14:textId="288E123A" w:rsidR="00EB4D27" w:rsidRDefault="00EB4D27" w:rsidP="00F10964">
      <w:pPr>
        <w:pStyle w:val="BodyText"/>
        <w:numPr>
          <w:ilvl w:val="0"/>
          <w:numId w:val="30"/>
        </w:numPr>
        <w:ind w:left="426" w:hanging="426"/>
      </w:pPr>
      <w:bookmarkStart w:id="5" w:name="_Ref485300398"/>
      <w:r>
        <w:t>“RAN1 Chairman’s Notes”, 3GPP TSG RAN WG1 Meeting #86bis, October 2016.</w:t>
      </w:r>
      <w:bookmarkEnd w:id="5"/>
    </w:p>
    <w:p w14:paraId="6D5E094B" w14:textId="68BA22D5" w:rsidR="00B264A1" w:rsidRPr="00EC06DD" w:rsidRDefault="00B264A1" w:rsidP="00F10964">
      <w:pPr>
        <w:pStyle w:val="BodyText"/>
        <w:numPr>
          <w:ilvl w:val="0"/>
          <w:numId w:val="30"/>
        </w:numPr>
        <w:ind w:left="426" w:hanging="426"/>
      </w:pPr>
      <w:bookmarkStart w:id="6" w:name="_Ref485312769"/>
      <w:r>
        <w:t>R2-17</w:t>
      </w:r>
      <w:r w:rsidR="00F5607B">
        <w:t>07130</w:t>
      </w:r>
      <w:bookmarkStart w:id="7" w:name="_GoBack"/>
      <w:bookmarkEnd w:id="7"/>
      <w:r>
        <w:t xml:space="preserve">, </w:t>
      </w:r>
      <w:r w:rsidR="00F10964">
        <w:t>“</w:t>
      </w:r>
      <w:r w:rsidR="00F10964" w:rsidRPr="00F10964">
        <w:t>Investigation on UP Latency</w:t>
      </w:r>
      <w:r w:rsidR="00F10964">
        <w:t>”, Ericsson</w:t>
      </w:r>
      <w:bookmarkEnd w:id="6"/>
    </w:p>
    <w:sectPr w:rsidR="00B264A1" w:rsidRPr="00EC06DD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982814"/>
    <w:multiLevelType w:val="hybridMultilevel"/>
    <w:tmpl w:val="8B3A9EBC"/>
    <w:lvl w:ilvl="0" w:tplc="A0C05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73E8F"/>
    <w:multiLevelType w:val="hybridMultilevel"/>
    <w:tmpl w:val="89D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8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1"/>
  </w:num>
  <w:num w:numId="4">
    <w:abstractNumId w:val="27"/>
  </w:num>
  <w:num w:numId="5">
    <w:abstractNumId w:val="24"/>
  </w:num>
  <w:num w:numId="6">
    <w:abstractNumId w:val="21"/>
  </w:num>
  <w:num w:numId="7">
    <w:abstractNumId w:val="26"/>
  </w:num>
  <w:num w:numId="8">
    <w:abstractNumId w:val="25"/>
  </w:num>
  <w:num w:numId="9">
    <w:abstractNumId w:val="10"/>
  </w:num>
  <w:num w:numId="10">
    <w:abstractNumId w:val="4"/>
  </w:num>
  <w:num w:numId="11">
    <w:abstractNumId w:val="17"/>
  </w:num>
  <w:num w:numId="12">
    <w:abstractNumId w:val="28"/>
  </w:num>
  <w:num w:numId="13">
    <w:abstractNumId w:val="3"/>
  </w:num>
  <w:num w:numId="14">
    <w:abstractNumId w:val="5"/>
  </w:num>
  <w:num w:numId="15">
    <w:abstractNumId w:val="13"/>
  </w:num>
  <w:num w:numId="16">
    <w:abstractNumId w:val="6"/>
  </w:num>
  <w:num w:numId="17">
    <w:abstractNumId w:val="27"/>
  </w:num>
  <w:num w:numId="18">
    <w:abstractNumId w:val="16"/>
  </w:num>
  <w:num w:numId="19">
    <w:abstractNumId w:val="22"/>
  </w:num>
  <w:num w:numId="20">
    <w:abstractNumId w:val="9"/>
  </w:num>
  <w:num w:numId="21">
    <w:abstractNumId w:val="8"/>
  </w:num>
  <w:num w:numId="22">
    <w:abstractNumId w:val="23"/>
  </w:num>
  <w:num w:numId="23">
    <w:abstractNumId w:val="12"/>
  </w:num>
  <w:num w:numId="24">
    <w:abstractNumId w:val="11"/>
  </w:num>
  <w:num w:numId="25">
    <w:abstractNumId w:val="14"/>
  </w:num>
  <w:num w:numId="26">
    <w:abstractNumId w:val="20"/>
  </w:num>
  <w:num w:numId="27">
    <w:abstractNumId w:val="7"/>
  </w:num>
  <w:num w:numId="28">
    <w:abstractNumId w:val="0"/>
  </w:num>
  <w:num w:numId="29">
    <w:abstractNumId w:val="2"/>
  </w:num>
  <w:num w:numId="30">
    <w:abstractNumId w:val="19"/>
  </w:num>
  <w:num w:numId="31">
    <w:abstractNumId w:val="2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060F67"/>
    <w:rsid w:val="00106ABF"/>
    <w:rsid w:val="001326AF"/>
    <w:rsid w:val="00195B45"/>
    <w:rsid w:val="001B243C"/>
    <w:rsid w:val="001F0CAF"/>
    <w:rsid w:val="00213303"/>
    <w:rsid w:val="0022072F"/>
    <w:rsid w:val="00230310"/>
    <w:rsid w:val="0024256E"/>
    <w:rsid w:val="00247FAB"/>
    <w:rsid w:val="0028065B"/>
    <w:rsid w:val="00286B6D"/>
    <w:rsid w:val="002E444B"/>
    <w:rsid w:val="002E7BAB"/>
    <w:rsid w:val="0034475B"/>
    <w:rsid w:val="003A064F"/>
    <w:rsid w:val="003F33ED"/>
    <w:rsid w:val="003F3D06"/>
    <w:rsid w:val="003F410D"/>
    <w:rsid w:val="00407725"/>
    <w:rsid w:val="00434CD6"/>
    <w:rsid w:val="0048093F"/>
    <w:rsid w:val="0049799A"/>
    <w:rsid w:val="004B1C8B"/>
    <w:rsid w:val="0052140E"/>
    <w:rsid w:val="00546EB1"/>
    <w:rsid w:val="005514B5"/>
    <w:rsid w:val="005838EA"/>
    <w:rsid w:val="005A2927"/>
    <w:rsid w:val="005E1283"/>
    <w:rsid w:val="00615549"/>
    <w:rsid w:val="00627565"/>
    <w:rsid w:val="0066502F"/>
    <w:rsid w:val="006A286A"/>
    <w:rsid w:val="006B1453"/>
    <w:rsid w:val="006B481E"/>
    <w:rsid w:val="006D4A4B"/>
    <w:rsid w:val="0073260D"/>
    <w:rsid w:val="007C7533"/>
    <w:rsid w:val="00813D98"/>
    <w:rsid w:val="008A0342"/>
    <w:rsid w:val="008D5332"/>
    <w:rsid w:val="00916E30"/>
    <w:rsid w:val="00920E04"/>
    <w:rsid w:val="00924E96"/>
    <w:rsid w:val="00942F98"/>
    <w:rsid w:val="009867D7"/>
    <w:rsid w:val="009A0611"/>
    <w:rsid w:val="009E46CD"/>
    <w:rsid w:val="00A057EA"/>
    <w:rsid w:val="00A17B52"/>
    <w:rsid w:val="00AC1F7D"/>
    <w:rsid w:val="00B03ED8"/>
    <w:rsid w:val="00B264A1"/>
    <w:rsid w:val="00B368D9"/>
    <w:rsid w:val="00BA0842"/>
    <w:rsid w:val="00BA4CC0"/>
    <w:rsid w:val="00BB2430"/>
    <w:rsid w:val="00BB7B54"/>
    <w:rsid w:val="00BC0FFC"/>
    <w:rsid w:val="00BC6E67"/>
    <w:rsid w:val="00BE4063"/>
    <w:rsid w:val="00C1560A"/>
    <w:rsid w:val="00C22346"/>
    <w:rsid w:val="00C62894"/>
    <w:rsid w:val="00C63396"/>
    <w:rsid w:val="00C8496C"/>
    <w:rsid w:val="00CA5E5D"/>
    <w:rsid w:val="00CB5A40"/>
    <w:rsid w:val="00CC1CA7"/>
    <w:rsid w:val="00CC260C"/>
    <w:rsid w:val="00CC4152"/>
    <w:rsid w:val="00CE6CB0"/>
    <w:rsid w:val="00D03072"/>
    <w:rsid w:val="00D03E47"/>
    <w:rsid w:val="00D4047B"/>
    <w:rsid w:val="00D577BB"/>
    <w:rsid w:val="00D84D5E"/>
    <w:rsid w:val="00D84EE3"/>
    <w:rsid w:val="00DA7D33"/>
    <w:rsid w:val="00DB6F36"/>
    <w:rsid w:val="00DC6DE5"/>
    <w:rsid w:val="00DD11CB"/>
    <w:rsid w:val="00DE0D8A"/>
    <w:rsid w:val="00DE1BAA"/>
    <w:rsid w:val="00E10C1F"/>
    <w:rsid w:val="00E20E32"/>
    <w:rsid w:val="00E27B95"/>
    <w:rsid w:val="00EB26FB"/>
    <w:rsid w:val="00EB4D27"/>
    <w:rsid w:val="00EC06DD"/>
    <w:rsid w:val="00EF4B41"/>
    <w:rsid w:val="00F10964"/>
    <w:rsid w:val="00F346B4"/>
    <w:rsid w:val="00F5607B"/>
    <w:rsid w:val="00F618ED"/>
    <w:rsid w:val="00F67F38"/>
    <w:rsid w:val="00F758F1"/>
    <w:rsid w:val="00F81C1C"/>
    <w:rsid w:val="00F92325"/>
    <w:rsid w:val="00F92540"/>
    <w:rsid w:val="00FE114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DB635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26A85-792A-444B-9D3A-E0F8CEE9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Robert Baldemair</cp:lastModifiedBy>
  <cp:revision>6</cp:revision>
  <dcterms:created xsi:type="dcterms:W3CDTF">2017-06-15T16:29:00Z</dcterms:created>
  <dcterms:modified xsi:type="dcterms:W3CDTF">2017-06-16T15:53:00Z</dcterms:modified>
</cp:coreProperties>
</file>