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068B75BD" w14:textId="5BC741B9" w:rsidR="007B5E29" w:rsidRPr="00000AF1" w:rsidRDefault="007B5E29" w:rsidP="007B5E29">
      <w:pPr>
        <w:pStyle w:val="3GPPHeader"/>
        <w:spacing w:after="60"/>
        <w:rPr>
          <w:bCs/>
        </w:rPr>
      </w:pPr>
      <w:r w:rsidRPr="00000AF1">
        <w:rPr>
          <w:bCs/>
        </w:rPr>
        <w:t>3GPP TSG RAN WG1 NR Ad-Hoc</w:t>
      </w:r>
      <w:r w:rsidRPr="00000AF1">
        <w:rPr>
          <w:rFonts w:hint="eastAsia"/>
          <w:bCs/>
        </w:rPr>
        <w:t xml:space="preserve">#2                                       </w:t>
      </w:r>
      <w:r w:rsidRPr="00000AF1">
        <w:rPr>
          <w:bCs/>
        </w:rPr>
        <w:tab/>
      </w:r>
      <w:r w:rsidRPr="002B35C6">
        <w:rPr>
          <w:bCs/>
        </w:rPr>
        <w:t>R1-1</w:t>
      </w:r>
      <w:r w:rsidRPr="002B35C6">
        <w:rPr>
          <w:rFonts w:hint="eastAsia"/>
          <w:bCs/>
        </w:rPr>
        <w:t>7</w:t>
      </w:r>
      <w:r w:rsidR="002B35C6" w:rsidRPr="002B35C6">
        <w:rPr>
          <w:bCs/>
        </w:rPr>
        <w:t>11485</w:t>
      </w:r>
    </w:p>
    <w:p w14:paraId="2F309779" w14:textId="77777777" w:rsidR="007B5E29" w:rsidRPr="007B78FE" w:rsidRDefault="007B5E29" w:rsidP="007B5E29">
      <w:pPr>
        <w:pStyle w:val="3GPPHeade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293CC8DE" w14:textId="625D969A"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7B5E29">
        <w:rPr>
          <w:sz w:val="22"/>
          <w:szCs w:val="22"/>
        </w:rPr>
        <w:t>5</w:t>
      </w:r>
      <w:r w:rsidR="00AE553B" w:rsidRPr="00AE553B">
        <w:rPr>
          <w:sz w:val="22"/>
          <w:szCs w:val="22"/>
        </w:rPr>
        <w:t>.1.3.1.</w:t>
      </w:r>
      <w:r w:rsidR="007B5E29">
        <w:rPr>
          <w:sz w:val="22"/>
          <w:szCs w:val="22"/>
        </w:rPr>
        <w:t>4.3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29D2E7DA"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DD6998">
        <w:rPr>
          <w:sz w:val="22"/>
          <w:szCs w:val="22"/>
        </w:rPr>
        <w:t xml:space="preserve">UE Procedures Related to </w:t>
      </w:r>
      <w:r w:rsidR="007B5E29">
        <w:rPr>
          <w:sz w:val="22"/>
          <w:szCs w:val="22"/>
        </w:rPr>
        <w:t>Group-Common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254B5E82"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7B5E29">
        <w:rPr>
          <w:rFonts w:eastAsia="MS Mincho"/>
          <w:lang w:eastAsia="ja-JP"/>
        </w:rPr>
        <w:t>[1]</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7B5E29">
        <w:rPr>
          <w:rFonts w:eastAsia="MS Mincho"/>
          <w:lang w:eastAsia="ja-JP"/>
        </w:rPr>
        <w:t>[2]</w:t>
      </w:r>
      <w:r w:rsidR="008F7E54">
        <w:rPr>
          <w:rFonts w:eastAsia="MS Mincho"/>
          <w:lang w:eastAsia="ja-JP"/>
        </w:rPr>
        <w:fldChar w:fldCharType="end"/>
      </w:r>
      <w:r w:rsidR="008B642E">
        <w:rPr>
          <w:rFonts w:eastAsia="MS Mincho"/>
          <w:lang w:eastAsia="ja-JP"/>
        </w:rPr>
        <w:fldChar w:fldCharType="begin"/>
      </w:r>
      <w:r w:rsidR="008B642E">
        <w:rPr>
          <w:rFonts w:eastAsia="MS Mincho"/>
          <w:lang w:eastAsia="ja-JP"/>
        </w:rPr>
        <w:instrText xml:space="preserve"> REF _Ref484868330 \n \h </w:instrText>
      </w:r>
      <w:r w:rsidR="008B642E">
        <w:rPr>
          <w:rFonts w:eastAsia="MS Mincho"/>
          <w:lang w:eastAsia="ja-JP"/>
        </w:rPr>
      </w:r>
      <w:r w:rsidR="008B642E">
        <w:rPr>
          <w:rFonts w:eastAsia="MS Mincho"/>
          <w:lang w:eastAsia="ja-JP"/>
        </w:rPr>
        <w:fldChar w:fldCharType="separate"/>
      </w:r>
      <w:r w:rsidR="008B642E">
        <w:rPr>
          <w:rFonts w:eastAsia="MS Mincho"/>
          <w:lang w:eastAsia="ja-JP"/>
        </w:rPr>
        <w:t>[3]</w:t>
      </w:r>
      <w:r w:rsidR="008B642E">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12E46FDE" w14:textId="06313E23" w:rsidR="004C691A" w:rsidRPr="00493531" w:rsidRDefault="004C691A" w:rsidP="006F0E6E">
      <w:pPr>
        <w:numPr>
          <w:ilvl w:val="1"/>
          <w:numId w:val="42"/>
        </w:numPr>
        <w:overflowPunct/>
        <w:autoSpaceDE/>
        <w:autoSpaceDN/>
        <w:adjustRightInd/>
        <w:spacing w:after="0"/>
        <w:textAlignment w:val="auto"/>
        <w:rPr>
          <w:rFonts w:eastAsia="MS Mincho"/>
          <w:b/>
          <w:i/>
          <w:iCs/>
          <w:color w:val="4472C4" w:themeColor="accent5"/>
          <w:lang w:eastAsia="ja-JP"/>
        </w:rPr>
      </w:pPr>
      <w:r w:rsidRPr="00F24B1D">
        <w:t>The term ‘group common PDCCH’ refers to a channel (either a PDCCH or a separately designed channel) that carries information intended for the group of UEs.</w:t>
      </w: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D73155" w:rsidRDefault="004C691A" w:rsidP="004C691A">
      <w:pPr>
        <w:pStyle w:val="ListParagraph"/>
        <w:numPr>
          <w:ilvl w:val="0"/>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3D351416"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850773F"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7022B799" w14:textId="77777777" w:rsidR="00225EE5" w:rsidRDefault="00225EE5" w:rsidP="004C691A">
      <w:pPr>
        <w:rPr>
          <w:rFonts w:eastAsia="MS Mincho"/>
          <w:b/>
          <w:highlight w:val="green"/>
          <w:u w:val="single"/>
          <w:lang w:eastAsia="ja-JP"/>
        </w:rPr>
      </w:pPr>
    </w:p>
    <w:p w14:paraId="01FB6AE8" w14:textId="78585786"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0746C622"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03E4D36C" w14:textId="77777777" w:rsidR="00225EE5" w:rsidRDefault="00225EE5" w:rsidP="004C691A">
      <w:pPr>
        <w:pStyle w:val="BodyText"/>
        <w:spacing w:after="0"/>
        <w:rPr>
          <w:rFonts w:eastAsia="MS Mincho"/>
          <w:b/>
          <w:highlight w:val="green"/>
          <w:u w:val="single"/>
          <w:lang w:eastAsia="ja-JP"/>
        </w:rPr>
      </w:pPr>
    </w:p>
    <w:p w14:paraId="412BAE5D" w14:textId="3406CCA0"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lastRenderedPageBreak/>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D73155" w:rsidRDefault="004C691A" w:rsidP="00D73155">
      <w:pPr>
        <w:pStyle w:val="BodyText"/>
        <w:numPr>
          <w:ilvl w:val="1"/>
          <w:numId w:val="45"/>
        </w:numPr>
        <w:overflowPunct/>
        <w:autoSpaceDE/>
        <w:autoSpaceDN/>
        <w:adjustRightInd/>
        <w:spacing w:after="0"/>
        <w:textAlignment w:val="auto"/>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041020E0" w14:textId="77777777" w:rsidR="007B5E29" w:rsidRPr="00347BD4" w:rsidRDefault="007B5E29" w:rsidP="007B5E29">
      <w:pPr>
        <w:rPr>
          <w:rFonts w:eastAsia="MS Mincho"/>
          <w:b/>
          <w:u w:val="single"/>
          <w:lang w:eastAsia="ja-JP"/>
        </w:rPr>
      </w:pPr>
      <w:r w:rsidRPr="001E64F7">
        <w:rPr>
          <w:rFonts w:eastAsia="MS Mincho" w:hint="eastAsia"/>
          <w:b/>
          <w:highlight w:val="green"/>
          <w:u w:val="single"/>
          <w:lang w:eastAsia="ja-JP"/>
        </w:rPr>
        <w:t>Agreements:</w:t>
      </w:r>
    </w:p>
    <w:p w14:paraId="79C9EFC9" w14:textId="77777777" w:rsidR="007B5E29" w:rsidRPr="00347BD4" w:rsidRDefault="007B5E29" w:rsidP="007B5E29">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5300FDFC" w14:textId="77777777" w:rsidR="007B5E29" w:rsidRPr="00347BD4" w:rsidRDefault="007B5E29" w:rsidP="007B5E2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681C9213" w14:textId="77777777" w:rsidR="007B5E29" w:rsidRPr="00727156" w:rsidRDefault="007B5E29" w:rsidP="007B5E29">
      <w:pPr>
        <w:numPr>
          <w:ilvl w:val="1"/>
          <w:numId w:val="52"/>
        </w:numPr>
        <w:overflowPunct/>
        <w:autoSpaceDE/>
        <w:autoSpaceDN/>
        <w:adjustRightInd/>
        <w:spacing w:after="0"/>
        <w:jc w:val="left"/>
        <w:textAlignment w:val="auto"/>
        <w:rPr>
          <w:rFonts w:eastAsia="MS Mincho"/>
          <w:lang w:eastAsia="ja-JP"/>
        </w:rPr>
      </w:pPr>
      <w:r w:rsidRPr="00727156">
        <w:rPr>
          <w:rFonts w:eastAsia="MS Mincho"/>
          <w:lang w:eastAsia="ja-JP"/>
        </w:rPr>
        <w:t>FFS: how to interpret the SFI when the UE is configured with multiple bandwidth parts</w:t>
      </w:r>
    </w:p>
    <w:p w14:paraId="2B1CC177" w14:textId="77777777" w:rsidR="007B5E29" w:rsidRPr="00347BD4" w:rsidRDefault="007B5E29" w:rsidP="007B5E2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FFS: details for UE behaviour</w:t>
      </w:r>
    </w:p>
    <w:p w14:paraId="11D3132B" w14:textId="2A2975B8" w:rsidR="007B5E29" w:rsidRPr="00493531" w:rsidRDefault="007B5E29" w:rsidP="006F0E6E">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69931815" w14:textId="77777777" w:rsidR="007B5E29" w:rsidRPr="00B842BE" w:rsidRDefault="007B5E29" w:rsidP="007B5E29">
      <w:pPr>
        <w:rPr>
          <w:rFonts w:eastAsia="MS Mincho"/>
          <w:color w:val="0070C0"/>
          <w:lang w:eastAsia="ja-JP"/>
        </w:rPr>
      </w:pPr>
      <w:r w:rsidRPr="002C4D2D">
        <w:rPr>
          <w:rFonts w:eastAsia="MS Mincho" w:hint="eastAsia"/>
          <w:b/>
          <w:highlight w:val="green"/>
          <w:u w:val="single"/>
          <w:lang w:eastAsia="ja-JP"/>
        </w:rPr>
        <w:t>Agreements:</w:t>
      </w:r>
    </w:p>
    <w:p w14:paraId="4B0FD810" w14:textId="77777777" w:rsidR="007B5E29" w:rsidRPr="002C4D2D" w:rsidRDefault="007B5E29" w:rsidP="007B5E29">
      <w:pPr>
        <w:numPr>
          <w:ilvl w:val="0"/>
          <w:numId w:val="53"/>
        </w:numPr>
        <w:overflowPunct/>
        <w:autoSpaceDE/>
        <w:autoSpaceDN/>
        <w:adjustRightInd/>
        <w:spacing w:after="0"/>
        <w:jc w:val="left"/>
        <w:textAlignment w:val="auto"/>
        <w:rPr>
          <w:rFonts w:eastAsia="MS Mincho"/>
          <w:lang w:eastAsia="ja-JP"/>
        </w:rPr>
      </w:pPr>
      <w:r w:rsidRPr="002C4D2D">
        <w:rPr>
          <w:rFonts w:eastAsia="MS Mincho"/>
          <w:lang w:eastAsia="ja-JP"/>
        </w:rPr>
        <w:t>In ‘Slot format related information’, ‘other’ is at least:</w:t>
      </w:r>
    </w:p>
    <w:p w14:paraId="39E0B002" w14:textId="77777777" w:rsidR="007B5E29" w:rsidRPr="002C4D2D" w:rsidRDefault="007B5E29" w:rsidP="007B5E2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‘Unknown’</w:t>
      </w:r>
    </w:p>
    <w:p w14:paraId="7BCD2087"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 shall not assume anything for the symbol with ‘Unknown’ by this information</w:t>
      </w:r>
    </w:p>
    <w:p w14:paraId="0765D927"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69485541" w14:textId="77777777" w:rsidR="007B5E29" w:rsidRPr="002C4D2D" w:rsidRDefault="007B5E29" w:rsidP="007B5E2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FFS: ‘Empty’</w:t>
      </w:r>
    </w:p>
    <w:p w14:paraId="16FB7F46"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UEs can use this resource for interference measurement</w:t>
      </w:r>
    </w:p>
    <w:p w14:paraId="494E600B" w14:textId="77777777" w:rsidR="007B5E29" w:rsidRDefault="007B5E29" w:rsidP="007B5E29">
      <w:pPr>
        <w:numPr>
          <w:ilvl w:val="2"/>
          <w:numId w:val="53"/>
        </w:numPr>
        <w:overflowPunct/>
        <w:autoSpaceDE/>
        <w:autoSpaceDN/>
        <w:adjustRightInd/>
        <w:spacing w:after="0"/>
        <w:jc w:val="left"/>
        <w:textAlignment w:val="auto"/>
        <w:rPr>
          <w:rFonts w:eastAsia="MS Mincho"/>
          <w:color w:val="0070C0"/>
          <w:lang w:eastAsia="ja-JP"/>
        </w:rPr>
      </w:pPr>
      <w:r w:rsidRPr="002C4D2D">
        <w:rPr>
          <w:rFonts w:eastAsia="MS Mincho"/>
          <w:lang w:eastAsia="ja-JP"/>
        </w:rPr>
        <w:t>UE may assume there is no transmission</w:t>
      </w:r>
    </w:p>
    <w:p w14:paraId="2A23CB4B" w14:textId="6F01509C" w:rsidR="005261FA" w:rsidRDefault="005261FA" w:rsidP="005261FA"/>
    <w:p w14:paraId="207E7440" w14:textId="517B980E" w:rsidR="00856434" w:rsidRDefault="00C43FE1" w:rsidP="005261FA">
      <w:r>
        <w:t xml:space="preserve">In </w:t>
      </w:r>
      <w:r w:rsidR="00043E0D">
        <w:t>our companion</w:t>
      </w:r>
      <w:r>
        <w:t xml:space="preserve"> contribution</w:t>
      </w:r>
      <w:r w:rsidR="002D6410">
        <w:t>s</w:t>
      </w:r>
      <w:r w:rsidR="008B642E">
        <w:t xml:space="preserve"> </w:t>
      </w:r>
      <w:r w:rsidR="008B642E">
        <w:fldChar w:fldCharType="begin"/>
      </w:r>
      <w:r w:rsidR="008B642E">
        <w:instrText xml:space="preserve"> REF _Ref484953837 \n \h </w:instrText>
      </w:r>
      <w:r w:rsidR="008B642E">
        <w:fldChar w:fldCharType="separate"/>
      </w:r>
      <w:r w:rsidR="008B642E">
        <w:t>[4]</w:t>
      </w:r>
      <w:r w:rsidR="008B642E">
        <w:fldChar w:fldCharType="end"/>
      </w:r>
      <w:r w:rsidR="008B642E">
        <w:fldChar w:fldCharType="begin"/>
      </w:r>
      <w:r w:rsidR="008B642E">
        <w:instrText xml:space="preserve"> REF _Ref484947255 \n \h </w:instrText>
      </w:r>
      <w:r w:rsidR="008B642E">
        <w:fldChar w:fldCharType="separate"/>
      </w:r>
      <w:r w:rsidR="008B642E">
        <w:t>[5]</w:t>
      </w:r>
      <w:r w:rsidR="008B642E">
        <w:fldChar w:fldCharType="end"/>
      </w:r>
      <w:r w:rsidR="002D6410">
        <w:t>,</w:t>
      </w:r>
      <w:r>
        <w:t xml:space="preserve"> we discuss our view on the structure </w:t>
      </w:r>
      <w:r w:rsidR="00043E0D">
        <w:t xml:space="preserve">and </w:t>
      </w:r>
      <w:r w:rsidR="00DD6998">
        <w:t>configuration</w:t>
      </w:r>
      <w:r w:rsidR="00043E0D">
        <w:t xml:space="preserve"> </w:t>
      </w:r>
      <w:r w:rsidR="002D6410">
        <w:t xml:space="preserve">as well as the content </w:t>
      </w:r>
      <w:r>
        <w:t>of the group</w:t>
      </w:r>
      <w:r w:rsidR="002D6410">
        <w:t>-</w:t>
      </w:r>
      <w:r>
        <w:t>common PDCCH</w:t>
      </w:r>
      <w:r w:rsidR="00043E0D">
        <w:t xml:space="preserve">. In this </w:t>
      </w:r>
      <w:r w:rsidR="00D139A8">
        <w:t xml:space="preserve">contribution, </w:t>
      </w:r>
      <w:r w:rsidR="00DD6998">
        <w:t>we focus on the corresponding</w:t>
      </w:r>
      <w:r w:rsidR="00043E0D">
        <w:t xml:space="preserve"> UE procedures</w:t>
      </w:r>
      <w:r w:rsidR="00D139A8">
        <w:t xml:space="preserve"> related to the fields in the group-common PDCCH</w:t>
      </w:r>
      <w:r w:rsidR="00043E0D">
        <w:t>.</w:t>
      </w:r>
    </w:p>
    <w:p w14:paraId="623B3C48" w14:textId="36483FFA" w:rsidR="005261FA" w:rsidRPr="005261FA" w:rsidRDefault="005261FA" w:rsidP="005261FA">
      <w:pPr>
        <w:pStyle w:val="Heading1"/>
      </w:pPr>
      <w:r>
        <w:t>Discussion</w:t>
      </w:r>
    </w:p>
    <w:p w14:paraId="0E0C023E" w14:textId="70FF9389" w:rsidR="008B642E" w:rsidRDefault="008B642E" w:rsidP="00A01EA8">
      <w:pPr>
        <w:jc w:val="left"/>
      </w:pPr>
      <w:r>
        <w:t xml:space="preserve">In our companion contribution </w:t>
      </w:r>
      <w:r>
        <w:fldChar w:fldCharType="begin"/>
      </w:r>
      <w:r>
        <w:instrText xml:space="preserve"> REF _Ref484953837 \n \h </w:instrText>
      </w:r>
      <w:r>
        <w:fldChar w:fldCharType="separate"/>
      </w:r>
      <w:r>
        <w:t>[4]</w:t>
      </w:r>
      <w:r>
        <w:fldChar w:fldCharType="end"/>
      </w:r>
      <w:r>
        <w:t>, we expressed our view that the information related to the monitoring of the group-common PDCCH is RRC configured. The information includes the control resource set used for detection of group-common PDDCH if it is different from the one for monitoring common PDCCH, the location and the number of blind decodes as well as the corresponding bandwidth part in case of multiple bandwidth parts. We also proposed that to keep the complexity low, to limit the number of group-common PDDCH to at most one.</w:t>
      </w:r>
    </w:p>
    <w:p w14:paraId="17CBD2CD" w14:textId="426CD75B" w:rsidR="00291355" w:rsidRPr="00291355" w:rsidRDefault="00291355" w:rsidP="00A01EA8">
      <w:pPr>
        <w:jc w:val="left"/>
        <w:rPr>
          <w:b/>
        </w:rPr>
      </w:pPr>
      <w:r w:rsidRPr="00291355">
        <w:rPr>
          <w:b/>
        </w:rPr>
        <w:t>General rules with respect to UE behavior:</w:t>
      </w:r>
    </w:p>
    <w:p w14:paraId="2BB416FC" w14:textId="3999B8A3" w:rsidR="000420BA" w:rsidRDefault="007D2586" w:rsidP="008B642E">
      <w:pPr>
        <w:jc w:val="left"/>
      </w:pPr>
      <w:r>
        <w:t>In the previous meeting</w:t>
      </w:r>
      <w:r w:rsidR="003C69FB">
        <w:t>,</w:t>
      </w:r>
      <w:r>
        <w:t xml:space="preserve"> extensive discussions took place to clarify the UE behavior in case the UE receives conflicting information about a slot or multiple slots where each </w:t>
      </w:r>
      <w:r w:rsidR="00E22CA7">
        <w:t>information affects the</w:t>
      </w:r>
      <w:r>
        <w:t xml:space="preserve"> corresponding behavior differently.</w:t>
      </w:r>
      <w:r w:rsidR="00E22CA7">
        <w:t xml:space="preserve"> First of all, it should be clear that as the general rule, the latest information overrides the previously received information. Secondly, it is the gNB responsibility not to transmit conflicting information. However, the situation may occur if the UE misses to detect some information conveyed by one or more control channels. In that case, after applying the first rule mentioned above, the UE has received multiple information detected at the same time that apply to the same set of slots. Then</w:t>
      </w:r>
      <w:r w:rsidR="00697904">
        <w:t>,</w:t>
      </w:r>
      <w:r w:rsidR="00E22CA7">
        <w:t xml:space="preserve"> the UE </w:t>
      </w:r>
      <w:r w:rsidR="00697904">
        <w:t xml:space="preserve">has to decide which information can overrides the other. In our view, the information received from the UE-specific PDCCH overrides </w:t>
      </w:r>
      <w:r w:rsidR="00E44559">
        <w:t>that received in the group common PDCCH</w:t>
      </w:r>
      <w:r w:rsidR="00697904">
        <w:t>. After that the common PDDCH has the highest priority followed by the information in the group common PDDCH.</w:t>
      </w:r>
      <w:r w:rsidR="00E44559">
        <w:t xml:space="preserve"> Also,</w:t>
      </w:r>
      <w:r w:rsidR="00697904">
        <w:t xml:space="preserve"> the information obtained from RRC configurations holds if it is not overridden by any other information.</w:t>
      </w:r>
      <w:r w:rsidR="00E44559">
        <w:t xml:space="preserve"> However, it should be noted that the UE is not expected to receive conflicting information in the same slot.</w:t>
      </w:r>
    </w:p>
    <w:p w14:paraId="7BC2DE9B" w14:textId="77FFDF89" w:rsidR="00697904" w:rsidRPr="00697904" w:rsidRDefault="00697904" w:rsidP="008B642E">
      <w:pPr>
        <w:jc w:val="left"/>
        <w:rPr>
          <w:b/>
        </w:rPr>
      </w:pPr>
      <w:r w:rsidRPr="00697904">
        <w:rPr>
          <w:b/>
        </w:rPr>
        <w:t>Proposal:</w:t>
      </w:r>
    </w:p>
    <w:p w14:paraId="0A023038" w14:textId="05E96B14" w:rsidR="005C21A5" w:rsidRPr="004C7AF4" w:rsidRDefault="00697904" w:rsidP="004C7AF4">
      <w:pPr>
        <w:pStyle w:val="BodyText"/>
        <w:numPr>
          <w:ilvl w:val="0"/>
          <w:numId w:val="51"/>
        </w:numPr>
      </w:pPr>
      <w:r w:rsidRPr="004C7AF4">
        <w:t xml:space="preserve">The latest </w:t>
      </w:r>
      <w:r w:rsidR="00842299" w:rsidRPr="004C7AF4">
        <w:t xml:space="preserve">received </w:t>
      </w:r>
      <w:r w:rsidRPr="004C7AF4">
        <w:t>information overrides the previously received information for a given slot</w:t>
      </w:r>
      <w:r w:rsidR="00842299" w:rsidRPr="004C7AF4">
        <w:t xml:space="preserve"> or symbol to determine the corresponding UE behaviour</w:t>
      </w:r>
      <w:r w:rsidRPr="004C7AF4">
        <w:t>.</w:t>
      </w:r>
    </w:p>
    <w:p w14:paraId="2E422510" w14:textId="3A40A4EE" w:rsidR="005C21A5" w:rsidRDefault="005C21A5" w:rsidP="00AE553B"/>
    <w:p w14:paraId="30964AB7" w14:textId="126B5D12" w:rsidR="00291355" w:rsidRPr="006F0E6E" w:rsidRDefault="00291355" w:rsidP="00AE553B">
      <w:pPr>
        <w:rPr>
          <w:b/>
          <w:u w:val="single"/>
        </w:rPr>
      </w:pPr>
      <w:r w:rsidRPr="006F0E6E">
        <w:rPr>
          <w:b/>
          <w:u w:val="single"/>
        </w:rPr>
        <w:t>UE behavior with respect to group-common PDCCH fields:</w:t>
      </w:r>
    </w:p>
    <w:p w14:paraId="5D04118E" w14:textId="2CA37D85" w:rsidR="00FF353C" w:rsidRDefault="00FF353C" w:rsidP="00AE553B">
      <w:r>
        <w:lastRenderedPageBreak/>
        <w:t xml:space="preserve">Moreover, in our companion contribution </w:t>
      </w:r>
      <w:r>
        <w:fldChar w:fldCharType="begin"/>
      </w:r>
      <w:r>
        <w:instrText xml:space="preserve"> REF _Ref484947255 \n \h </w:instrText>
      </w:r>
      <w:r>
        <w:fldChar w:fldCharType="separate"/>
      </w:r>
      <w:r>
        <w:t>[5]</w:t>
      </w:r>
      <w:r>
        <w:fldChar w:fldCharType="end"/>
      </w:r>
      <w:r w:rsidR="00665C2F">
        <w:t xml:space="preserve">, </w:t>
      </w:r>
      <w:r>
        <w:t>we introduced new fields for the group-common PDCCH. If based on the above rule, the UE behavior is determined by the group-common PDCCH,</w:t>
      </w:r>
      <w:r w:rsidR="00370D6E">
        <w:t xml:space="preserve"> we</w:t>
      </w:r>
      <w:r>
        <w:t xml:space="preserve"> clarify in the following the corresponding UE behavior as discussed in </w:t>
      </w:r>
      <w:r>
        <w:fldChar w:fldCharType="begin"/>
      </w:r>
      <w:r>
        <w:instrText xml:space="preserve"> REF _Ref484947255 \n \h </w:instrText>
      </w:r>
      <w:r>
        <w:fldChar w:fldCharType="separate"/>
      </w:r>
      <w:r>
        <w:t>[5]</w:t>
      </w:r>
      <w:r>
        <w:fldChar w:fldCharType="end"/>
      </w:r>
      <w:r>
        <w:t>.</w:t>
      </w:r>
    </w:p>
    <w:p w14:paraId="673CB23D" w14:textId="5832A4D8" w:rsidR="00291355" w:rsidRPr="006F0E6E" w:rsidRDefault="00291355" w:rsidP="00291355">
      <w:pPr>
        <w:rPr>
          <w:b/>
        </w:rPr>
      </w:pPr>
      <w:r w:rsidRPr="006F0E6E">
        <w:rPr>
          <w:b/>
        </w:rPr>
        <w:t>Other ‘slot related information’</w:t>
      </w:r>
      <w:r w:rsidR="00C768BB" w:rsidRPr="006F0E6E">
        <w:rPr>
          <w:b/>
        </w:rPr>
        <w:t xml:space="preserve"> as ‘Empty’</w:t>
      </w:r>
      <w:r w:rsidRPr="006F0E6E">
        <w:rPr>
          <w:b/>
        </w:rPr>
        <w:t>:</w:t>
      </w:r>
    </w:p>
    <w:p w14:paraId="1E8EC73F" w14:textId="53691EB3" w:rsidR="00291355" w:rsidRDefault="00C768BB" w:rsidP="00291355">
      <w:r>
        <w:t xml:space="preserve">We proposed in </w:t>
      </w:r>
      <w:r>
        <w:fldChar w:fldCharType="begin"/>
      </w:r>
      <w:r>
        <w:instrText xml:space="preserve"> REF _Ref484947255 \n \h </w:instrText>
      </w:r>
      <w:r>
        <w:fldChar w:fldCharType="separate"/>
      </w:r>
      <w:r>
        <w:t>[5]</w:t>
      </w:r>
      <w:r>
        <w:fldChar w:fldCharType="end"/>
      </w:r>
      <w:r>
        <w:t xml:space="preserve"> that</w:t>
      </w:r>
      <w:r w:rsidR="00291355">
        <w:t xml:space="preserve"> the ‘slot related information’ can be used to indicate to the UE that the addressed slot(s) in the group-common PDCCH are ‘Empty’. In this case, the UE assumes that there is no transmission from the serving gNB and no UL transmission fr</w:t>
      </w:r>
      <w:r w:rsidR="00370D6E">
        <w:t>o</w:t>
      </w:r>
      <w:r w:rsidR="00291355">
        <w:t>m the UEs served by the same gNB. The benefit with this field is that if such situation occurs that no DL or UL transmissions is planned for a certain duration of times, for example during the gap between DL and UL transmissions, UEs can use this information to perform</w:t>
      </w:r>
      <w:r w:rsidR="00370D6E">
        <w:t xml:space="preserve"> interference measurements</w:t>
      </w:r>
      <w:r w:rsidR="00291355">
        <w:t>. Therefore, we propose the following:</w:t>
      </w:r>
    </w:p>
    <w:p w14:paraId="667E83BE" w14:textId="77777777" w:rsidR="00291355" w:rsidRPr="00810090" w:rsidRDefault="00291355" w:rsidP="00291355">
      <w:pPr>
        <w:rPr>
          <w:b/>
        </w:rPr>
      </w:pPr>
      <w:r w:rsidRPr="00810090">
        <w:rPr>
          <w:b/>
        </w:rPr>
        <w:t>Proposal:</w:t>
      </w:r>
    </w:p>
    <w:p w14:paraId="45B4D446" w14:textId="02CB8B9A" w:rsidR="00C768BB" w:rsidRDefault="00C768BB" w:rsidP="00C768BB">
      <w:pPr>
        <w:numPr>
          <w:ilvl w:val="0"/>
          <w:numId w:val="53"/>
        </w:numPr>
        <w:overflowPunct/>
        <w:autoSpaceDE/>
        <w:autoSpaceDN/>
        <w:adjustRightInd/>
        <w:spacing w:after="0"/>
        <w:jc w:val="left"/>
        <w:textAlignment w:val="auto"/>
        <w:rPr>
          <w:rFonts w:eastAsia="MS Mincho"/>
          <w:lang w:eastAsia="ja-JP"/>
        </w:rPr>
      </w:pPr>
      <w:r>
        <w:rPr>
          <w:rFonts w:eastAsia="MS Mincho"/>
          <w:lang w:eastAsia="ja-JP"/>
        </w:rPr>
        <w:t>The</w:t>
      </w:r>
      <w:r w:rsidRPr="002C4D2D">
        <w:rPr>
          <w:rFonts w:eastAsia="MS Mincho"/>
          <w:lang w:eastAsia="ja-JP"/>
        </w:rPr>
        <w:t xml:space="preserve"> ‘Sl</w:t>
      </w:r>
      <w:r>
        <w:rPr>
          <w:rFonts w:eastAsia="MS Mincho"/>
          <w:lang w:eastAsia="ja-JP"/>
        </w:rPr>
        <w:t xml:space="preserve">ot format related information’ field, can be can tagged as ‘Empty in addition to ‘Unknown’, ‘DL’ and </w:t>
      </w:r>
      <w:r w:rsidR="00370D6E">
        <w:rPr>
          <w:rFonts w:eastAsia="MS Mincho"/>
          <w:lang w:eastAsia="ja-JP"/>
        </w:rPr>
        <w:t>‘</w:t>
      </w:r>
      <w:r>
        <w:rPr>
          <w:rFonts w:eastAsia="MS Mincho"/>
          <w:lang w:eastAsia="ja-JP"/>
        </w:rPr>
        <w:t>UL’.</w:t>
      </w:r>
    </w:p>
    <w:p w14:paraId="4540508E" w14:textId="77777777" w:rsidR="00C768BB" w:rsidRPr="002C4D2D" w:rsidRDefault="00C768BB" w:rsidP="00C768BB">
      <w:pPr>
        <w:numPr>
          <w:ilvl w:val="1"/>
          <w:numId w:val="53"/>
        </w:numPr>
        <w:overflowPunct/>
        <w:autoSpaceDE/>
        <w:autoSpaceDN/>
        <w:adjustRightInd/>
        <w:spacing w:after="0"/>
        <w:jc w:val="left"/>
        <w:textAlignment w:val="auto"/>
        <w:rPr>
          <w:rFonts w:eastAsia="MS Mincho"/>
          <w:lang w:eastAsia="ja-JP"/>
        </w:rPr>
      </w:pPr>
      <w:r>
        <w:rPr>
          <w:rFonts w:eastAsia="MS Mincho"/>
          <w:lang w:eastAsia="ja-JP"/>
        </w:rPr>
        <w:t>For the slot(s) tagged as ‘Empty’, the UE assumes that there is no DL or UL transmissions scheduled by its serving gNB.</w:t>
      </w:r>
    </w:p>
    <w:p w14:paraId="44624792" w14:textId="77777777" w:rsidR="00291355" w:rsidRDefault="00291355" w:rsidP="00291355">
      <w:pPr>
        <w:pStyle w:val="BodyText"/>
        <w:rPr>
          <w:rFonts w:cs="Arial"/>
        </w:rPr>
      </w:pPr>
    </w:p>
    <w:p w14:paraId="096078FE" w14:textId="77777777" w:rsidR="00291355" w:rsidRPr="006F0E6E" w:rsidRDefault="00291355" w:rsidP="00291355">
      <w:pPr>
        <w:pStyle w:val="BodyText"/>
        <w:rPr>
          <w:rFonts w:cs="Arial"/>
          <w:b/>
        </w:rPr>
      </w:pPr>
      <w:r w:rsidRPr="006F0E6E">
        <w:rPr>
          <w:rFonts w:cs="Arial"/>
          <w:b/>
        </w:rPr>
        <w:t>Additional SR resources:</w:t>
      </w:r>
    </w:p>
    <w:p w14:paraId="550E70A7" w14:textId="645AB41D" w:rsidR="00291355" w:rsidRPr="00872FA7" w:rsidRDefault="00C768BB" w:rsidP="00291355">
      <w:pPr>
        <w:pStyle w:val="BodyText"/>
        <w:rPr>
          <w:rFonts w:cs="Arial"/>
        </w:rPr>
      </w:pPr>
      <w:r>
        <w:rPr>
          <w:rFonts w:cs="Arial"/>
        </w:rPr>
        <w:t xml:space="preserve">We propose in </w:t>
      </w:r>
      <w:r>
        <w:rPr>
          <w:rFonts w:cs="Arial"/>
        </w:rPr>
        <w:fldChar w:fldCharType="begin"/>
      </w:r>
      <w:r>
        <w:rPr>
          <w:rFonts w:cs="Arial"/>
        </w:rPr>
        <w:instrText xml:space="preserve"> REF _Ref484947255 \n \h </w:instrText>
      </w:r>
      <w:r>
        <w:rPr>
          <w:rFonts w:cs="Arial"/>
        </w:rPr>
      </w:r>
      <w:r>
        <w:rPr>
          <w:rFonts w:cs="Arial"/>
        </w:rPr>
        <w:fldChar w:fldCharType="separate"/>
      </w:r>
      <w:r>
        <w:rPr>
          <w:rFonts w:cs="Arial"/>
        </w:rPr>
        <w:t>[5]</w:t>
      </w:r>
      <w:r>
        <w:rPr>
          <w:rFonts w:cs="Arial"/>
        </w:rPr>
        <w:fldChar w:fldCharType="end"/>
      </w:r>
      <w:r>
        <w:rPr>
          <w:rFonts w:cs="Arial"/>
        </w:rPr>
        <w:t xml:space="preserve"> to signal </w:t>
      </w:r>
      <w:r w:rsidR="00291355" w:rsidRPr="00872FA7">
        <w:rPr>
          <w:rFonts w:cs="Arial"/>
          <w:color w:val="000000"/>
        </w:rPr>
        <w:t>additional SR resources by indicating them in the ‘group common PDCCH’.</w:t>
      </w:r>
      <w:r w:rsidR="00291355" w:rsidRPr="00872FA7">
        <w:rPr>
          <w:rFonts w:cs="Arial"/>
        </w:rPr>
        <w:t xml:space="preserve"> </w:t>
      </w:r>
      <w:r w:rsidR="00291355" w:rsidRPr="00872FA7">
        <w:rPr>
          <w:rFonts w:cs="Arial"/>
          <w:color w:val="000000"/>
        </w:rPr>
        <w:t>The additional SR resources are useful to provide lower latency as they are typically provided "in between" the periodically occurring normal resources.</w:t>
      </w:r>
      <w:r w:rsidR="00291355">
        <w:rPr>
          <w:rFonts w:cs="Arial"/>
          <w:color w:val="000000"/>
        </w:rPr>
        <w:t xml:space="preserve"> There resources can be periodic or aperiodic configured resources.</w:t>
      </w:r>
    </w:p>
    <w:p w14:paraId="2604A258" w14:textId="77777777" w:rsidR="00291355" w:rsidRPr="003631C4" w:rsidRDefault="00291355" w:rsidP="00291355">
      <w:pPr>
        <w:pStyle w:val="BodyText"/>
        <w:rPr>
          <w:b/>
        </w:rPr>
      </w:pPr>
      <w:r w:rsidRPr="003631C4">
        <w:rPr>
          <w:b/>
        </w:rPr>
        <w:t>Proposal:</w:t>
      </w:r>
    </w:p>
    <w:p w14:paraId="1AD4BE1F" w14:textId="54695AE6" w:rsidR="00291355" w:rsidRDefault="00291355" w:rsidP="00291355">
      <w:pPr>
        <w:pStyle w:val="BodyText"/>
        <w:numPr>
          <w:ilvl w:val="0"/>
          <w:numId w:val="51"/>
        </w:numPr>
      </w:pPr>
      <w:r>
        <w:t>SR resources can be dynamically signaled in the ‘group common PDCCH’ in addition to the semi-statically configured SR resources.</w:t>
      </w:r>
    </w:p>
    <w:p w14:paraId="68D10591" w14:textId="0514818C" w:rsidR="00291355" w:rsidRPr="00AE553B" w:rsidRDefault="00291355" w:rsidP="00291355">
      <w:pPr>
        <w:pStyle w:val="BodyText"/>
        <w:numPr>
          <w:ilvl w:val="0"/>
          <w:numId w:val="51"/>
        </w:numPr>
      </w:pPr>
      <w:r>
        <w:t>When the UE receives by group-common PDDCH SR resources in addition to the semi-statically configured SR resources, the UE can utilize those resources for initiating SR.</w:t>
      </w:r>
    </w:p>
    <w:p w14:paraId="69422E65" w14:textId="3C92F320" w:rsidR="00291355" w:rsidRDefault="00291355" w:rsidP="00291355"/>
    <w:p w14:paraId="0D103D7D" w14:textId="77777777" w:rsidR="00291355" w:rsidRPr="000A58F9" w:rsidRDefault="00291355" w:rsidP="00291355">
      <w:pPr>
        <w:pStyle w:val="ListParagraph"/>
        <w:rPr>
          <w:lang w:val="en-GB"/>
        </w:rPr>
      </w:pPr>
    </w:p>
    <w:p w14:paraId="43138A40" w14:textId="0682268C" w:rsidR="00291355" w:rsidRPr="006F0E6E" w:rsidRDefault="00291355" w:rsidP="00291355">
      <w:pPr>
        <w:rPr>
          <w:b/>
        </w:rPr>
      </w:pPr>
      <w:r w:rsidRPr="006F0E6E">
        <w:rPr>
          <w:b/>
        </w:rPr>
        <w:t>De-activate configured transmissions:</w:t>
      </w:r>
    </w:p>
    <w:p w14:paraId="5FAB88AC" w14:textId="2A331D42" w:rsidR="00291355" w:rsidRDefault="00C505FC" w:rsidP="00291355">
      <w:r>
        <w:t xml:space="preserve">Additionally, we propose in </w:t>
      </w:r>
      <w:r>
        <w:fldChar w:fldCharType="begin"/>
      </w:r>
      <w:r>
        <w:instrText xml:space="preserve"> REF _Ref484947255 \n \h </w:instrText>
      </w:r>
      <w:r>
        <w:fldChar w:fldCharType="separate"/>
      </w:r>
      <w:r>
        <w:t>[5]</w:t>
      </w:r>
      <w:r>
        <w:fldChar w:fldCharType="end"/>
      </w:r>
      <w:r>
        <w:t>, t</w:t>
      </w:r>
      <w:r w:rsidR="00291355">
        <w:t xml:space="preserve">he resources that are used for configured transmissions such as periodic CSI-RS transmission in DL or periodic CSI reporting in UL, can be occasionally used for other transmission such as transmission of critical information. If the direction of these transmissions is the same as the configured transmission, the gNB can indicate to UE that the configured transmission is de-activated in DL or UL. </w:t>
      </w:r>
    </w:p>
    <w:p w14:paraId="52A71D01" w14:textId="4C487B50" w:rsidR="00291355" w:rsidRDefault="00291355" w:rsidP="00291355">
      <w:r w:rsidRPr="000A58F9">
        <w:rPr>
          <w:b/>
        </w:rPr>
        <w:t>Proposal:</w:t>
      </w:r>
    </w:p>
    <w:p w14:paraId="70108621" w14:textId="77777777" w:rsidR="00291355" w:rsidRPr="004C7AF4" w:rsidRDefault="00291355" w:rsidP="00291355">
      <w:pPr>
        <w:pStyle w:val="ListParagraph"/>
        <w:numPr>
          <w:ilvl w:val="0"/>
          <w:numId w:val="56"/>
        </w:numPr>
        <w:rPr>
          <w:lang w:val="en-GB"/>
        </w:rPr>
      </w:pPr>
      <w:r w:rsidRPr="004C7AF4">
        <w:rPr>
          <w:lang w:val="en-GB"/>
        </w:rPr>
        <w:t>Configured transmissions can be temporarily deactivated by the group-common PDCCH.</w:t>
      </w:r>
    </w:p>
    <w:p w14:paraId="3E5FD23B" w14:textId="7F1FD53D" w:rsidR="0017413F" w:rsidRPr="004C7AF4" w:rsidRDefault="0017413F" w:rsidP="00291355">
      <w:pPr>
        <w:pStyle w:val="ListParagraph"/>
        <w:numPr>
          <w:ilvl w:val="0"/>
          <w:numId w:val="56"/>
        </w:numPr>
        <w:rPr>
          <w:lang w:val="en-GB"/>
        </w:rPr>
      </w:pPr>
      <w:r w:rsidRPr="004C7AF4">
        <w:rPr>
          <w:lang w:val="en-GB"/>
        </w:rPr>
        <w:t xml:space="preserve">When the UE receives the deactivation command for the configured transmission, the UE does not attempt to transmit </w:t>
      </w:r>
      <w:r w:rsidR="00370D6E" w:rsidRPr="004C7AF4">
        <w:rPr>
          <w:lang w:val="en-GB"/>
        </w:rPr>
        <w:t xml:space="preserve">or receive </w:t>
      </w:r>
      <w:r w:rsidRPr="004C7AF4">
        <w:rPr>
          <w:lang w:val="en-GB"/>
        </w:rPr>
        <w:t>as configured in the slots.</w:t>
      </w:r>
    </w:p>
    <w:p w14:paraId="7056912C" w14:textId="77777777" w:rsidR="00291355" w:rsidRPr="00C505FC" w:rsidRDefault="00291355" w:rsidP="00291355">
      <w:pPr>
        <w:rPr>
          <w:lang w:val="en-GB"/>
        </w:rPr>
      </w:pPr>
    </w:p>
    <w:p w14:paraId="440C29EA" w14:textId="77777777" w:rsidR="00291355" w:rsidRPr="00C505FC" w:rsidRDefault="00291355" w:rsidP="00291355">
      <w:r w:rsidRPr="006F0E6E">
        <w:rPr>
          <w:b/>
        </w:rPr>
        <w:t>Reserved bits:</w:t>
      </w:r>
      <w:r w:rsidRPr="00C505FC">
        <w:t xml:space="preserve"> </w:t>
      </w:r>
    </w:p>
    <w:p w14:paraId="21B0C343" w14:textId="6422556C" w:rsidR="00291355" w:rsidRDefault="00C768BB" w:rsidP="00291355">
      <w:r>
        <w:t xml:space="preserve">Finally, we proposed in </w:t>
      </w:r>
      <w:r>
        <w:fldChar w:fldCharType="begin"/>
      </w:r>
      <w:r>
        <w:instrText xml:space="preserve"> REF _Ref484947255 \n \h </w:instrText>
      </w:r>
      <w:r>
        <w:fldChar w:fldCharType="separate"/>
      </w:r>
      <w:r>
        <w:t>[5]</w:t>
      </w:r>
      <w:r>
        <w:fldChar w:fldCharType="end"/>
      </w:r>
      <w:r>
        <w:t xml:space="preserve"> </w:t>
      </w:r>
      <w:r w:rsidR="00291355">
        <w:t>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153F9F3C" w14:textId="77777777" w:rsidR="00291355" w:rsidRPr="003631C4" w:rsidRDefault="00291355" w:rsidP="00291355">
      <w:pPr>
        <w:pStyle w:val="BodyText"/>
        <w:rPr>
          <w:b/>
        </w:rPr>
      </w:pPr>
      <w:r>
        <w:t xml:space="preserve"> </w:t>
      </w:r>
      <w:r w:rsidRPr="003631C4">
        <w:rPr>
          <w:b/>
        </w:rPr>
        <w:t>Proposal:</w:t>
      </w:r>
    </w:p>
    <w:p w14:paraId="44CC759F" w14:textId="21C43531" w:rsidR="00291355" w:rsidRDefault="00291355" w:rsidP="00291355">
      <w:pPr>
        <w:pStyle w:val="BodyText"/>
        <w:numPr>
          <w:ilvl w:val="0"/>
          <w:numId w:val="51"/>
        </w:numPr>
      </w:pPr>
      <w:r>
        <w:t>Reserve a few bits in the payload of</w:t>
      </w:r>
      <w:r w:rsidRPr="001A6252">
        <w:t xml:space="preserve"> the group</w:t>
      </w:r>
      <w:r>
        <w:t>-</w:t>
      </w:r>
      <w:r w:rsidRPr="001A6252">
        <w:t xml:space="preserve">common PDCCH </w:t>
      </w:r>
      <w:r>
        <w:t>for future compatibility purposes.</w:t>
      </w:r>
    </w:p>
    <w:p w14:paraId="2706F745" w14:textId="78F108B7" w:rsidR="00291355" w:rsidRDefault="0017413F" w:rsidP="006F0E6E">
      <w:pPr>
        <w:pStyle w:val="BodyText"/>
        <w:numPr>
          <w:ilvl w:val="0"/>
          <w:numId w:val="51"/>
        </w:numPr>
      </w:pPr>
      <w:r>
        <w:t>The reserved bits do not require any action from the UE.</w:t>
      </w:r>
    </w:p>
    <w:p w14:paraId="52194F8F" w14:textId="0EAB3294" w:rsidR="00AE553B" w:rsidRDefault="00AE553B" w:rsidP="00AE553B">
      <w:pPr>
        <w:pStyle w:val="Heading1"/>
      </w:pPr>
      <w:r>
        <w:t>Conclusion</w:t>
      </w:r>
    </w:p>
    <w:p w14:paraId="00F5BBCA" w14:textId="4B47DB30" w:rsidR="00C505FC" w:rsidRDefault="00A635A6" w:rsidP="00C505FC">
      <w:r>
        <w:t>In this contribution</w:t>
      </w:r>
      <w:r w:rsidR="00A01EA8">
        <w:t>,</w:t>
      </w:r>
      <w:r>
        <w:t xml:space="preserve"> we discussed our view </w:t>
      </w:r>
      <w:r w:rsidR="00C505FC">
        <w:t>on the UE procedures related to the fields in the group-common PDCCH and proposed the following:</w:t>
      </w:r>
    </w:p>
    <w:p w14:paraId="58ECC8E7" w14:textId="77777777" w:rsidR="00C505FC" w:rsidRPr="00697904" w:rsidRDefault="00C505FC" w:rsidP="00C505FC">
      <w:pPr>
        <w:jc w:val="left"/>
        <w:rPr>
          <w:b/>
        </w:rPr>
      </w:pPr>
      <w:r w:rsidRPr="00697904">
        <w:rPr>
          <w:b/>
        </w:rPr>
        <w:lastRenderedPageBreak/>
        <w:t>Proposal:</w:t>
      </w:r>
    </w:p>
    <w:p w14:paraId="0EE42E85" w14:textId="77777777" w:rsidR="00C505FC" w:rsidRPr="004C7AF4" w:rsidRDefault="00C505FC" w:rsidP="004C7AF4">
      <w:pPr>
        <w:numPr>
          <w:ilvl w:val="0"/>
          <w:numId w:val="53"/>
        </w:numPr>
        <w:overflowPunct/>
        <w:autoSpaceDE/>
        <w:autoSpaceDN/>
        <w:adjustRightInd/>
        <w:spacing w:after="0"/>
        <w:jc w:val="left"/>
        <w:textAlignment w:val="auto"/>
        <w:rPr>
          <w:rFonts w:eastAsia="MS Mincho"/>
          <w:lang w:eastAsia="ja-JP"/>
        </w:rPr>
      </w:pPr>
      <w:r>
        <w:rPr>
          <w:lang w:val="en-GB"/>
        </w:rPr>
        <w:t>T</w:t>
      </w:r>
      <w:r w:rsidRPr="004C7AF4">
        <w:rPr>
          <w:rFonts w:eastAsia="MS Mincho"/>
          <w:lang w:eastAsia="ja-JP"/>
        </w:rPr>
        <w:t>he latest received information overrides the previously received information for a given slot or symbol to determine the corresponding UE behaviour.</w:t>
      </w:r>
    </w:p>
    <w:p w14:paraId="2A3783E5" w14:textId="77777777" w:rsidR="00C505FC" w:rsidRPr="00810090" w:rsidRDefault="00C505FC" w:rsidP="00C505FC">
      <w:pPr>
        <w:rPr>
          <w:b/>
        </w:rPr>
      </w:pPr>
      <w:r w:rsidRPr="00810090">
        <w:rPr>
          <w:b/>
        </w:rPr>
        <w:t>Proposal:</w:t>
      </w:r>
    </w:p>
    <w:p w14:paraId="2ECBA556" w14:textId="77777777" w:rsidR="00C505FC" w:rsidRDefault="00C505FC" w:rsidP="00C505FC">
      <w:pPr>
        <w:numPr>
          <w:ilvl w:val="0"/>
          <w:numId w:val="53"/>
        </w:numPr>
        <w:overflowPunct/>
        <w:autoSpaceDE/>
        <w:autoSpaceDN/>
        <w:adjustRightInd/>
        <w:spacing w:after="0"/>
        <w:jc w:val="left"/>
        <w:textAlignment w:val="auto"/>
        <w:rPr>
          <w:rFonts w:eastAsia="MS Mincho"/>
          <w:lang w:eastAsia="ja-JP"/>
        </w:rPr>
      </w:pPr>
      <w:r>
        <w:rPr>
          <w:rFonts w:eastAsia="MS Mincho"/>
          <w:lang w:eastAsia="ja-JP"/>
        </w:rPr>
        <w:t>The</w:t>
      </w:r>
      <w:r w:rsidRPr="002C4D2D">
        <w:rPr>
          <w:rFonts w:eastAsia="MS Mincho"/>
          <w:lang w:eastAsia="ja-JP"/>
        </w:rPr>
        <w:t xml:space="preserve"> ‘Sl</w:t>
      </w:r>
      <w:r>
        <w:rPr>
          <w:rFonts w:eastAsia="MS Mincho"/>
          <w:lang w:eastAsia="ja-JP"/>
        </w:rPr>
        <w:t>ot format related information’ field, can be can tagged as ‘Empty in addition to ‘Unknown’, ‘DL’ and *UL’.</w:t>
      </w:r>
    </w:p>
    <w:p w14:paraId="5592901C" w14:textId="77777777" w:rsidR="00C505FC" w:rsidRPr="002C4D2D" w:rsidRDefault="00C505FC" w:rsidP="00C505FC">
      <w:pPr>
        <w:numPr>
          <w:ilvl w:val="1"/>
          <w:numId w:val="53"/>
        </w:numPr>
        <w:overflowPunct/>
        <w:autoSpaceDE/>
        <w:autoSpaceDN/>
        <w:adjustRightInd/>
        <w:spacing w:after="0"/>
        <w:jc w:val="left"/>
        <w:textAlignment w:val="auto"/>
        <w:rPr>
          <w:rFonts w:eastAsia="MS Mincho"/>
          <w:lang w:eastAsia="ja-JP"/>
        </w:rPr>
      </w:pPr>
      <w:r>
        <w:rPr>
          <w:rFonts w:eastAsia="MS Mincho"/>
          <w:lang w:eastAsia="ja-JP"/>
        </w:rPr>
        <w:t>For the slot(s) tagged as ‘Empty’, the UE assumes that there is no DL or UL transmissions scheduled by its serving gNB.</w:t>
      </w:r>
    </w:p>
    <w:p w14:paraId="6AF13D1D" w14:textId="77777777" w:rsidR="00C505FC" w:rsidRPr="003631C4" w:rsidRDefault="00C505FC" w:rsidP="00C505FC">
      <w:pPr>
        <w:pStyle w:val="BodyText"/>
        <w:rPr>
          <w:b/>
        </w:rPr>
      </w:pPr>
      <w:r w:rsidRPr="003631C4">
        <w:rPr>
          <w:b/>
        </w:rPr>
        <w:t>Proposal:</w:t>
      </w:r>
    </w:p>
    <w:p w14:paraId="43C269C3" w14:textId="77777777" w:rsidR="00C505FC" w:rsidRDefault="00C505FC" w:rsidP="00C505FC">
      <w:pPr>
        <w:pStyle w:val="BodyText"/>
        <w:numPr>
          <w:ilvl w:val="0"/>
          <w:numId w:val="51"/>
        </w:numPr>
      </w:pPr>
      <w:r>
        <w:t>SR resources can be dynamically signaled in the ‘group common PDCCH’ in addition to the semi-statically configured SR resources.</w:t>
      </w:r>
    </w:p>
    <w:p w14:paraId="14602ACB" w14:textId="77777777" w:rsidR="00C505FC" w:rsidRPr="00AE553B" w:rsidRDefault="00C505FC" w:rsidP="00C505FC">
      <w:pPr>
        <w:pStyle w:val="BodyText"/>
        <w:numPr>
          <w:ilvl w:val="0"/>
          <w:numId w:val="51"/>
        </w:numPr>
      </w:pPr>
      <w:r>
        <w:t>When the UE receives by group-common PDDCH SR resources in addition to the semi-statically configured SR resources, the UE can utilize those resources for initiating SR.</w:t>
      </w:r>
    </w:p>
    <w:p w14:paraId="0F7572F2" w14:textId="77777777" w:rsidR="00C505FC" w:rsidRDefault="00C505FC" w:rsidP="00C505FC">
      <w:r w:rsidRPr="000A58F9">
        <w:rPr>
          <w:b/>
        </w:rPr>
        <w:t>Proposal:</w:t>
      </w:r>
    </w:p>
    <w:p w14:paraId="27C75E18" w14:textId="77777777" w:rsidR="00C505FC" w:rsidRPr="004C7AF4" w:rsidRDefault="00C505FC" w:rsidP="00C505FC">
      <w:pPr>
        <w:pStyle w:val="ListParagraph"/>
        <w:numPr>
          <w:ilvl w:val="0"/>
          <w:numId w:val="56"/>
        </w:numPr>
        <w:rPr>
          <w:rFonts w:ascii="Arial" w:hAnsi="Arial" w:cs="Arial"/>
          <w:sz w:val="20"/>
          <w:szCs w:val="20"/>
          <w:lang w:val="en-GB"/>
        </w:rPr>
      </w:pPr>
      <w:bookmarkStart w:id="0" w:name="_GoBack"/>
      <w:bookmarkEnd w:id="0"/>
      <w:r w:rsidRPr="004C7AF4">
        <w:rPr>
          <w:rFonts w:ascii="Arial" w:hAnsi="Arial" w:cs="Arial"/>
          <w:sz w:val="20"/>
          <w:szCs w:val="20"/>
          <w:lang w:val="en-GB"/>
        </w:rPr>
        <w:t>Configured transmissions can be temporarily deactivated by the group-common PDCCH.</w:t>
      </w:r>
    </w:p>
    <w:p w14:paraId="267190B1" w14:textId="78632312" w:rsidR="00C505FC" w:rsidRPr="004C7AF4" w:rsidRDefault="00C505FC" w:rsidP="00C505FC">
      <w:pPr>
        <w:pStyle w:val="ListParagraph"/>
        <w:numPr>
          <w:ilvl w:val="0"/>
          <w:numId w:val="56"/>
        </w:numPr>
        <w:rPr>
          <w:rFonts w:ascii="Arial" w:hAnsi="Arial" w:cs="Arial"/>
          <w:sz w:val="20"/>
          <w:szCs w:val="20"/>
          <w:lang w:val="en-GB"/>
        </w:rPr>
      </w:pPr>
      <w:r w:rsidRPr="004C7AF4">
        <w:rPr>
          <w:rFonts w:ascii="Arial" w:hAnsi="Arial" w:cs="Arial"/>
          <w:sz w:val="20"/>
          <w:szCs w:val="20"/>
          <w:lang w:val="en-GB"/>
        </w:rPr>
        <w:t xml:space="preserve">When the UE receives the deactivation command for the configured transmission, the UE does not attempt to transmit </w:t>
      </w:r>
      <w:r w:rsidR="00370D6E" w:rsidRPr="004C7AF4">
        <w:rPr>
          <w:rFonts w:ascii="Arial" w:hAnsi="Arial" w:cs="Arial"/>
          <w:sz w:val="20"/>
          <w:szCs w:val="20"/>
          <w:lang w:val="en-GB"/>
        </w:rPr>
        <w:t xml:space="preserve">or receive </w:t>
      </w:r>
      <w:r w:rsidRPr="004C7AF4">
        <w:rPr>
          <w:rFonts w:ascii="Arial" w:hAnsi="Arial" w:cs="Arial"/>
          <w:sz w:val="20"/>
          <w:szCs w:val="20"/>
          <w:lang w:val="en-GB"/>
        </w:rPr>
        <w:t xml:space="preserve">as configured in the slots </w:t>
      </w:r>
    </w:p>
    <w:p w14:paraId="40DB0EB3" w14:textId="52D79479" w:rsidR="00C505FC" w:rsidRPr="003631C4" w:rsidRDefault="00C505FC" w:rsidP="00C505FC">
      <w:pPr>
        <w:pStyle w:val="BodyText"/>
        <w:rPr>
          <w:b/>
        </w:rPr>
      </w:pPr>
      <w:r w:rsidRPr="003631C4">
        <w:rPr>
          <w:b/>
        </w:rPr>
        <w:t>Proposal:</w:t>
      </w:r>
    </w:p>
    <w:p w14:paraId="2ECFC45E" w14:textId="77777777" w:rsidR="00C505FC" w:rsidRDefault="00C505FC" w:rsidP="00C505FC">
      <w:pPr>
        <w:pStyle w:val="BodyText"/>
        <w:numPr>
          <w:ilvl w:val="0"/>
          <w:numId w:val="51"/>
        </w:numPr>
      </w:pPr>
      <w:r>
        <w:t>Reserve a few bits in the payload of</w:t>
      </w:r>
      <w:r w:rsidRPr="001A6252">
        <w:t xml:space="preserve"> the group</w:t>
      </w:r>
      <w:r>
        <w:t>-</w:t>
      </w:r>
      <w:r w:rsidRPr="001A6252">
        <w:t xml:space="preserve">common PDCCH </w:t>
      </w:r>
      <w:r>
        <w:t>for future compatibility purposes.</w:t>
      </w:r>
    </w:p>
    <w:p w14:paraId="73AD0DBB" w14:textId="77777777" w:rsidR="00C505FC" w:rsidRDefault="00C505FC" w:rsidP="00C505FC">
      <w:pPr>
        <w:pStyle w:val="BodyText"/>
        <w:numPr>
          <w:ilvl w:val="0"/>
          <w:numId w:val="51"/>
        </w:numPr>
      </w:pPr>
      <w:r>
        <w:t>The reserved bits do not require any action from the UE.</w:t>
      </w:r>
    </w:p>
    <w:p w14:paraId="7FF52806" w14:textId="77777777" w:rsidR="00C505FC" w:rsidRDefault="00C505FC" w:rsidP="00C505FC"/>
    <w:p w14:paraId="3CA25FCB" w14:textId="67E15E7F" w:rsidR="00F507D1" w:rsidRPr="00CE0424" w:rsidRDefault="00F507D1" w:rsidP="0009033B">
      <w:pPr>
        <w:pStyle w:val="Heading1"/>
      </w:pPr>
      <w:bookmarkStart w:id="1" w:name="_In-sequence_SDU_delivery"/>
      <w:bookmarkEnd w:id="1"/>
      <w:r w:rsidRPr="00CE0424">
        <w:t>References</w:t>
      </w:r>
    </w:p>
    <w:p w14:paraId="5A33C065" w14:textId="647F8DBE" w:rsidR="00286C66" w:rsidRDefault="00286C66" w:rsidP="003B365D">
      <w:pPr>
        <w:pStyle w:val="Reference"/>
      </w:pPr>
      <w:bookmarkStart w:id="2" w:name="_Ref473637085"/>
      <w:bookmarkStart w:id="3" w:name="_Ref477814154"/>
      <w:bookmarkStart w:id="4" w:name="_Ref470613638"/>
      <w:bookmarkStart w:id="5" w:name="_Ref465931227"/>
      <w:bookmarkStart w:id="6" w:name="_Ref458515583"/>
      <w:bookmarkStart w:id="7" w:name="_Ref174151459"/>
      <w:bookmarkStart w:id="8" w:name="_Ref189809556"/>
      <w:bookmarkStart w:id="9" w:name="_Ref458165837"/>
      <w:r>
        <w:t>R1-1612908</w:t>
      </w:r>
      <w:r>
        <w:tab/>
      </w:r>
      <w:r>
        <w:tab/>
        <w:t>Summary of e-mail discussion</w:t>
      </w:r>
      <w:r w:rsidR="00D73155">
        <w:t>s in downlink control signaling,</w:t>
      </w:r>
      <w:r>
        <w:t xml:space="preserve"> Ericsson</w:t>
      </w:r>
      <w:bookmarkEnd w:id="2"/>
      <w:bookmarkEnd w:id="3"/>
    </w:p>
    <w:p w14:paraId="5E67E552" w14:textId="77777777" w:rsidR="008B642E" w:rsidRPr="002B35C6" w:rsidRDefault="0059685C" w:rsidP="008B642E">
      <w:pPr>
        <w:pStyle w:val="Reference"/>
      </w:pPr>
      <w:bookmarkStart w:id="10" w:name="_Ref473637092"/>
      <w:r w:rsidRPr="002B35C6">
        <w:t>C</w:t>
      </w:r>
      <w:r w:rsidR="004C5E10" w:rsidRPr="002B35C6">
        <w:t>hairman</w:t>
      </w:r>
      <w:r w:rsidR="007F26F5" w:rsidRPr="002B35C6">
        <w:t>’s</w:t>
      </w:r>
      <w:r w:rsidR="004C5E10" w:rsidRPr="002B35C6">
        <w:t xml:space="preserve"> </w:t>
      </w:r>
      <w:r w:rsidR="007F26F5" w:rsidRPr="002B35C6">
        <w:t>N</w:t>
      </w:r>
      <w:r w:rsidR="004C5E10" w:rsidRPr="002B35C6">
        <w:t xml:space="preserve">otes, </w:t>
      </w:r>
      <w:r w:rsidR="008B642E" w:rsidRPr="002B35C6">
        <w:t>3GPP TSG RAN WG1 NR Ad-Hoc Meeting #1</w:t>
      </w:r>
    </w:p>
    <w:p w14:paraId="52D5681C" w14:textId="77777777" w:rsidR="008B642E" w:rsidRPr="002B35C6" w:rsidRDefault="008B642E" w:rsidP="008B642E">
      <w:pPr>
        <w:pStyle w:val="Reference"/>
      </w:pPr>
      <w:bookmarkStart w:id="11" w:name="_Ref484868330"/>
      <w:r w:rsidRPr="002B35C6">
        <w:t>Chairman’s Notes, 3GPP TSG RAN WG1 Meeting #89</w:t>
      </w:r>
      <w:bookmarkEnd w:id="11"/>
    </w:p>
    <w:p w14:paraId="6007D489" w14:textId="23BA0945" w:rsidR="008B642E" w:rsidRPr="002B35C6" w:rsidRDefault="002B35C6" w:rsidP="008B642E">
      <w:pPr>
        <w:pStyle w:val="Reference"/>
      </w:pPr>
      <w:bookmarkStart w:id="12" w:name="_Ref484953837"/>
      <w:r w:rsidRPr="002B35C6">
        <w:t>R1-1711483</w:t>
      </w:r>
      <w:r w:rsidR="008B642E" w:rsidRPr="002B35C6">
        <w:tab/>
      </w:r>
      <w:r w:rsidR="008B642E" w:rsidRPr="002B35C6">
        <w:tab/>
        <w:t>On Group-Common PDCCH Structure and Configuration, Ericsson</w:t>
      </w:r>
      <w:bookmarkEnd w:id="12"/>
    </w:p>
    <w:p w14:paraId="277167DC" w14:textId="65F0CAD8" w:rsidR="008B642E" w:rsidRPr="002B35C6" w:rsidRDefault="002B35C6" w:rsidP="008B642E">
      <w:pPr>
        <w:pStyle w:val="Reference"/>
      </w:pPr>
      <w:bookmarkStart w:id="13" w:name="_Ref484947255"/>
      <w:r w:rsidRPr="002B35C6">
        <w:t>R1-1711484</w:t>
      </w:r>
      <w:r w:rsidRPr="002B35C6">
        <w:tab/>
      </w:r>
      <w:r w:rsidR="00FF353C" w:rsidRPr="002B35C6">
        <w:tab/>
        <w:t>On the Content of</w:t>
      </w:r>
      <w:r w:rsidR="008B642E" w:rsidRPr="002B35C6">
        <w:t xml:space="preserve"> Group-Common PDCCH, Ericsson</w:t>
      </w:r>
      <w:bookmarkEnd w:id="13"/>
    </w:p>
    <w:bookmarkEnd w:id="4"/>
    <w:bookmarkEnd w:id="5"/>
    <w:bookmarkEnd w:id="6"/>
    <w:bookmarkEnd w:id="7"/>
    <w:bookmarkEnd w:id="8"/>
    <w:bookmarkEnd w:id="9"/>
    <w:bookmarkEnd w:id="10"/>
    <w:p w14:paraId="5B736B11" w14:textId="12B36CED" w:rsidR="0083770A" w:rsidRPr="00EC6F06" w:rsidRDefault="0083770A" w:rsidP="00665C2F">
      <w:pPr>
        <w:pStyle w:val="Reference"/>
        <w:numPr>
          <w:ilvl w:val="0"/>
          <w:numId w:val="0"/>
        </w:numPr>
        <w:ind w:left="567"/>
      </w:pPr>
    </w:p>
    <w:sectPr w:rsidR="0083770A" w:rsidRPr="00EC6F0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A13A1" w14:textId="77777777" w:rsidR="00361F1B" w:rsidRDefault="00361F1B">
      <w:r>
        <w:separator/>
      </w:r>
    </w:p>
  </w:endnote>
  <w:endnote w:type="continuationSeparator" w:id="0">
    <w:p w14:paraId="0F74A7B9" w14:textId="77777777" w:rsidR="00361F1B" w:rsidRDefault="00361F1B">
      <w:r>
        <w:continuationSeparator/>
      </w:r>
    </w:p>
  </w:endnote>
  <w:endnote w:type="continuationNotice" w:id="1">
    <w:p w14:paraId="51DA9C1A" w14:textId="77777777" w:rsidR="00361F1B" w:rsidRDefault="00361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D712CAD"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7AF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AF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DED0B" w14:textId="77777777" w:rsidR="00361F1B" w:rsidRDefault="00361F1B">
      <w:r>
        <w:separator/>
      </w:r>
    </w:p>
  </w:footnote>
  <w:footnote w:type="continuationSeparator" w:id="0">
    <w:p w14:paraId="2C9A778D" w14:textId="77777777" w:rsidR="00361F1B" w:rsidRDefault="00361F1B">
      <w:r>
        <w:continuationSeparator/>
      </w:r>
    </w:p>
  </w:footnote>
  <w:footnote w:type="continuationNotice" w:id="1">
    <w:p w14:paraId="5972B97E" w14:textId="77777777" w:rsidR="00361F1B" w:rsidRDefault="00361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53EE0"/>
    <w:multiLevelType w:val="hybridMultilevel"/>
    <w:tmpl w:val="C88C4F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9326C6"/>
    <w:multiLevelType w:val="hybridMultilevel"/>
    <w:tmpl w:val="812262C8"/>
    <w:lvl w:ilvl="0" w:tplc="041D0001">
      <w:start w:val="1"/>
      <w:numFmt w:val="bullet"/>
      <w:lvlText w:val=""/>
      <w:lvlJc w:val="left"/>
      <w:pPr>
        <w:ind w:left="720" w:hanging="360"/>
      </w:pPr>
      <w:rPr>
        <w:rFonts w:ascii="Symbol" w:hAnsi="Symbol" w:hint="default"/>
      </w:rPr>
    </w:lvl>
    <w:lvl w:ilvl="1" w:tplc="041D0011">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F04ABC"/>
    <w:multiLevelType w:val="hybridMultilevel"/>
    <w:tmpl w:val="593823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5355AA"/>
    <w:multiLevelType w:val="hybridMultilevel"/>
    <w:tmpl w:val="E99A4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35"/>
  </w:num>
  <w:num w:numId="4">
    <w:abstractNumId w:val="37"/>
  </w:num>
  <w:num w:numId="5">
    <w:abstractNumId w:val="29"/>
  </w:num>
  <w:num w:numId="6">
    <w:abstractNumId w:val="40"/>
  </w:num>
  <w:num w:numId="7">
    <w:abstractNumId w:val="46"/>
  </w:num>
  <w:num w:numId="8">
    <w:abstractNumId w:val="30"/>
  </w:num>
  <w:num w:numId="9">
    <w:abstractNumId w:val="24"/>
  </w:num>
  <w:num w:numId="10">
    <w:abstractNumId w:val="3"/>
  </w:num>
  <w:num w:numId="11">
    <w:abstractNumId w:val="2"/>
  </w:num>
  <w:num w:numId="12">
    <w:abstractNumId w:val="1"/>
  </w:num>
  <w:num w:numId="13">
    <w:abstractNumId w:val="45"/>
  </w:num>
  <w:num w:numId="14">
    <w:abstractNumId w:val="0"/>
  </w:num>
  <w:num w:numId="15">
    <w:abstractNumId w:val="26"/>
  </w:num>
  <w:num w:numId="16">
    <w:abstractNumId w:val="47"/>
  </w:num>
  <w:num w:numId="17">
    <w:abstractNumId w:val="38"/>
  </w:num>
  <w:num w:numId="18">
    <w:abstractNumId w:val="42"/>
  </w:num>
  <w:num w:numId="19">
    <w:abstractNumId w:val="12"/>
  </w:num>
  <w:num w:numId="20">
    <w:abstractNumId w:val="34"/>
  </w:num>
  <w:num w:numId="21">
    <w:abstractNumId w:val="19"/>
  </w:num>
  <w:num w:numId="22">
    <w:abstractNumId w:val="7"/>
  </w:num>
  <w:num w:numId="23">
    <w:abstractNumId w:val="41"/>
  </w:num>
  <w:num w:numId="24">
    <w:abstractNumId w:val="39"/>
  </w:num>
  <w:num w:numId="25">
    <w:abstractNumId w:val="27"/>
  </w:num>
  <w:num w:numId="26">
    <w:abstractNumId w:val="14"/>
  </w:num>
  <w:num w:numId="27">
    <w:abstractNumId w:val="22"/>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28"/>
  </w:num>
  <w:num w:numId="31">
    <w:abstractNumId w:val="51"/>
  </w:num>
  <w:num w:numId="32">
    <w:abstractNumId w:val="35"/>
    <w:lvlOverride w:ilvl="0">
      <w:startOverride w:val="5"/>
    </w:lvlOverride>
  </w:num>
  <w:num w:numId="33">
    <w:abstractNumId w:val="44"/>
  </w:num>
  <w:num w:numId="34">
    <w:abstractNumId w:val="4"/>
  </w:num>
  <w:num w:numId="35">
    <w:abstractNumId w:val="52"/>
  </w:num>
  <w:num w:numId="36">
    <w:abstractNumId w:val="11"/>
  </w:num>
  <w:num w:numId="37">
    <w:abstractNumId w:val="50"/>
  </w:num>
  <w:num w:numId="38">
    <w:abstractNumId w:val="33"/>
  </w:num>
  <w:num w:numId="39">
    <w:abstractNumId w:val="32"/>
  </w:num>
  <w:num w:numId="40">
    <w:abstractNumId w:val="18"/>
  </w:num>
  <w:num w:numId="41">
    <w:abstractNumId w:val="49"/>
  </w:num>
  <w:num w:numId="42">
    <w:abstractNumId w:val="25"/>
  </w:num>
  <w:num w:numId="43">
    <w:abstractNumId w:val="21"/>
  </w:num>
  <w:num w:numId="44">
    <w:abstractNumId w:val="31"/>
  </w:num>
  <w:num w:numId="45">
    <w:abstractNumId w:val="10"/>
  </w:num>
  <w:num w:numId="46">
    <w:abstractNumId w:val="36"/>
  </w:num>
  <w:num w:numId="47">
    <w:abstractNumId w:val="17"/>
  </w:num>
  <w:num w:numId="48">
    <w:abstractNumId w:val="9"/>
  </w:num>
  <w:num w:numId="49">
    <w:abstractNumId w:val="20"/>
  </w:num>
  <w:num w:numId="50">
    <w:abstractNumId w:val="23"/>
  </w:num>
  <w:num w:numId="51">
    <w:abstractNumId w:val="48"/>
  </w:num>
  <w:num w:numId="52">
    <w:abstractNumId w:val="15"/>
  </w:num>
  <w:num w:numId="53">
    <w:abstractNumId w:val="13"/>
  </w:num>
  <w:num w:numId="54">
    <w:abstractNumId w:val="16"/>
  </w:num>
  <w:num w:numId="55">
    <w:abstractNumId w:val="8"/>
  </w:num>
  <w:num w:numId="56">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3F42"/>
    <w:rsid w:val="0002564D"/>
    <w:rsid w:val="00025ECA"/>
    <w:rsid w:val="000266D4"/>
    <w:rsid w:val="0003178D"/>
    <w:rsid w:val="000325B8"/>
    <w:rsid w:val="00032982"/>
    <w:rsid w:val="000340C8"/>
    <w:rsid w:val="00034C15"/>
    <w:rsid w:val="00036BA1"/>
    <w:rsid w:val="000370CC"/>
    <w:rsid w:val="00040DF6"/>
    <w:rsid w:val="000420BA"/>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33A1"/>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968"/>
    <w:rsid w:val="00126B4A"/>
    <w:rsid w:val="00132FD0"/>
    <w:rsid w:val="001344C0"/>
    <w:rsid w:val="001346FA"/>
    <w:rsid w:val="00135252"/>
    <w:rsid w:val="00136F34"/>
    <w:rsid w:val="0013746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13F"/>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25EE5"/>
    <w:rsid w:val="00230765"/>
    <w:rsid w:val="002319E4"/>
    <w:rsid w:val="00231A9A"/>
    <w:rsid w:val="00232D4C"/>
    <w:rsid w:val="0023309C"/>
    <w:rsid w:val="002342CA"/>
    <w:rsid w:val="00235632"/>
    <w:rsid w:val="00235872"/>
    <w:rsid w:val="00240B51"/>
    <w:rsid w:val="00241559"/>
    <w:rsid w:val="002432E4"/>
    <w:rsid w:val="002435B3"/>
    <w:rsid w:val="002458EB"/>
    <w:rsid w:val="00245979"/>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1355"/>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35C6"/>
    <w:rsid w:val="002B4CE9"/>
    <w:rsid w:val="002B5943"/>
    <w:rsid w:val="002C406E"/>
    <w:rsid w:val="002C41E6"/>
    <w:rsid w:val="002C6788"/>
    <w:rsid w:val="002D071A"/>
    <w:rsid w:val="002D1464"/>
    <w:rsid w:val="002D34B2"/>
    <w:rsid w:val="002D4A15"/>
    <w:rsid w:val="002D565F"/>
    <w:rsid w:val="002D6410"/>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1F1B"/>
    <w:rsid w:val="003639EA"/>
    <w:rsid w:val="00365F79"/>
    <w:rsid w:val="00367094"/>
    <w:rsid w:val="00370D6E"/>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69FB"/>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249A"/>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05F5"/>
    <w:rsid w:val="00484FD1"/>
    <w:rsid w:val="004903E5"/>
    <w:rsid w:val="00492BC5"/>
    <w:rsid w:val="00493531"/>
    <w:rsid w:val="004959FC"/>
    <w:rsid w:val="004964F1"/>
    <w:rsid w:val="004A0EAC"/>
    <w:rsid w:val="004A163A"/>
    <w:rsid w:val="004A16BC"/>
    <w:rsid w:val="004A2B94"/>
    <w:rsid w:val="004B6991"/>
    <w:rsid w:val="004B7C0C"/>
    <w:rsid w:val="004C3898"/>
    <w:rsid w:val="004C4D69"/>
    <w:rsid w:val="004C5E10"/>
    <w:rsid w:val="004C6818"/>
    <w:rsid w:val="004C691A"/>
    <w:rsid w:val="004C6FA5"/>
    <w:rsid w:val="004C7AF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61E5"/>
    <w:rsid w:val="005A662D"/>
    <w:rsid w:val="005B35D7"/>
    <w:rsid w:val="005B392A"/>
    <w:rsid w:val="005B3AA3"/>
    <w:rsid w:val="005B3F59"/>
    <w:rsid w:val="005B6F83"/>
    <w:rsid w:val="005C0B51"/>
    <w:rsid w:val="005C0C58"/>
    <w:rsid w:val="005C21A5"/>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C2F"/>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97904"/>
    <w:rsid w:val="006A1A4D"/>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1249"/>
    <w:rsid w:val="006E28B7"/>
    <w:rsid w:val="006E3310"/>
    <w:rsid w:val="006E3F07"/>
    <w:rsid w:val="006E4E39"/>
    <w:rsid w:val="006E565E"/>
    <w:rsid w:val="006E673D"/>
    <w:rsid w:val="006E7D3B"/>
    <w:rsid w:val="006E7EDA"/>
    <w:rsid w:val="006F03E4"/>
    <w:rsid w:val="006F0E6E"/>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2C"/>
    <w:rsid w:val="007B51DF"/>
    <w:rsid w:val="007B5283"/>
    <w:rsid w:val="007B5E29"/>
    <w:rsid w:val="007B71A3"/>
    <w:rsid w:val="007C05DD"/>
    <w:rsid w:val="007C3D18"/>
    <w:rsid w:val="007C60BF"/>
    <w:rsid w:val="007C6A07"/>
    <w:rsid w:val="007C75A1"/>
    <w:rsid w:val="007C77A5"/>
    <w:rsid w:val="007D04E5"/>
    <w:rsid w:val="007D2586"/>
    <w:rsid w:val="007D304B"/>
    <w:rsid w:val="007D386C"/>
    <w:rsid w:val="007D497F"/>
    <w:rsid w:val="007D5506"/>
    <w:rsid w:val="007D5901"/>
    <w:rsid w:val="007D7526"/>
    <w:rsid w:val="007E1602"/>
    <w:rsid w:val="007E4610"/>
    <w:rsid w:val="007E4715"/>
    <w:rsid w:val="007E4F9F"/>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3770A"/>
    <w:rsid w:val="00840358"/>
    <w:rsid w:val="00842299"/>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642E"/>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263B1"/>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3C90"/>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1EA8"/>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3C7"/>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1CF1"/>
    <w:rsid w:val="00B372AA"/>
    <w:rsid w:val="00B403BA"/>
    <w:rsid w:val="00B40445"/>
    <w:rsid w:val="00B413BA"/>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94E11"/>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05FC"/>
    <w:rsid w:val="00C54995"/>
    <w:rsid w:val="00C54D41"/>
    <w:rsid w:val="00C57688"/>
    <w:rsid w:val="00C57B03"/>
    <w:rsid w:val="00C60783"/>
    <w:rsid w:val="00C64672"/>
    <w:rsid w:val="00C66FD4"/>
    <w:rsid w:val="00C704D9"/>
    <w:rsid w:val="00C70697"/>
    <w:rsid w:val="00C72EF4"/>
    <w:rsid w:val="00C75D2F"/>
    <w:rsid w:val="00C767BE"/>
    <w:rsid w:val="00C768BB"/>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455"/>
    <w:rsid w:val="00CB1F63"/>
    <w:rsid w:val="00CB456D"/>
    <w:rsid w:val="00CB462A"/>
    <w:rsid w:val="00CB4675"/>
    <w:rsid w:val="00CB4C7D"/>
    <w:rsid w:val="00CB5C47"/>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625B"/>
    <w:rsid w:val="00CF687E"/>
    <w:rsid w:val="00D00035"/>
    <w:rsid w:val="00D0349B"/>
    <w:rsid w:val="00D10249"/>
    <w:rsid w:val="00D115C3"/>
    <w:rsid w:val="00D11897"/>
    <w:rsid w:val="00D13135"/>
    <w:rsid w:val="00D139A8"/>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155"/>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998"/>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2CA7"/>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5FC8"/>
    <w:rsid w:val="00E3723A"/>
    <w:rsid w:val="00E37860"/>
    <w:rsid w:val="00E44559"/>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E2A49"/>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168D8"/>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96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36D6"/>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353C"/>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5NUHHDQN7SK2-1-114378</_dlc_DocId>
    <_dlc_DocIdUrl xmlns="08b2df90-05d3-4030-90d4-c9feeb4a1cd9">
      <Url>https://ericoll.internal.ericsson.com/sites/STAR/_layouts/DocIdRedir.aspx?ID=5NUHHDQN7SK2-1-114378</Url>
      <Description>5NUHHDQN7SK2-1-114378</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5AF3FD51-2FF5-4344-99B4-E60FDDEF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3</cp:revision>
  <cp:lastPrinted>2008-01-31T07:09:00Z</cp:lastPrinted>
  <dcterms:created xsi:type="dcterms:W3CDTF">2017-06-17T06:02:00Z</dcterms:created>
  <dcterms:modified xsi:type="dcterms:W3CDTF">2017-06-17T06:02:00Z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4d8d62b6-c9f6-476a-86a7-26e45ef2939e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