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440359E8" w14:textId="2C139E1F" w:rsidR="00807BD2" w:rsidRPr="0072681E" w:rsidRDefault="00807BD2" w:rsidP="00807BD2">
      <w:pPr>
        <w:pStyle w:val="3GPPHeader"/>
        <w:spacing w:after="60"/>
        <w:rPr>
          <w:bCs/>
        </w:rPr>
      </w:pPr>
      <w:r w:rsidRPr="00000AF1">
        <w:rPr>
          <w:bCs/>
        </w:rPr>
        <w:t>3GPP TSG RAN WG1 NR Ad-Hoc</w:t>
      </w:r>
      <w:r w:rsidRPr="00000AF1">
        <w:rPr>
          <w:rFonts w:hint="eastAsia"/>
          <w:bCs/>
        </w:rPr>
        <w:t xml:space="preserve">#2                                       </w:t>
      </w:r>
      <w:r w:rsidRPr="00000AF1">
        <w:rPr>
          <w:bCs/>
        </w:rPr>
        <w:tab/>
      </w:r>
      <w:r w:rsidRPr="0072681E">
        <w:rPr>
          <w:bCs/>
        </w:rPr>
        <w:t>R1-1</w:t>
      </w:r>
      <w:r w:rsidRPr="0072681E">
        <w:rPr>
          <w:rFonts w:hint="eastAsia"/>
          <w:bCs/>
        </w:rPr>
        <w:t>7</w:t>
      </w:r>
      <w:r w:rsidR="0072681E" w:rsidRPr="0072681E">
        <w:rPr>
          <w:bCs/>
        </w:rPr>
        <w:t>11484</w:t>
      </w:r>
    </w:p>
    <w:p w14:paraId="4F9CE449" w14:textId="77777777" w:rsidR="00807BD2" w:rsidRPr="007B78FE" w:rsidRDefault="00807BD2" w:rsidP="00807BD2">
      <w:pPr>
        <w:pStyle w:val="3GPPHeader"/>
      </w:pPr>
      <w:r w:rsidRPr="0072681E">
        <w:rPr>
          <w:rFonts w:hint="eastAsia"/>
          <w:bCs/>
        </w:rPr>
        <w:t>Qingdao</w:t>
      </w:r>
      <w:r w:rsidRPr="0072681E">
        <w:rPr>
          <w:bCs/>
        </w:rPr>
        <w:t xml:space="preserve">, </w:t>
      </w:r>
      <w:r w:rsidRPr="0072681E">
        <w:rPr>
          <w:rFonts w:hint="eastAsia"/>
          <w:bCs/>
        </w:rPr>
        <w:t>P.R. China</w:t>
      </w:r>
      <w:r w:rsidRPr="0072681E">
        <w:rPr>
          <w:bCs/>
        </w:rPr>
        <w:t xml:space="preserve">, </w:t>
      </w:r>
      <w:r w:rsidRPr="0072681E">
        <w:rPr>
          <w:rFonts w:hint="eastAsia"/>
          <w:bCs/>
        </w:rPr>
        <w:t xml:space="preserve">27th </w:t>
      </w:r>
      <w:r w:rsidRPr="0072681E">
        <w:rPr>
          <w:bCs/>
        </w:rPr>
        <w:t xml:space="preserve">– </w:t>
      </w:r>
      <w:r w:rsidRPr="0072681E">
        <w:rPr>
          <w:rFonts w:hint="eastAsia"/>
          <w:bCs/>
        </w:rPr>
        <w:t>30th</w:t>
      </w:r>
      <w:r w:rsidRPr="0072681E">
        <w:rPr>
          <w:bCs/>
        </w:rPr>
        <w:t xml:space="preserve"> </w:t>
      </w:r>
      <w:r w:rsidRPr="0072681E">
        <w:rPr>
          <w:rFonts w:hint="eastAsia"/>
          <w:bCs/>
        </w:rPr>
        <w:t>June</w:t>
      </w:r>
      <w:r w:rsidRPr="0072681E">
        <w:rPr>
          <w:bCs/>
        </w:rPr>
        <w:t xml:space="preserve"> 201</w:t>
      </w:r>
      <w:r w:rsidRPr="0072681E">
        <w:rPr>
          <w:rFonts w:hint="eastAsia"/>
          <w:bCs/>
        </w:rPr>
        <w:t>7</w:t>
      </w:r>
    </w:p>
    <w:p w14:paraId="293CC8DE" w14:textId="34D2070A"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807BD2">
        <w:rPr>
          <w:sz w:val="22"/>
          <w:szCs w:val="22"/>
        </w:rPr>
        <w:t>5</w:t>
      </w:r>
      <w:r w:rsidR="00AE553B" w:rsidRPr="00AE553B">
        <w:rPr>
          <w:sz w:val="22"/>
          <w:szCs w:val="22"/>
        </w:rPr>
        <w:t>.1.3.1.</w:t>
      </w:r>
      <w:r w:rsidR="00807BD2">
        <w:rPr>
          <w:sz w:val="22"/>
          <w:szCs w:val="22"/>
        </w:rPr>
        <w:t>4.2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B1129CE"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807BD2">
        <w:rPr>
          <w:sz w:val="22"/>
          <w:szCs w:val="22"/>
        </w:rPr>
        <w:t xml:space="preserve">the Content of UE </w:t>
      </w:r>
      <w:r w:rsidR="00D22346">
        <w:rPr>
          <w:sz w:val="22"/>
          <w:szCs w:val="22"/>
        </w:rPr>
        <w:t>Group</w:t>
      </w:r>
      <w:r w:rsidR="006C37C9">
        <w:rPr>
          <w:sz w:val="22"/>
          <w:szCs w:val="22"/>
        </w:rPr>
        <w:t>-</w:t>
      </w:r>
      <w:r w:rsidR="00D22346">
        <w:rPr>
          <w:sz w:val="22"/>
          <w:szCs w:val="22"/>
        </w:rPr>
        <w:t>Common PDCCH</w:t>
      </w:r>
      <w:r w:rsidR="00043E0D">
        <w:rPr>
          <w:sz w:val="22"/>
          <w:szCs w:val="22"/>
        </w:rPr>
        <w:t xml:space="preserve"> </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6AE3F4F5" w14:textId="7EE90F6E" w:rsidR="00F4764A" w:rsidRPr="002B5943" w:rsidRDefault="00EA38BD" w:rsidP="00BE3726">
      <w:pPr>
        <w:pStyle w:val="BodyText"/>
        <w:rPr>
          <w:rFonts w:eastAsia="MS Mincho"/>
          <w:lang w:eastAsia="ja-JP"/>
        </w:rPr>
      </w:pPr>
      <w:r w:rsidRPr="002B5943">
        <w:rPr>
          <w:rFonts w:eastAsia="MS Mincho"/>
          <w:lang w:eastAsia="ja-JP"/>
        </w:rPr>
        <w:t>In previous meeting</w:t>
      </w:r>
      <w:r w:rsidR="00F11E74">
        <w:rPr>
          <w:rFonts w:eastAsia="MS Mincho"/>
          <w:lang w:eastAsia="ja-JP"/>
        </w:rPr>
        <w:t>s</w:t>
      </w:r>
      <w:r w:rsidR="00FB705D" w:rsidRPr="002B5943">
        <w:rPr>
          <w:rFonts w:eastAsia="MS Mincho"/>
          <w:lang w:eastAsia="ja-JP"/>
        </w:rPr>
        <w:t xml:space="preserve">, the need </w:t>
      </w:r>
      <w:r w:rsidR="00FB705D">
        <w:rPr>
          <w:rFonts w:eastAsia="MS Mincho"/>
          <w:lang w:eastAsia="ja-JP"/>
        </w:rPr>
        <w:t xml:space="preserve">and </w:t>
      </w:r>
      <w:r w:rsidR="00924D26">
        <w:rPr>
          <w:rFonts w:eastAsia="MS Mincho"/>
          <w:lang w:eastAsia="ja-JP"/>
        </w:rPr>
        <w:t xml:space="preserve">corresponding </w:t>
      </w:r>
      <w:r w:rsidR="00FB705D">
        <w:rPr>
          <w:rFonts w:eastAsia="MS Mincho"/>
          <w:lang w:eastAsia="ja-JP"/>
        </w:rPr>
        <w:t>issues for</w:t>
      </w:r>
      <w:r w:rsidR="00FB705D" w:rsidRPr="002B5943">
        <w:rPr>
          <w:rFonts w:eastAsia="MS Mincho"/>
          <w:lang w:eastAsia="ja-JP"/>
        </w:rPr>
        <w:t xml:space="preserve"> </w:t>
      </w:r>
      <w:r w:rsidR="00924D26">
        <w:rPr>
          <w:rFonts w:eastAsia="MS Mincho"/>
          <w:lang w:eastAsia="ja-JP"/>
        </w:rPr>
        <w:t xml:space="preserve">supporting a </w:t>
      </w:r>
      <w:r w:rsidR="00FB705D">
        <w:rPr>
          <w:rFonts w:eastAsia="MS Mincho"/>
          <w:lang w:eastAsia="ja-JP"/>
        </w:rPr>
        <w:t xml:space="preserve">physical L1/L2 </w:t>
      </w:r>
      <w:r w:rsidR="00FB705D" w:rsidRPr="00FB705D">
        <w:rPr>
          <w:rFonts w:eastAsia="MS Mincho"/>
          <w:lang w:eastAsia="ja-JP"/>
        </w:rPr>
        <w:t>br</w:t>
      </w:r>
      <w:r w:rsidR="00FB705D" w:rsidRPr="002B5943">
        <w:rPr>
          <w:rFonts w:eastAsia="MS Mincho"/>
          <w:lang w:eastAsia="ja-JP"/>
        </w:rPr>
        <w:t>o</w:t>
      </w:r>
      <w:r w:rsidR="00FB705D">
        <w:rPr>
          <w:rFonts w:eastAsia="MS Mincho"/>
          <w:lang w:eastAsia="ja-JP"/>
        </w:rPr>
        <w:t>a</w:t>
      </w:r>
      <w:r w:rsidR="00FB705D" w:rsidRPr="002B5943">
        <w:rPr>
          <w:rFonts w:eastAsia="MS Mincho"/>
          <w:lang w:eastAsia="ja-JP"/>
        </w:rPr>
        <w:t>dcast channel were</w:t>
      </w:r>
      <w:r w:rsidR="00FB705D">
        <w:rPr>
          <w:rFonts w:eastAsia="MS Mincho"/>
          <w:lang w:eastAsia="ja-JP"/>
        </w:rPr>
        <w:t xml:space="preserve"> discussed</w:t>
      </w:r>
      <w:r w:rsidR="0029606A">
        <w:rPr>
          <w:rFonts w:eastAsia="MS Mincho"/>
          <w:lang w:eastAsia="ja-JP"/>
        </w:rPr>
        <w:t xml:space="preserve"> </w:t>
      </w:r>
      <w:r w:rsidR="00444DE6">
        <w:rPr>
          <w:rFonts w:eastAsia="MS Mincho"/>
          <w:lang w:eastAsia="ja-JP"/>
        </w:rPr>
        <w:fldChar w:fldCharType="begin"/>
      </w:r>
      <w:r w:rsidR="00444DE6">
        <w:rPr>
          <w:rFonts w:eastAsia="MS Mincho"/>
          <w:lang w:eastAsia="ja-JP"/>
        </w:rPr>
        <w:instrText xml:space="preserve"> REF _Ref477814154 \n \h </w:instrText>
      </w:r>
      <w:r w:rsidR="00444DE6">
        <w:rPr>
          <w:rFonts w:eastAsia="MS Mincho"/>
          <w:lang w:eastAsia="ja-JP"/>
        </w:rPr>
      </w:r>
      <w:r w:rsidR="00444DE6">
        <w:rPr>
          <w:rFonts w:eastAsia="MS Mincho"/>
          <w:lang w:eastAsia="ja-JP"/>
        </w:rPr>
        <w:fldChar w:fldCharType="separate"/>
      </w:r>
      <w:r w:rsidR="006C37C9">
        <w:rPr>
          <w:rFonts w:eastAsia="MS Mincho"/>
          <w:lang w:eastAsia="ja-JP"/>
        </w:rPr>
        <w:t>[1]</w:t>
      </w:r>
      <w:r w:rsidR="00444DE6">
        <w:rPr>
          <w:rFonts w:eastAsia="MS Mincho"/>
          <w:lang w:eastAsia="ja-JP"/>
        </w:rPr>
        <w:fldChar w:fldCharType="end"/>
      </w:r>
      <w:r w:rsidR="00FB705D">
        <w:rPr>
          <w:rFonts w:eastAsia="MS Mincho"/>
          <w:lang w:eastAsia="ja-JP"/>
        </w:rPr>
        <w:t>. I</w:t>
      </w:r>
      <w:r w:rsidR="00924D26">
        <w:rPr>
          <w:rFonts w:eastAsia="MS Mincho"/>
          <w:lang w:eastAsia="ja-JP"/>
        </w:rPr>
        <w:t>t was concluded</w:t>
      </w:r>
      <w:r w:rsidR="002B5943">
        <w:rPr>
          <w:rFonts w:eastAsia="MS Mincho"/>
          <w:lang w:eastAsia="ja-JP"/>
        </w:rPr>
        <w:t xml:space="preserve"> that</w:t>
      </w:r>
      <w:r w:rsidR="0029606A" w:rsidRPr="0029606A">
        <w:rPr>
          <w:rFonts w:eastAsia="MS Mincho"/>
          <w:lang w:eastAsia="ja-JP"/>
        </w:rPr>
        <w:t xml:space="preserve"> </w:t>
      </w:r>
      <w:r w:rsidR="0029606A">
        <w:rPr>
          <w:rFonts w:eastAsia="MS Mincho"/>
          <w:lang w:eastAsia="ja-JP"/>
        </w:rPr>
        <w:t>such a signal for</w:t>
      </w:r>
      <w:r w:rsidR="0029606A" w:rsidRPr="002B5943">
        <w:rPr>
          <w:rFonts w:eastAsia="MS Mincho"/>
          <w:lang w:eastAsia="ja-JP"/>
        </w:rPr>
        <w:t xml:space="preserve"> a group of UEs</w:t>
      </w:r>
      <w:r w:rsidR="0029606A">
        <w:rPr>
          <w:rFonts w:eastAsia="MS Mincho"/>
          <w:lang w:eastAsia="ja-JP"/>
        </w:rPr>
        <w:t xml:space="preserve"> (referred to as a ‘group common PDCCH’) </w:t>
      </w:r>
      <w:r w:rsidR="002B5943">
        <w:rPr>
          <w:rFonts w:eastAsia="MS Mincho"/>
          <w:lang w:eastAsia="ja-JP"/>
        </w:rPr>
        <w:t xml:space="preserve">can be supported in NR but reception of such signal is not necessary for detection of PDCCH for data reception. </w:t>
      </w:r>
      <w:r w:rsidR="00924D26">
        <w:rPr>
          <w:rFonts w:eastAsia="MS Mincho"/>
          <w:lang w:eastAsia="ja-JP"/>
        </w:rPr>
        <w:t>However, this signal if detected can provide additional information to the UE which can potentially improve the UE performance. Based on the discussion the following agreements related to the ‘group common PDCCH’ were made</w:t>
      </w:r>
      <w:r w:rsidR="0029606A">
        <w:rPr>
          <w:rFonts w:eastAsia="MS Mincho"/>
          <w:lang w:eastAsia="ja-JP"/>
        </w:rPr>
        <w:t xml:space="preserve"> </w:t>
      </w:r>
      <w:r w:rsidR="008F7E54">
        <w:rPr>
          <w:rFonts w:eastAsia="MS Mincho"/>
          <w:lang w:eastAsia="ja-JP"/>
        </w:rPr>
        <w:fldChar w:fldCharType="begin"/>
      </w:r>
      <w:r w:rsidR="008F7E54">
        <w:rPr>
          <w:rFonts w:eastAsia="MS Mincho"/>
          <w:lang w:eastAsia="ja-JP"/>
        </w:rPr>
        <w:instrText xml:space="preserve"> REF _Ref473637092 \n \h </w:instrText>
      </w:r>
      <w:r w:rsidR="008F7E54">
        <w:rPr>
          <w:rFonts w:eastAsia="MS Mincho"/>
          <w:lang w:eastAsia="ja-JP"/>
        </w:rPr>
      </w:r>
      <w:r w:rsidR="008F7E54">
        <w:rPr>
          <w:rFonts w:eastAsia="MS Mincho"/>
          <w:lang w:eastAsia="ja-JP"/>
        </w:rPr>
        <w:fldChar w:fldCharType="separate"/>
      </w:r>
      <w:r w:rsidR="006C37C9">
        <w:rPr>
          <w:rFonts w:eastAsia="MS Mincho"/>
          <w:lang w:eastAsia="ja-JP"/>
        </w:rPr>
        <w:t>[2]</w:t>
      </w:r>
      <w:r w:rsidR="008F7E54">
        <w:rPr>
          <w:rFonts w:eastAsia="MS Mincho"/>
          <w:lang w:eastAsia="ja-JP"/>
        </w:rPr>
        <w:fldChar w:fldCharType="end"/>
      </w:r>
      <w:r w:rsidR="006C37C9">
        <w:rPr>
          <w:rFonts w:eastAsia="MS Mincho"/>
          <w:lang w:eastAsia="ja-JP"/>
        </w:rPr>
        <w:fldChar w:fldCharType="begin"/>
      </w:r>
      <w:r w:rsidR="006C37C9">
        <w:rPr>
          <w:rFonts w:eastAsia="MS Mincho"/>
          <w:lang w:eastAsia="ja-JP"/>
        </w:rPr>
        <w:instrText xml:space="preserve"> REF _Ref484868330 \n \h </w:instrText>
      </w:r>
      <w:r w:rsidR="006C37C9">
        <w:rPr>
          <w:rFonts w:eastAsia="MS Mincho"/>
          <w:lang w:eastAsia="ja-JP"/>
        </w:rPr>
      </w:r>
      <w:r w:rsidR="006C37C9">
        <w:rPr>
          <w:rFonts w:eastAsia="MS Mincho"/>
          <w:lang w:eastAsia="ja-JP"/>
        </w:rPr>
        <w:fldChar w:fldCharType="separate"/>
      </w:r>
      <w:r w:rsidR="006C37C9">
        <w:rPr>
          <w:rFonts w:eastAsia="MS Mincho"/>
          <w:lang w:eastAsia="ja-JP"/>
        </w:rPr>
        <w:t>[3]</w:t>
      </w:r>
      <w:r w:rsidR="006C37C9">
        <w:rPr>
          <w:rFonts w:eastAsia="MS Mincho"/>
          <w:lang w:eastAsia="ja-JP"/>
        </w:rPr>
        <w:fldChar w:fldCharType="end"/>
      </w:r>
      <w:r w:rsidR="006C37C9">
        <w:rPr>
          <w:rFonts w:eastAsia="MS Mincho"/>
          <w:lang w:eastAsia="ja-JP"/>
        </w:rPr>
        <w:t xml:space="preserve"> </w:t>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4C691A">
      <w:pPr>
        <w:numPr>
          <w:ilvl w:val="0"/>
          <w:numId w:val="42"/>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7C3185BC" w14:textId="77777777" w:rsidR="004C691A" w:rsidRPr="00174E40" w:rsidRDefault="004C691A" w:rsidP="004C691A">
      <w:pPr>
        <w:numPr>
          <w:ilvl w:val="1"/>
          <w:numId w:val="42"/>
        </w:numPr>
        <w:overflowPunct/>
        <w:autoSpaceDE/>
        <w:autoSpaceDN/>
        <w:adjustRightInd/>
        <w:spacing w:after="0"/>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2E46FDE" w14:textId="77777777" w:rsidR="004C691A" w:rsidRPr="005F5317" w:rsidRDefault="004C691A" w:rsidP="004C691A">
      <w:pPr>
        <w:ind w:leftChars="7" w:left="14"/>
        <w:rPr>
          <w:rFonts w:eastAsia="MS Mincho"/>
          <w:b/>
          <w:i/>
          <w:iCs/>
          <w:color w:val="4472C4" w:themeColor="accent5"/>
          <w:lang w:eastAsia="ja-JP"/>
        </w:rPr>
      </w:pPr>
    </w:p>
    <w:p w14:paraId="60A440C8" w14:textId="5DBD2996"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8765062" w:rsidR="004C691A" w:rsidRPr="00D73155" w:rsidRDefault="004C691A" w:rsidP="004C691A">
      <w:pPr>
        <w:pStyle w:val="ListParagraph"/>
        <w:numPr>
          <w:ilvl w:val="0"/>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staring position of downlink data in a slot can be explicitly and dynamically indicated to the UE.</w:t>
      </w:r>
    </w:p>
    <w:p w14:paraId="3D351416" w14:textId="2EE6CB0C" w:rsidR="004C691A" w:rsidRPr="00D73155" w:rsidRDefault="004C691A" w:rsidP="004C691A">
      <w:pPr>
        <w:pStyle w:val="ListParagraph"/>
        <w:numPr>
          <w:ilvl w:val="1"/>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signaled in the UE-specific DCI and/or a ‘group-common PDCCH’</w:t>
      </w:r>
    </w:p>
    <w:p w14:paraId="3850773F" w14:textId="4897E1C4" w:rsidR="004C691A" w:rsidRPr="00D73155" w:rsidRDefault="004C691A" w:rsidP="004C691A">
      <w:pPr>
        <w:pStyle w:val="ListParagraph"/>
        <w:numPr>
          <w:ilvl w:val="1"/>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and with what granularity the unused control resource set(s) can be used for data</w:t>
      </w:r>
    </w:p>
    <w:p w14:paraId="7022B799" w14:textId="77777777" w:rsidR="00225EE5" w:rsidRDefault="00225EE5" w:rsidP="004C691A">
      <w:pPr>
        <w:rPr>
          <w:rFonts w:eastAsia="MS Mincho"/>
          <w:b/>
          <w:highlight w:val="green"/>
          <w:u w:val="single"/>
          <w:lang w:eastAsia="ja-JP"/>
        </w:rPr>
      </w:pPr>
    </w:p>
    <w:p w14:paraId="01FB6AE8" w14:textId="78585786"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4758C90F"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342616A6"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343F9BBF"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to handle the case when there is no ‘group common PDCCH’ in a slot</w:t>
      </w:r>
    </w:p>
    <w:p w14:paraId="0746C622"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When monitoring for a PDCCH, the UE should be able to process a detected PDCCH irrespective of whether the ‘group common PDCCH’ is received or not</w:t>
      </w:r>
    </w:p>
    <w:p w14:paraId="03E4D36C" w14:textId="77777777" w:rsidR="00225EE5" w:rsidRDefault="00225EE5" w:rsidP="004C691A">
      <w:pPr>
        <w:pStyle w:val="BodyText"/>
        <w:spacing w:after="0"/>
        <w:rPr>
          <w:rFonts w:eastAsia="MS Mincho"/>
          <w:b/>
          <w:highlight w:val="green"/>
          <w:u w:val="single"/>
          <w:lang w:eastAsia="ja-JP"/>
        </w:rPr>
      </w:pPr>
    </w:p>
    <w:p w14:paraId="412BAE5D" w14:textId="3406CCA0"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lastRenderedPageBreak/>
        <w:t>Information from which the UE can derive at least which symbols in a slot that are ‘DL’, ‘UL’ (for Rel-15), and ‘other’, respectively</w:t>
      </w:r>
    </w:p>
    <w:p w14:paraId="66558DB7"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FFS: if ‘other’ can be subdivided into ‘blank’, ‘sidelink’, etc</w:t>
      </w:r>
    </w:p>
    <w:p w14:paraId="7B2A9951"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‘Control resource set duration’</w:t>
      </w:r>
    </w:p>
    <w:p w14:paraId="2C48B196"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D73155" w:rsidRDefault="004C691A" w:rsidP="00D73155">
      <w:pPr>
        <w:pStyle w:val="BodyText"/>
        <w:numPr>
          <w:ilvl w:val="1"/>
          <w:numId w:val="45"/>
        </w:numPr>
        <w:overflowPunct/>
        <w:autoSpaceDE/>
        <w:autoSpaceDN/>
        <w:adjustRightInd/>
        <w:spacing w:after="0"/>
        <w:textAlignment w:val="auto"/>
        <w:rPr>
          <w:lang w:eastAsia="ja-JP"/>
        </w:rPr>
      </w:pPr>
      <w:r w:rsidRPr="00D73155">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2562E545" w14:textId="77777777" w:rsidR="006C37C9" w:rsidRPr="00347BD4" w:rsidRDefault="006C37C9" w:rsidP="006C37C9">
      <w:pPr>
        <w:rPr>
          <w:rFonts w:eastAsia="MS Mincho"/>
          <w:b/>
          <w:u w:val="single"/>
          <w:lang w:eastAsia="ja-JP"/>
        </w:rPr>
      </w:pPr>
      <w:r w:rsidRPr="001E64F7">
        <w:rPr>
          <w:rFonts w:eastAsia="MS Mincho" w:hint="eastAsia"/>
          <w:b/>
          <w:highlight w:val="green"/>
          <w:u w:val="single"/>
          <w:lang w:eastAsia="ja-JP"/>
        </w:rPr>
        <w:t>Agreements:</w:t>
      </w:r>
    </w:p>
    <w:p w14:paraId="5E024415" w14:textId="77777777" w:rsidR="006C37C9" w:rsidRPr="00347BD4" w:rsidRDefault="006C37C9" w:rsidP="006C37C9">
      <w:pPr>
        <w:numPr>
          <w:ilvl w:val="0"/>
          <w:numId w:val="52"/>
        </w:numPr>
        <w:overflowPunct/>
        <w:autoSpaceDE/>
        <w:autoSpaceDN/>
        <w:adjustRightInd/>
        <w:spacing w:after="0"/>
        <w:jc w:val="left"/>
        <w:textAlignment w:val="auto"/>
        <w:rPr>
          <w:rFonts w:eastAsia="MS Mincho"/>
          <w:lang w:eastAsia="ja-JP"/>
        </w:rPr>
      </w:pPr>
      <w:r w:rsidRPr="00347BD4">
        <w:rPr>
          <w:rFonts w:eastAsia="MS Mincho"/>
          <w:lang w:eastAsia="ja-JP"/>
        </w:rPr>
        <w:t>The SFI transmitted in a group-common PDCCH can indicate the slot format related information for one or more slots</w:t>
      </w:r>
    </w:p>
    <w:p w14:paraId="17FAC66D" w14:textId="77777777" w:rsidR="006C37C9" w:rsidRPr="00347BD4" w:rsidRDefault="006C37C9" w:rsidP="006C37C9">
      <w:pPr>
        <w:numPr>
          <w:ilvl w:val="1"/>
          <w:numId w:val="52"/>
        </w:numPr>
        <w:overflowPunct/>
        <w:autoSpaceDE/>
        <w:autoSpaceDN/>
        <w:adjustRightInd/>
        <w:spacing w:after="0"/>
        <w:jc w:val="left"/>
        <w:textAlignment w:val="auto"/>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A9B138D" w14:textId="77777777" w:rsidR="006C37C9" w:rsidRPr="00727156" w:rsidRDefault="006C37C9" w:rsidP="006C37C9">
      <w:pPr>
        <w:numPr>
          <w:ilvl w:val="1"/>
          <w:numId w:val="52"/>
        </w:numPr>
        <w:overflowPunct/>
        <w:autoSpaceDE/>
        <w:autoSpaceDN/>
        <w:adjustRightInd/>
        <w:spacing w:after="0"/>
        <w:jc w:val="left"/>
        <w:textAlignment w:val="auto"/>
        <w:rPr>
          <w:rFonts w:eastAsia="MS Mincho"/>
          <w:lang w:eastAsia="ja-JP"/>
        </w:rPr>
      </w:pPr>
      <w:r w:rsidRPr="00727156">
        <w:rPr>
          <w:rFonts w:eastAsia="MS Mincho"/>
          <w:lang w:eastAsia="ja-JP"/>
        </w:rPr>
        <w:t>FFS: how to interpret the SFI when the UE is configured with multiple bandwidth parts</w:t>
      </w:r>
    </w:p>
    <w:p w14:paraId="7A49B46D" w14:textId="77777777" w:rsidR="006C37C9" w:rsidRPr="00347BD4" w:rsidRDefault="006C37C9" w:rsidP="006C37C9">
      <w:pPr>
        <w:numPr>
          <w:ilvl w:val="1"/>
          <w:numId w:val="52"/>
        </w:numPr>
        <w:overflowPunct/>
        <w:autoSpaceDE/>
        <w:autoSpaceDN/>
        <w:adjustRightInd/>
        <w:spacing w:after="0"/>
        <w:jc w:val="left"/>
        <w:textAlignment w:val="auto"/>
        <w:rPr>
          <w:rFonts w:eastAsia="MS Mincho"/>
          <w:lang w:eastAsia="ja-JP"/>
        </w:rPr>
      </w:pPr>
      <w:r w:rsidRPr="00347BD4">
        <w:rPr>
          <w:rFonts w:eastAsia="MS Mincho"/>
          <w:lang w:eastAsia="ja-JP"/>
        </w:rPr>
        <w:t>FFS: details for UE behaviour</w:t>
      </w:r>
    </w:p>
    <w:p w14:paraId="789BC03E" w14:textId="77777777" w:rsidR="006C37C9" w:rsidRPr="00347BD4" w:rsidRDefault="006C37C9" w:rsidP="006C37C9">
      <w:pPr>
        <w:numPr>
          <w:ilvl w:val="0"/>
          <w:numId w:val="52"/>
        </w:numPr>
        <w:overflowPunct/>
        <w:autoSpaceDE/>
        <w:autoSpaceDN/>
        <w:adjustRightInd/>
        <w:spacing w:after="0"/>
        <w:jc w:val="left"/>
        <w:textAlignment w:val="auto"/>
        <w:rPr>
          <w:rFonts w:eastAsia="MS Mincho"/>
          <w:lang w:eastAsia="ja-JP"/>
        </w:rPr>
      </w:pPr>
      <w:r w:rsidRPr="00347BD4">
        <w:rPr>
          <w:rFonts w:eastAsia="MS Mincho"/>
          <w:lang w:eastAsia="ja-JP"/>
        </w:rPr>
        <w:t>FFS: A UE may be configured to monitor for at most one group-common PDCCH carrying slot format related information (SFI) in a slot</w:t>
      </w:r>
    </w:p>
    <w:p w14:paraId="0A2AF41A" w14:textId="77777777" w:rsidR="006C37C9" w:rsidRDefault="006C37C9" w:rsidP="006C37C9">
      <w:pPr>
        <w:rPr>
          <w:rFonts w:eastAsia="MS Mincho"/>
          <w:lang w:eastAsia="ja-JP"/>
        </w:rPr>
      </w:pPr>
    </w:p>
    <w:p w14:paraId="2CE33A60" w14:textId="77777777" w:rsidR="006C37C9" w:rsidRPr="00B842BE" w:rsidRDefault="006C37C9" w:rsidP="006C37C9">
      <w:pPr>
        <w:rPr>
          <w:rFonts w:eastAsia="MS Mincho"/>
          <w:color w:val="0070C0"/>
          <w:lang w:eastAsia="ja-JP"/>
        </w:rPr>
      </w:pPr>
      <w:r w:rsidRPr="002C4D2D">
        <w:rPr>
          <w:rFonts w:eastAsia="MS Mincho" w:hint="eastAsia"/>
          <w:b/>
          <w:highlight w:val="green"/>
          <w:u w:val="single"/>
          <w:lang w:eastAsia="ja-JP"/>
        </w:rPr>
        <w:t>Agreements:</w:t>
      </w:r>
    </w:p>
    <w:p w14:paraId="24433FCE" w14:textId="77777777" w:rsidR="006C37C9" w:rsidRPr="002C4D2D" w:rsidRDefault="006C37C9" w:rsidP="006C37C9">
      <w:pPr>
        <w:numPr>
          <w:ilvl w:val="0"/>
          <w:numId w:val="53"/>
        </w:numPr>
        <w:overflowPunct/>
        <w:autoSpaceDE/>
        <w:autoSpaceDN/>
        <w:adjustRightInd/>
        <w:spacing w:after="0"/>
        <w:jc w:val="left"/>
        <w:textAlignment w:val="auto"/>
        <w:rPr>
          <w:rFonts w:eastAsia="MS Mincho"/>
          <w:lang w:eastAsia="ja-JP"/>
        </w:rPr>
      </w:pPr>
      <w:r w:rsidRPr="002C4D2D">
        <w:rPr>
          <w:rFonts w:eastAsia="MS Mincho"/>
          <w:lang w:eastAsia="ja-JP"/>
        </w:rPr>
        <w:t>In ‘Slot format related information’, ‘other’ is at least:</w:t>
      </w:r>
    </w:p>
    <w:p w14:paraId="42F38DE3" w14:textId="77777777" w:rsidR="006C37C9" w:rsidRPr="002C4D2D" w:rsidRDefault="006C37C9" w:rsidP="006C37C9">
      <w:pPr>
        <w:numPr>
          <w:ilvl w:val="1"/>
          <w:numId w:val="53"/>
        </w:numPr>
        <w:overflowPunct/>
        <w:autoSpaceDE/>
        <w:autoSpaceDN/>
        <w:adjustRightInd/>
        <w:spacing w:after="0"/>
        <w:jc w:val="left"/>
        <w:textAlignment w:val="auto"/>
        <w:rPr>
          <w:rFonts w:eastAsia="MS Mincho"/>
          <w:lang w:eastAsia="ja-JP"/>
        </w:rPr>
      </w:pPr>
      <w:r w:rsidRPr="002C4D2D">
        <w:rPr>
          <w:rFonts w:eastAsia="MS Mincho"/>
          <w:lang w:eastAsia="ja-JP"/>
        </w:rPr>
        <w:t>‘Unknown’</w:t>
      </w:r>
    </w:p>
    <w:p w14:paraId="14972552" w14:textId="77777777" w:rsidR="006C37C9" w:rsidRPr="002C4D2D" w:rsidRDefault="006C37C9" w:rsidP="006C37C9">
      <w:pPr>
        <w:numPr>
          <w:ilvl w:val="2"/>
          <w:numId w:val="53"/>
        </w:numPr>
        <w:overflowPunct/>
        <w:autoSpaceDE/>
        <w:autoSpaceDN/>
        <w:adjustRightInd/>
        <w:spacing w:after="0"/>
        <w:jc w:val="left"/>
        <w:textAlignment w:val="auto"/>
        <w:rPr>
          <w:rFonts w:eastAsia="MS Mincho"/>
          <w:lang w:eastAsia="ja-JP"/>
        </w:rPr>
      </w:pPr>
      <w:r w:rsidRPr="002C4D2D">
        <w:rPr>
          <w:rFonts w:eastAsia="MS Mincho"/>
          <w:lang w:eastAsia="ja-JP"/>
        </w:rPr>
        <w:t>UE shall not assume anything for the symbol with ‘Unknown’ by this information</w:t>
      </w:r>
    </w:p>
    <w:p w14:paraId="057F64D4" w14:textId="77777777" w:rsidR="006C37C9" w:rsidRPr="002C4D2D" w:rsidRDefault="006C37C9" w:rsidP="006C37C9">
      <w:pPr>
        <w:numPr>
          <w:ilvl w:val="2"/>
          <w:numId w:val="53"/>
        </w:numPr>
        <w:overflowPunct/>
        <w:autoSpaceDE/>
        <w:autoSpaceDN/>
        <w:adjustRightInd/>
        <w:spacing w:after="0"/>
        <w:jc w:val="left"/>
        <w:textAlignment w:val="auto"/>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034BC8AD" w14:textId="77777777" w:rsidR="006C37C9" w:rsidRPr="002C4D2D" w:rsidRDefault="006C37C9" w:rsidP="006C37C9">
      <w:pPr>
        <w:numPr>
          <w:ilvl w:val="1"/>
          <w:numId w:val="53"/>
        </w:numPr>
        <w:overflowPunct/>
        <w:autoSpaceDE/>
        <w:autoSpaceDN/>
        <w:adjustRightInd/>
        <w:spacing w:after="0"/>
        <w:jc w:val="left"/>
        <w:textAlignment w:val="auto"/>
        <w:rPr>
          <w:rFonts w:eastAsia="MS Mincho"/>
          <w:lang w:eastAsia="ja-JP"/>
        </w:rPr>
      </w:pPr>
      <w:r w:rsidRPr="002C4D2D">
        <w:rPr>
          <w:rFonts w:eastAsia="MS Mincho"/>
          <w:lang w:eastAsia="ja-JP"/>
        </w:rPr>
        <w:t>FFS: ‘Empty’</w:t>
      </w:r>
    </w:p>
    <w:p w14:paraId="0D5E360B" w14:textId="77777777" w:rsidR="006C37C9" w:rsidRPr="002C4D2D" w:rsidRDefault="006C37C9" w:rsidP="006C37C9">
      <w:pPr>
        <w:numPr>
          <w:ilvl w:val="2"/>
          <w:numId w:val="53"/>
        </w:numPr>
        <w:overflowPunct/>
        <w:autoSpaceDE/>
        <w:autoSpaceDN/>
        <w:adjustRightInd/>
        <w:spacing w:after="0"/>
        <w:jc w:val="left"/>
        <w:textAlignment w:val="auto"/>
        <w:rPr>
          <w:rFonts w:eastAsia="MS Mincho"/>
          <w:lang w:eastAsia="ja-JP"/>
        </w:rPr>
      </w:pPr>
      <w:r w:rsidRPr="002C4D2D">
        <w:rPr>
          <w:rFonts w:eastAsia="MS Mincho"/>
          <w:lang w:eastAsia="ja-JP"/>
        </w:rPr>
        <w:t>UEs can use this resource for interference measurement</w:t>
      </w:r>
    </w:p>
    <w:p w14:paraId="724C0961" w14:textId="77777777" w:rsidR="006C37C9" w:rsidRDefault="006C37C9" w:rsidP="006C37C9">
      <w:pPr>
        <w:numPr>
          <w:ilvl w:val="2"/>
          <w:numId w:val="53"/>
        </w:numPr>
        <w:overflowPunct/>
        <w:autoSpaceDE/>
        <w:autoSpaceDN/>
        <w:adjustRightInd/>
        <w:spacing w:after="0"/>
        <w:jc w:val="left"/>
        <w:textAlignment w:val="auto"/>
        <w:rPr>
          <w:rFonts w:eastAsia="MS Mincho"/>
          <w:color w:val="0070C0"/>
          <w:lang w:eastAsia="ja-JP"/>
        </w:rPr>
      </w:pPr>
      <w:r w:rsidRPr="002C4D2D">
        <w:rPr>
          <w:rFonts w:eastAsia="MS Mincho"/>
          <w:lang w:eastAsia="ja-JP"/>
        </w:rPr>
        <w:t>UE may assume there is no transmission</w:t>
      </w:r>
    </w:p>
    <w:p w14:paraId="2A23CB4B" w14:textId="6F01509C" w:rsidR="005261FA" w:rsidRDefault="005261FA" w:rsidP="005261FA"/>
    <w:p w14:paraId="207E7440" w14:textId="0CB31C69" w:rsidR="00856434" w:rsidRDefault="00C43FE1" w:rsidP="005261FA">
      <w:r>
        <w:t xml:space="preserve">In </w:t>
      </w:r>
      <w:r w:rsidR="00043E0D">
        <w:t>our companion</w:t>
      </w:r>
      <w:r>
        <w:t xml:space="preserve"> contribution we discuss our view on the structure </w:t>
      </w:r>
      <w:r w:rsidR="00043E0D">
        <w:t xml:space="preserve">and </w:t>
      </w:r>
      <w:r w:rsidR="00DD6998">
        <w:t>configuration</w:t>
      </w:r>
      <w:r w:rsidR="00043E0D">
        <w:t xml:space="preserve"> </w:t>
      </w:r>
      <w:r>
        <w:t>of the ‘group common PDCCH</w:t>
      </w:r>
      <w:r w:rsidR="002A7A8C">
        <w:t>’</w:t>
      </w:r>
      <w:r w:rsidR="001D1693">
        <w:t xml:space="preserve"> and related UE procedures</w:t>
      </w:r>
      <w:r w:rsidR="00924E7F">
        <w:t xml:space="preserve"> </w:t>
      </w:r>
      <w:r w:rsidR="00924E7F">
        <w:fldChar w:fldCharType="begin"/>
      </w:r>
      <w:r w:rsidR="00924E7F">
        <w:instrText xml:space="preserve"> REF _Ref477822560 \n \h </w:instrText>
      </w:r>
      <w:r w:rsidR="00924E7F">
        <w:fldChar w:fldCharType="separate"/>
      </w:r>
      <w:r w:rsidR="00924E7F">
        <w:t>[4]</w:t>
      </w:r>
      <w:r w:rsidR="00924E7F">
        <w:fldChar w:fldCharType="end"/>
      </w:r>
      <w:r w:rsidR="00924E7F">
        <w:fldChar w:fldCharType="begin"/>
      </w:r>
      <w:r w:rsidR="00924E7F">
        <w:instrText xml:space="preserve"> REF _Ref484947255 \n \h </w:instrText>
      </w:r>
      <w:r w:rsidR="00924E7F">
        <w:fldChar w:fldCharType="separate"/>
      </w:r>
      <w:r w:rsidR="00924E7F">
        <w:t>[5]</w:t>
      </w:r>
      <w:r w:rsidR="00924E7F">
        <w:fldChar w:fldCharType="end"/>
      </w:r>
      <w:r w:rsidR="00043E0D">
        <w:t>. In this discussion</w:t>
      </w:r>
      <w:r w:rsidR="00924E7F">
        <w:t>,</w:t>
      </w:r>
      <w:r w:rsidR="00043E0D">
        <w:t xml:space="preserve"> </w:t>
      </w:r>
      <w:r w:rsidR="00DD6998">
        <w:t>we focus on the corresponding fields</w:t>
      </w:r>
      <w:r w:rsidR="00043E0D">
        <w:t xml:space="preserve"> of this signa</w:t>
      </w:r>
      <w:r w:rsidR="001D1693">
        <w:t>.</w:t>
      </w:r>
      <w:r w:rsidR="00043E0D">
        <w:t>.</w:t>
      </w:r>
    </w:p>
    <w:p w14:paraId="623B3C48" w14:textId="36483FFA" w:rsidR="005261FA" w:rsidRPr="005261FA" w:rsidRDefault="005261FA" w:rsidP="005261FA">
      <w:pPr>
        <w:pStyle w:val="Heading1"/>
      </w:pPr>
      <w:r>
        <w:t>Discussion</w:t>
      </w:r>
    </w:p>
    <w:p w14:paraId="355A8CA2" w14:textId="45D69200" w:rsidR="00BE3726" w:rsidRPr="00BE3726" w:rsidRDefault="00286C66" w:rsidP="00AE553B">
      <w:r w:rsidRPr="00BE3726">
        <w:t>In this section</w:t>
      </w:r>
      <w:r w:rsidR="00822A56">
        <w:t>,</w:t>
      </w:r>
      <w:r w:rsidRPr="00BE3726">
        <w:t xml:space="preserve"> we discuss our view on the </w:t>
      </w:r>
      <w:r w:rsidR="00DD6998">
        <w:t>fields</w:t>
      </w:r>
      <w:r w:rsidRPr="00BE3726">
        <w:t xml:space="preserve"> </w:t>
      </w:r>
      <w:r w:rsidR="00DD6998">
        <w:t>in</w:t>
      </w:r>
      <w:r w:rsidRPr="00BE3726">
        <w:t xml:space="preserve"> the ‘group common PDCCH’.</w:t>
      </w:r>
    </w:p>
    <w:p w14:paraId="0C292BEB" w14:textId="05789376" w:rsidR="00DD6998" w:rsidRDefault="00DD6998" w:rsidP="00DD6998">
      <w:r>
        <w:t xml:space="preserve">Different functionalities such as UE’s processing time improvement, cross-link interference mitigations, reduction of number of blind decodes and UE’s power saving are claimed to be beneficial to be enabled by means of a ‘group common PDCCH’ </w:t>
      </w:r>
      <w:r>
        <w:fldChar w:fldCharType="begin"/>
      </w:r>
      <w:r>
        <w:instrText xml:space="preserve"> REF _Ref477814154 \n \h </w:instrText>
      </w:r>
      <w:r>
        <w:fldChar w:fldCharType="separate"/>
      </w:r>
      <w:r w:rsidR="006C37C9">
        <w:t>[1]</w:t>
      </w:r>
      <w:r>
        <w:fldChar w:fldCharType="end"/>
      </w:r>
      <w:r>
        <w:t>. Depending on the functionality, diverse views were expressed on whether the ‘group common PDCCH’ should be considered as enablers if such functionalities.</w:t>
      </w:r>
    </w:p>
    <w:p w14:paraId="176F45AD" w14:textId="53C62B2E" w:rsidR="009729C5" w:rsidRPr="000A58F9" w:rsidRDefault="009729C5" w:rsidP="000A58F9">
      <w:r w:rsidRPr="000A58F9">
        <w:rPr>
          <w:rFonts w:eastAsia="MS Mincho"/>
          <w:b/>
          <w:u w:val="single"/>
          <w:lang w:eastAsia="ja-JP"/>
        </w:rPr>
        <w:t>UE power saving and blind decoding reduction:</w:t>
      </w:r>
    </w:p>
    <w:p w14:paraId="1C2F0047" w14:textId="77777777" w:rsidR="00CF7FED" w:rsidRDefault="00CF7FED" w:rsidP="00CF7FED">
      <w:pPr>
        <w:pStyle w:val="BodyText"/>
      </w:pPr>
      <w:r>
        <w:t>In general, in the UE, power consumption is affected at least by the following factors with respect to blind decoding.</w:t>
      </w:r>
    </w:p>
    <w:p w14:paraId="522A6EF2" w14:textId="77777777" w:rsidR="00CF7FED" w:rsidRDefault="00CF7FED" w:rsidP="00CF7FED">
      <w:pPr>
        <w:pStyle w:val="BodyText"/>
        <w:numPr>
          <w:ilvl w:val="0"/>
          <w:numId w:val="54"/>
        </w:numPr>
      </w:pPr>
      <w:r>
        <w:t>Aspects related to reception of the signal such as the power taken by the radio receiver including RF and baseband components</w:t>
      </w:r>
    </w:p>
    <w:p w14:paraId="40EF1ADF" w14:textId="77777777" w:rsidR="00CF7FED" w:rsidRDefault="00CF7FED" w:rsidP="00CF7FED">
      <w:pPr>
        <w:pStyle w:val="BodyText"/>
        <w:numPr>
          <w:ilvl w:val="0"/>
          <w:numId w:val="54"/>
        </w:numPr>
      </w:pPr>
      <w:r>
        <w:t>The computational complexity of performing the blind decodes</w:t>
      </w:r>
    </w:p>
    <w:p w14:paraId="2FE6B880" w14:textId="77777777" w:rsidR="00CF7FED" w:rsidRDefault="00CF7FED" w:rsidP="00CF7FED">
      <w:pPr>
        <w:pStyle w:val="BodyText"/>
        <w:numPr>
          <w:ilvl w:val="0"/>
          <w:numId w:val="54"/>
        </w:numPr>
      </w:pPr>
      <w:r>
        <w:t>The processing capability in the UE which impacts the time needed to perform blind decodes and whether blind decode candidates can be processed in parallel or whether they are processed serially</w:t>
      </w:r>
    </w:p>
    <w:p w14:paraId="4140D806" w14:textId="77777777" w:rsidR="00CF7FED" w:rsidRDefault="00CF7FED" w:rsidP="00CF7FED">
      <w:pPr>
        <w:pStyle w:val="BodyText"/>
        <w:numPr>
          <w:ilvl w:val="0"/>
          <w:numId w:val="54"/>
        </w:numPr>
      </w:pPr>
      <w:r>
        <w:t>The power saving capabilities in the UE, i.e., the speed with which various components can be turned off or on in order to save power</w:t>
      </w:r>
    </w:p>
    <w:p w14:paraId="6FAC29A1" w14:textId="77777777" w:rsidR="00CF7FED" w:rsidRDefault="00CF7FED" w:rsidP="00CF7FED">
      <w:pPr>
        <w:pStyle w:val="BodyText"/>
        <w:numPr>
          <w:ilvl w:val="0"/>
          <w:numId w:val="54"/>
        </w:numPr>
      </w:pPr>
      <w:r>
        <w:t>The structure of the control channel resource set</w:t>
      </w:r>
    </w:p>
    <w:p w14:paraId="5953CEF1" w14:textId="2760E9A9" w:rsidR="00CF7FED" w:rsidRPr="00BD210A" w:rsidRDefault="00CF7FED" w:rsidP="000A58F9">
      <w:pPr>
        <w:pStyle w:val="BodyText"/>
        <w:numPr>
          <w:ilvl w:val="0"/>
          <w:numId w:val="54"/>
        </w:numPr>
      </w:pPr>
      <w:r>
        <w:t>The latency in reading the group common PDCCH and responding to the information in it</w:t>
      </w:r>
    </w:p>
    <w:p w14:paraId="7F36D481" w14:textId="77777777" w:rsidR="00CF7FED" w:rsidRDefault="00CF7FED" w:rsidP="00CF7FED">
      <w:pPr>
        <w:rPr>
          <w:color w:val="000000"/>
        </w:rPr>
      </w:pPr>
      <w:r>
        <w:rPr>
          <w:color w:val="000000"/>
        </w:rPr>
        <w:t xml:space="preserve">The ratios of the power consumed by various sources of power consumption will play a key role in the realizable power saving due to any information provided in the group-common PDCCH that may reduce the number of </w:t>
      </w:r>
      <w:r>
        <w:rPr>
          <w:color w:val="000000"/>
        </w:rPr>
        <w:lastRenderedPageBreak/>
        <w:t>blind decoding attempts to be performed by the UE. If for example, the UE is unable to take advantage of micro-sleep procedures in time granularities of less than a slot length and a large fraction of the power is consumed by the radio receiver, then the power savings due to reducing blind decoding complexity could be quite limited. If the UE is able to enable micro-sleep within a slot and turn off the receiver based on information received in the group common PDCCH, then there could be some potential for power reduction. However, the power reduction will then depend on the control resource set structure and how the blind decode processing is performed. For instance, if blind decodes are completed quite fast in comparison to the slot time or the time it takes for the UE to turn off the radio receiver and enable micro-sleep, then, the savings in power from avoiding some blind decodes would be rather limited. Or if the blind decodes are performed in parallel, then the number of blind decodes that can be avoided based on the information from the group common PDCCH may also be limited.</w:t>
      </w:r>
    </w:p>
    <w:p w14:paraId="4B3BF014" w14:textId="379E997F" w:rsidR="00CF7FED" w:rsidRDefault="00CF7FED" w:rsidP="00CF7FED">
      <w:pPr>
        <w:rPr>
          <w:rFonts w:cs="Arial"/>
          <w:color w:val="000000"/>
        </w:rPr>
      </w:pPr>
      <w:r>
        <w:rPr>
          <w:color w:val="000000"/>
        </w:rPr>
        <w:t>Another aspect that plays a role is the structure of the control resource set and the location of the group common PDCCH within it.</w:t>
      </w:r>
      <w:r w:rsidR="00FD3857">
        <w:rPr>
          <w:color w:val="000000"/>
        </w:rPr>
        <w:t xml:space="preserve"> It was agreed in the last meeting that the duration of the control resource set is RRC configured.</w:t>
      </w:r>
      <w:r>
        <w:rPr>
          <w:color w:val="000000"/>
        </w:rPr>
        <w:t xml:space="preserve"> For instance, if the control resource set is only one OFDM symbol long and the UE has the ability to perform blind decodes in parallel, the power saving may not be significant since the UE can only start the decoding of the group common PDCCH after the first OFDM symbol. By the time the UE is able to decode the group common PDCCH and decide that </w:t>
      </w:r>
      <w:r w:rsidR="006B4DC4">
        <w:rPr>
          <w:color w:val="000000"/>
        </w:rPr>
        <w:t xml:space="preserve">the </w:t>
      </w:r>
      <w:r>
        <w:rPr>
          <w:color w:val="000000"/>
        </w:rPr>
        <w:t xml:space="preserve">other blind decodes are not needed, most of them may be completed anyway. If the UE waits to do the other blind decodes after the result of the decoding of the group common PDCCH is known, then the buffering requirements will be greater and in fact more power may be consumed due to a delay in when micro-sleep can be applied. </w:t>
      </w:r>
      <w:r>
        <w:rPr>
          <w:rFonts w:cs="Arial"/>
          <w:color w:val="000000"/>
        </w:rPr>
        <w:t xml:space="preserve">If a CORESET longer than one OFDM symbol is used and the group common PDCCH is confined to the first OFDM symbol, then the potential for power savings is potentially greater. </w:t>
      </w:r>
    </w:p>
    <w:p w14:paraId="26D5F19F" w14:textId="0EFBB12B" w:rsidR="003B6B76" w:rsidRPr="000A58F9" w:rsidRDefault="00CF7FED" w:rsidP="00DD6998">
      <w:pPr>
        <w:rPr>
          <w:rFonts w:cs="Arial"/>
          <w:color w:val="000000"/>
        </w:rPr>
      </w:pPr>
      <w:r>
        <w:rPr>
          <w:rFonts w:cs="Arial"/>
          <w:color w:val="000000"/>
        </w:rPr>
        <w:t>It should also be noted that the slot format information already agreed could be provided not just for the current slot but for future slots as well when the slot formats are not otherwise known by some other means, e.g., when dynamic TDD is used. When the UE is provided information about future slots which indicates that these slots do not have any symbols for DL within them, the UE can skip all blind decodes including the group common PDCCH for the entire slot. This can serve to reduce the number of blind decodes that the UE has to perform.</w:t>
      </w:r>
    </w:p>
    <w:p w14:paraId="5143319D" w14:textId="74736B69" w:rsidR="00DD6998" w:rsidRDefault="00DD6998" w:rsidP="00DD6998">
      <w:pPr>
        <w:rPr>
          <w:b/>
        </w:rPr>
      </w:pPr>
      <w:r>
        <w:t xml:space="preserve">In our view the information on the data starting position should be conveyed in the UE-specific DCI since the UE should be able to receive data irrespective of the presence or detection of the ‘group common PDDCH’ </w:t>
      </w:r>
      <w:r>
        <w:fldChar w:fldCharType="begin"/>
      </w:r>
      <w:r>
        <w:instrText xml:space="preserve"> REF _Ref473637123 \n \h </w:instrText>
      </w:r>
      <w:r>
        <w:fldChar w:fldCharType="separate"/>
      </w:r>
      <w:r w:rsidR="006C37C9">
        <w:t>[4]</w:t>
      </w:r>
      <w:r>
        <w:fldChar w:fldCharType="end"/>
      </w:r>
      <w:r>
        <w:t>.</w:t>
      </w:r>
      <w:r w:rsidR="00245979">
        <w:t xml:space="preserve"> </w:t>
      </w:r>
      <w:r w:rsidR="00245979">
        <w:rPr>
          <w:lang w:val="en-GB"/>
        </w:rPr>
        <w:t>Furthermore, f</w:t>
      </w:r>
      <w:r w:rsidR="00245979">
        <w:t xml:space="preserve">or analog beamforming in NR, the UE needs to adjust its RX beam according to information given in the PDCCH which means that to schedule PDSCH in the same slot in which the UE receives the PDCCH, there needs to be some offset indicated to the UE. </w:t>
      </w:r>
      <w:r w:rsidR="00245979">
        <w:rPr>
          <w:lang w:val="en-GB"/>
        </w:rPr>
        <w:t>The signalling of the starting position in the UE-specific DCI can be used for this purpose.</w:t>
      </w:r>
    </w:p>
    <w:p w14:paraId="13E8D3E2" w14:textId="77777777" w:rsidR="00CF7FED" w:rsidRDefault="00CF7FED" w:rsidP="00CF7FED">
      <w:pPr>
        <w:rPr>
          <w:rFonts w:cs="Arial"/>
          <w:color w:val="000000"/>
        </w:rPr>
      </w:pPr>
      <w:r>
        <w:rPr>
          <w:rFonts w:cs="Arial"/>
          <w:color w:val="000000"/>
        </w:rPr>
        <w:t>Based on this discussion we propose the following.</w:t>
      </w:r>
    </w:p>
    <w:p w14:paraId="66154C82" w14:textId="157F1FDF" w:rsidR="00CF7FED" w:rsidRDefault="00070B09" w:rsidP="00CF7FED">
      <w:pPr>
        <w:rPr>
          <w:rFonts w:cs="Arial"/>
          <w:b/>
          <w:color w:val="000000"/>
        </w:rPr>
      </w:pPr>
      <w:r>
        <w:rPr>
          <w:rFonts w:cs="Arial"/>
          <w:b/>
          <w:color w:val="000000"/>
        </w:rPr>
        <w:t>Proposal</w:t>
      </w:r>
      <w:r w:rsidR="00CF7FED">
        <w:rPr>
          <w:rFonts w:cs="Arial"/>
          <w:b/>
          <w:color w:val="000000"/>
        </w:rPr>
        <w:t>:</w:t>
      </w:r>
    </w:p>
    <w:p w14:paraId="643F90AF" w14:textId="58C6527D" w:rsidR="007226CD" w:rsidRPr="006179E4" w:rsidRDefault="00CF7FED" w:rsidP="006179E4">
      <w:pPr>
        <w:pStyle w:val="BodyText"/>
        <w:numPr>
          <w:ilvl w:val="0"/>
          <w:numId w:val="51"/>
        </w:numPr>
        <w:rPr>
          <w:rFonts w:cs="Arial"/>
          <w:color w:val="000000"/>
          <w:lang w:val="en-GB"/>
        </w:rPr>
      </w:pPr>
      <w:r w:rsidRPr="006179E4">
        <w:rPr>
          <w:rFonts w:eastAsia="MS Mincho"/>
          <w:lang w:eastAsia="ja-JP"/>
        </w:rPr>
        <w:t xml:space="preserve">The power savings achievable with implementation constraints should be </w:t>
      </w:r>
      <w:r w:rsidR="00BD6027">
        <w:rPr>
          <w:rFonts w:cs="Arial"/>
          <w:color w:val="000000"/>
          <w:lang w:val="en-GB"/>
        </w:rPr>
        <w:t>shown to be substantial before</w:t>
      </w:r>
      <w:r w:rsidR="00BD6027" w:rsidRPr="00810090">
        <w:rPr>
          <w:rFonts w:cs="Arial"/>
          <w:color w:val="000000"/>
          <w:lang w:val="en-GB"/>
        </w:rPr>
        <w:t xml:space="preserve"> </w:t>
      </w:r>
      <w:r w:rsidRPr="006179E4">
        <w:rPr>
          <w:rFonts w:eastAsia="MS Mincho"/>
          <w:lang w:eastAsia="ja-JP"/>
        </w:rPr>
        <w:t>defining information to be sent in the group common PDCCH for the purpose of blind decode reduction.</w:t>
      </w:r>
    </w:p>
    <w:p w14:paraId="54ADC664" w14:textId="03015A37" w:rsidR="00DD6998" w:rsidRPr="003B598D" w:rsidRDefault="00DD6998" w:rsidP="00872FA7">
      <w:pPr>
        <w:pStyle w:val="BodyText"/>
        <w:numPr>
          <w:ilvl w:val="0"/>
          <w:numId w:val="51"/>
        </w:numPr>
        <w:rPr>
          <w:rFonts w:eastAsia="MS Mincho"/>
          <w:lang w:eastAsia="ja-JP"/>
        </w:rPr>
      </w:pPr>
      <w:r w:rsidRPr="00A465B5">
        <w:rPr>
          <w:rFonts w:eastAsia="MS Mincho"/>
          <w:lang w:eastAsia="ja-JP"/>
        </w:rPr>
        <w:t>The star</w:t>
      </w:r>
      <w:r w:rsidR="00D73155">
        <w:rPr>
          <w:rFonts w:eastAsia="MS Mincho"/>
          <w:lang w:eastAsia="ja-JP"/>
        </w:rPr>
        <w:t>t</w:t>
      </w:r>
      <w:r w:rsidRPr="00A465B5">
        <w:rPr>
          <w:rFonts w:eastAsia="MS Mincho"/>
          <w:lang w:eastAsia="ja-JP"/>
        </w:rPr>
        <w:t>ing position of downlink data in a slot can be explicitly and dynamically indicated to the UE</w:t>
      </w:r>
      <w:r w:rsidRPr="003B598D">
        <w:rPr>
          <w:rFonts w:eastAsia="MS Mincho"/>
          <w:lang w:eastAsia="ja-JP"/>
        </w:rPr>
        <w:t xml:space="preserve"> in the UE-specific DCI.</w:t>
      </w:r>
    </w:p>
    <w:p w14:paraId="002CF591" w14:textId="77777777" w:rsidR="00112020" w:rsidRDefault="00112020" w:rsidP="00BD210A">
      <w:pPr>
        <w:rPr>
          <w:b/>
          <w:u w:val="single"/>
        </w:rPr>
      </w:pPr>
    </w:p>
    <w:p w14:paraId="03535E23" w14:textId="065B85E9" w:rsidR="00BD210A" w:rsidRPr="00810090" w:rsidRDefault="00BD210A" w:rsidP="00BD210A">
      <w:pPr>
        <w:rPr>
          <w:b/>
          <w:u w:val="single"/>
        </w:rPr>
      </w:pPr>
      <w:r w:rsidRPr="00810090">
        <w:rPr>
          <w:b/>
          <w:u w:val="single"/>
        </w:rPr>
        <w:t>Other ‘slot related information’:</w:t>
      </w:r>
    </w:p>
    <w:p w14:paraId="304F0DDA" w14:textId="77777777" w:rsidR="00BD210A" w:rsidRDefault="00BD210A" w:rsidP="00BD210A">
      <w:r>
        <w:t>It was discussed in the last meeting whether the ‘slot related information’ can be used to indicate to the UE that the addressed slot(s) in the group-common PDCCH are ‘Empty’. In this case, the UE assumes that there is no transmission from the serving gNB and no UL transmission form the UEs served by the same gNB. The benefit with this field is that if such situation occurs that no DL or UL transmissions is planned for a certain duration of times, for example during the gap between DL and UL transmissions, UEs can use this information to perform cross-link interference.  This however can be considered as an add-on feature to the LTE like IM resources. The motivation is that if there are silences intervals form the gNB perspective, sharing that information with the UEs provides them with an opportunity to make interference measurements which can be beneficial for the system operation. Therefore, we propose the following:</w:t>
      </w:r>
    </w:p>
    <w:p w14:paraId="63D33352" w14:textId="77777777" w:rsidR="00BD210A" w:rsidRPr="00810090" w:rsidRDefault="00BD210A" w:rsidP="00BD210A">
      <w:pPr>
        <w:rPr>
          <w:b/>
        </w:rPr>
      </w:pPr>
      <w:r w:rsidRPr="00810090">
        <w:rPr>
          <w:b/>
        </w:rPr>
        <w:t>Proposal:</w:t>
      </w:r>
    </w:p>
    <w:p w14:paraId="3864BA70" w14:textId="7E01C6E4" w:rsidR="00BD210A" w:rsidRDefault="00BD210A" w:rsidP="00BD210A">
      <w:pPr>
        <w:numPr>
          <w:ilvl w:val="0"/>
          <w:numId w:val="53"/>
        </w:numPr>
        <w:overflowPunct/>
        <w:autoSpaceDE/>
        <w:autoSpaceDN/>
        <w:adjustRightInd/>
        <w:spacing w:after="0"/>
        <w:jc w:val="left"/>
        <w:textAlignment w:val="auto"/>
        <w:rPr>
          <w:rFonts w:eastAsia="MS Mincho"/>
          <w:lang w:eastAsia="ja-JP"/>
        </w:rPr>
      </w:pPr>
      <w:r>
        <w:rPr>
          <w:rFonts w:eastAsia="MS Mincho"/>
          <w:lang w:eastAsia="ja-JP"/>
        </w:rPr>
        <w:t>The</w:t>
      </w:r>
      <w:r w:rsidRPr="002C4D2D">
        <w:rPr>
          <w:rFonts w:eastAsia="MS Mincho"/>
          <w:lang w:eastAsia="ja-JP"/>
        </w:rPr>
        <w:t xml:space="preserve"> ‘Sl</w:t>
      </w:r>
      <w:r>
        <w:rPr>
          <w:rFonts w:eastAsia="MS Mincho"/>
          <w:lang w:eastAsia="ja-JP"/>
        </w:rPr>
        <w:t>ot format related information’ field, can be tagged as ‘Empty</w:t>
      </w:r>
      <w:r w:rsidR="009E6449">
        <w:rPr>
          <w:rFonts w:eastAsia="MS Mincho"/>
          <w:lang w:eastAsia="ja-JP"/>
        </w:rPr>
        <w:t>’</w:t>
      </w:r>
      <w:r>
        <w:rPr>
          <w:rFonts w:eastAsia="MS Mincho"/>
          <w:lang w:eastAsia="ja-JP"/>
        </w:rPr>
        <w:t xml:space="preserve"> in addition to ‘Unknown’, ‘DL’ and </w:t>
      </w:r>
      <w:r w:rsidR="009E6449">
        <w:rPr>
          <w:rFonts w:eastAsia="MS Mincho"/>
          <w:lang w:eastAsia="ja-JP"/>
        </w:rPr>
        <w:t>‘</w:t>
      </w:r>
      <w:r>
        <w:rPr>
          <w:rFonts w:eastAsia="MS Mincho"/>
          <w:lang w:eastAsia="ja-JP"/>
        </w:rPr>
        <w:t>UL’.</w:t>
      </w:r>
    </w:p>
    <w:p w14:paraId="0B5138E0" w14:textId="77777777" w:rsidR="00BD210A" w:rsidRPr="002C4D2D" w:rsidRDefault="00BD210A" w:rsidP="00BD210A">
      <w:pPr>
        <w:numPr>
          <w:ilvl w:val="1"/>
          <w:numId w:val="53"/>
        </w:numPr>
        <w:overflowPunct/>
        <w:autoSpaceDE/>
        <w:autoSpaceDN/>
        <w:adjustRightInd/>
        <w:spacing w:after="0"/>
        <w:jc w:val="left"/>
        <w:textAlignment w:val="auto"/>
        <w:rPr>
          <w:rFonts w:eastAsia="MS Mincho"/>
          <w:lang w:eastAsia="ja-JP"/>
        </w:rPr>
      </w:pPr>
      <w:r>
        <w:rPr>
          <w:rFonts w:eastAsia="MS Mincho"/>
          <w:lang w:eastAsia="ja-JP"/>
        </w:rPr>
        <w:lastRenderedPageBreak/>
        <w:t>For the slot(s) tagged as ‘Empty’, the UE assumes that there is no DL or UL transmissions scheduled by its serving gNB.</w:t>
      </w:r>
    </w:p>
    <w:p w14:paraId="4795F557" w14:textId="341AB4EA" w:rsidR="003B6B76" w:rsidRDefault="003B6B76" w:rsidP="00872FA7">
      <w:pPr>
        <w:pStyle w:val="BodyText"/>
        <w:rPr>
          <w:rFonts w:cs="Arial"/>
        </w:rPr>
      </w:pPr>
    </w:p>
    <w:p w14:paraId="7F9B4FE4" w14:textId="714052B6" w:rsidR="00BD210A" w:rsidRPr="000A58F9" w:rsidRDefault="004A1607" w:rsidP="00872FA7">
      <w:pPr>
        <w:pStyle w:val="BodyText"/>
        <w:rPr>
          <w:rFonts w:cs="Arial"/>
          <w:b/>
          <w:u w:val="single"/>
        </w:rPr>
      </w:pPr>
      <w:r>
        <w:rPr>
          <w:rFonts w:cs="Arial"/>
          <w:b/>
          <w:u w:val="single"/>
        </w:rPr>
        <w:t xml:space="preserve">Additional </w:t>
      </w:r>
      <w:r w:rsidRPr="004A1607">
        <w:rPr>
          <w:rFonts w:cs="Arial"/>
          <w:b/>
          <w:u w:val="single"/>
        </w:rPr>
        <w:t xml:space="preserve">SR </w:t>
      </w:r>
      <w:r>
        <w:rPr>
          <w:rFonts w:cs="Arial"/>
          <w:b/>
          <w:u w:val="single"/>
        </w:rPr>
        <w:t>resources</w:t>
      </w:r>
      <w:r w:rsidR="00BD210A" w:rsidRPr="000A58F9">
        <w:rPr>
          <w:rFonts w:cs="Arial"/>
          <w:b/>
          <w:u w:val="single"/>
        </w:rPr>
        <w:t>:</w:t>
      </w:r>
    </w:p>
    <w:p w14:paraId="46EE950E" w14:textId="05C976F8" w:rsidR="00DD6998" w:rsidRPr="00872FA7" w:rsidRDefault="00DD6998" w:rsidP="00872FA7">
      <w:pPr>
        <w:pStyle w:val="BodyText"/>
        <w:rPr>
          <w:rFonts w:cs="Arial"/>
        </w:rPr>
      </w:pPr>
      <w:r w:rsidRPr="00872FA7">
        <w:rPr>
          <w:rFonts w:cs="Arial"/>
        </w:rPr>
        <w:t xml:space="preserve">Other benefits include dynamically signaling the presence of resources for SR transmission </w:t>
      </w:r>
      <w:r w:rsidRPr="00872FA7">
        <w:rPr>
          <w:rFonts w:cs="Arial"/>
        </w:rPr>
        <w:fldChar w:fldCharType="begin"/>
      </w:r>
      <w:r w:rsidRPr="00872FA7">
        <w:rPr>
          <w:rFonts w:cs="Arial"/>
        </w:rPr>
        <w:instrText xml:space="preserve"> REF _Ref477814154 \n \h </w:instrText>
      </w:r>
      <w:r w:rsidR="00774DA9">
        <w:rPr>
          <w:rFonts w:cs="Arial"/>
        </w:rPr>
        <w:instrText xml:space="preserve"> \* MERGEFORMAT </w:instrText>
      </w:r>
      <w:r w:rsidRPr="00872FA7">
        <w:rPr>
          <w:rFonts w:cs="Arial"/>
        </w:rPr>
      </w:r>
      <w:r w:rsidRPr="00872FA7">
        <w:rPr>
          <w:rFonts w:cs="Arial"/>
        </w:rPr>
        <w:fldChar w:fldCharType="separate"/>
      </w:r>
      <w:r w:rsidR="006C37C9">
        <w:rPr>
          <w:rFonts w:cs="Arial"/>
        </w:rPr>
        <w:t>[1]</w:t>
      </w:r>
      <w:r w:rsidRPr="00872FA7">
        <w:rPr>
          <w:rFonts w:cs="Arial"/>
        </w:rPr>
        <w:fldChar w:fldCharType="end"/>
      </w:r>
      <w:r w:rsidRPr="00872FA7">
        <w:rPr>
          <w:rFonts w:cs="Arial"/>
        </w:rPr>
        <w:t xml:space="preserve">. Considering that the UE is semi-statically configured with resources for SR transmissions, </w:t>
      </w:r>
      <w:r w:rsidRPr="00872FA7">
        <w:rPr>
          <w:rFonts w:cs="Arial"/>
          <w:color w:val="000000"/>
        </w:rPr>
        <w:t>the gNB can provide additional SR resources by indicating them in the ‘group common PDCCH’.</w:t>
      </w:r>
      <w:r w:rsidRPr="00872FA7">
        <w:rPr>
          <w:rFonts w:cs="Arial"/>
        </w:rPr>
        <w:t xml:space="preserve"> </w:t>
      </w:r>
      <w:r w:rsidRPr="00872FA7">
        <w:rPr>
          <w:rFonts w:cs="Arial"/>
          <w:color w:val="000000"/>
        </w:rPr>
        <w:t>The additional SR resources are useful to provide lower latency as they are typically provided "in between" the periodically occurring normal resources.</w:t>
      </w:r>
      <w:r w:rsidR="009729C5">
        <w:rPr>
          <w:rFonts w:cs="Arial"/>
          <w:color w:val="000000"/>
        </w:rPr>
        <w:t xml:space="preserve"> </w:t>
      </w:r>
      <w:r w:rsidR="00A16188">
        <w:rPr>
          <w:rFonts w:cs="Arial"/>
          <w:color w:val="000000"/>
        </w:rPr>
        <w:t>T</w:t>
      </w:r>
      <w:r w:rsidR="004A1607">
        <w:rPr>
          <w:rFonts w:cs="Arial"/>
          <w:color w:val="000000"/>
        </w:rPr>
        <w:t>here resources</w:t>
      </w:r>
      <w:r w:rsidR="00A16188">
        <w:rPr>
          <w:rFonts w:cs="Arial"/>
          <w:color w:val="000000"/>
        </w:rPr>
        <w:t xml:space="preserve"> can be </w:t>
      </w:r>
      <w:r w:rsidR="004A1607">
        <w:rPr>
          <w:rFonts w:cs="Arial"/>
          <w:color w:val="000000"/>
        </w:rPr>
        <w:t>periodic or aperiodic configured resources.</w:t>
      </w:r>
    </w:p>
    <w:p w14:paraId="7E8506EE" w14:textId="6F19CB28" w:rsidR="00DD6998" w:rsidRPr="003631C4" w:rsidRDefault="00DD6998" w:rsidP="00DD6998">
      <w:pPr>
        <w:pStyle w:val="BodyText"/>
        <w:rPr>
          <w:b/>
        </w:rPr>
      </w:pPr>
      <w:r w:rsidRPr="003631C4">
        <w:rPr>
          <w:b/>
        </w:rPr>
        <w:t>Proposal:</w:t>
      </w:r>
    </w:p>
    <w:p w14:paraId="5067CE79" w14:textId="217C98BA" w:rsidR="00DD6998" w:rsidRPr="00AE553B" w:rsidRDefault="00DD6998" w:rsidP="00872FA7">
      <w:pPr>
        <w:pStyle w:val="BodyText"/>
        <w:numPr>
          <w:ilvl w:val="0"/>
          <w:numId w:val="51"/>
        </w:numPr>
      </w:pPr>
      <w:r>
        <w:t xml:space="preserve">SR resources can be dynamically </w:t>
      </w:r>
      <w:r w:rsidR="00814EA5">
        <w:t xml:space="preserve">triggered </w:t>
      </w:r>
      <w:r>
        <w:t>in the ‘group common PDCCH’ in addition to the semi-statically configured SR resources.</w:t>
      </w:r>
    </w:p>
    <w:p w14:paraId="7501AD11" w14:textId="0917C9C9" w:rsidR="00F25F85" w:rsidRDefault="00822A56" w:rsidP="00EF52D0">
      <w:r>
        <w:t>Similar</w:t>
      </w:r>
      <w:r w:rsidR="00734092">
        <w:t xml:space="preserve"> to the SR, t</w:t>
      </w:r>
      <w:r w:rsidR="00F25F85">
        <w:t xml:space="preserve">he UE can </w:t>
      </w:r>
      <w:r w:rsidR="00E24EEE">
        <w:t xml:space="preserve">potentially </w:t>
      </w:r>
      <w:r w:rsidR="00F25F85">
        <w:t>be configured with resources for aperiodic SRS transmissions where the corresponding SRS transmission can be triggered by the group-common PDCCH. This can be be</w:t>
      </w:r>
      <w:r w:rsidR="00734092">
        <w:t>neficial in the sense that its provides the possibility to sound the channel when needed in addition to the regular sounding without the need to change the periodic SRS transmission configuration.</w:t>
      </w:r>
    </w:p>
    <w:p w14:paraId="69322C83" w14:textId="77777777" w:rsidR="00AD1874" w:rsidRPr="000A58F9" w:rsidRDefault="00AD1874" w:rsidP="000A58F9">
      <w:pPr>
        <w:pStyle w:val="ListParagraph"/>
        <w:rPr>
          <w:lang w:val="en-GB"/>
        </w:rPr>
      </w:pPr>
    </w:p>
    <w:p w14:paraId="2EA18E70" w14:textId="214B378C" w:rsidR="00707FBC" w:rsidRDefault="001D4B70" w:rsidP="00EF52D0">
      <w:pPr>
        <w:rPr>
          <w:b/>
          <w:u w:val="single"/>
        </w:rPr>
      </w:pPr>
      <w:r>
        <w:rPr>
          <w:b/>
          <w:u w:val="single"/>
        </w:rPr>
        <w:t>De-activate configured transmission</w:t>
      </w:r>
      <w:r w:rsidR="006B4DC4">
        <w:rPr>
          <w:b/>
          <w:u w:val="single"/>
        </w:rPr>
        <w:t>s</w:t>
      </w:r>
      <w:r>
        <w:rPr>
          <w:b/>
          <w:u w:val="single"/>
        </w:rPr>
        <w:t>:</w:t>
      </w:r>
    </w:p>
    <w:p w14:paraId="24298843" w14:textId="5B3DE4B4" w:rsidR="00CC3A3A" w:rsidRDefault="00CC3A3A" w:rsidP="00EF52D0">
      <w:r>
        <w:t>The resources that are used for configured transmissions such as periodic CSI-RS transmission in DL or periodic CSI reporting in UL, can be occasionally used for other transmission such as transmission of critical information. If the direction of these transmissions is the same as the configured transmission, the gNB can indicate to UE that the configured transmission is de-activated in DL or UL. On the other hand</w:t>
      </w:r>
      <w:r w:rsidR="001D0632">
        <w:t>,</w:t>
      </w:r>
      <w:r>
        <w:t xml:space="preserve"> if the direction of these transmission is different from the configured transmission, the deactivation command can be understood by the proper signaling the ‘slot related information’ in the group-common PDCCH.</w:t>
      </w:r>
    </w:p>
    <w:p w14:paraId="6BFA5486" w14:textId="46BD6138" w:rsidR="001D4B70" w:rsidRDefault="00374C7A" w:rsidP="00EF52D0">
      <w:r w:rsidRPr="000A58F9">
        <w:rPr>
          <w:b/>
        </w:rPr>
        <w:t xml:space="preserve">Proposal: </w:t>
      </w:r>
    </w:p>
    <w:p w14:paraId="2E768800" w14:textId="77777777" w:rsidR="00374C7A" w:rsidRPr="006179E4" w:rsidRDefault="00374C7A" w:rsidP="00374C7A">
      <w:pPr>
        <w:pStyle w:val="ListParagraph"/>
        <w:numPr>
          <w:ilvl w:val="0"/>
          <w:numId w:val="55"/>
        </w:numPr>
        <w:rPr>
          <w:lang w:val="en-GB"/>
        </w:rPr>
      </w:pPr>
      <w:r w:rsidRPr="006179E4">
        <w:rPr>
          <w:lang w:val="en-GB"/>
        </w:rPr>
        <w:t>Configured transmissions can be temporarily deactivated by the group-common PDCCH.</w:t>
      </w:r>
    </w:p>
    <w:p w14:paraId="6B74C703" w14:textId="77777777" w:rsidR="00CC3A3A" w:rsidRPr="000A58F9" w:rsidRDefault="00CC3A3A" w:rsidP="00EF52D0">
      <w:pPr>
        <w:rPr>
          <w:lang w:val="en-GB"/>
        </w:rPr>
      </w:pPr>
    </w:p>
    <w:p w14:paraId="6CC37E60" w14:textId="64F1B89A" w:rsidR="00822A56" w:rsidRDefault="00623977" w:rsidP="00EF52D0">
      <w:r w:rsidRPr="000A58F9">
        <w:rPr>
          <w:b/>
          <w:u w:val="single"/>
        </w:rPr>
        <w:t>Reserved bits:</w:t>
      </w:r>
      <w:r>
        <w:t xml:space="preserve"> </w:t>
      </w:r>
    </w:p>
    <w:p w14:paraId="2633FF57" w14:textId="212913EF" w:rsidR="001A7B4D" w:rsidRDefault="00623977" w:rsidP="00EF52D0">
      <w:r>
        <w:t>I</w:t>
      </w:r>
      <w:r w:rsidR="00736F14">
        <w:t xml:space="preserve">n our view in addition to the number of bits for the specified fields, it is important to allocate </w:t>
      </w:r>
      <w:r w:rsidR="00774DA9">
        <w:t xml:space="preserve">a </w:t>
      </w:r>
      <w:r w:rsidR="00736F14">
        <w:t xml:space="preserve">few bits as the reserved bits </w:t>
      </w:r>
      <w:r w:rsidR="001A7B4D">
        <w:t>while keeping the total number of payload bits constant. Such consideration ensures a forward compatible design for the group</w:t>
      </w:r>
      <w:r>
        <w:t>-</w:t>
      </w:r>
      <w:r w:rsidR="001A7B4D">
        <w:t>common PDCCH signal</w:t>
      </w:r>
      <w:r w:rsidR="00736F14">
        <w:t xml:space="preserve"> which does not to be changed with new releases and introduction of </w:t>
      </w:r>
      <w:r w:rsidR="001A7B4D">
        <w:t xml:space="preserve">potentially </w:t>
      </w:r>
      <w:r w:rsidR="00736F14">
        <w:t>new fields</w:t>
      </w:r>
      <w:r w:rsidR="001A7B4D">
        <w:t>.</w:t>
      </w:r>
    </w:p>
    <w:p w14:paraId="3C7A3225" w14:textId="0C070BBB" w:rsidR="001A7B4D" w:rsidRPr="003631C4" w:rsidRDefault="00736F14" w:rsidP="001A7B4D">
      <w:pPr>
        <w:pStyle w:val="BodyText"/>
        <w:rPr>
          <w:b/>
        </w:rPr>
      </w:pPr>
      <w:r>
        <w:t xml:space="preserve"> </w:t>
      </w:r>
      <w:r w:rsidR="001A7B4D" w:rsidRPr="003631C4">
        <w:rPr>
          <w:b/>
        </w:rPr>
        <w:t>Proposal:</w:t>
      </w:r>
    </w:p>
    <w:p w14:paraId="15B10C4D" w14:textId="0EE4F476" w:rsidR="001A7B4D" w:rsidRDefault="001A7B4D" w:rsidP="00872FA7">
      <w:pPr>
        <w:pStyle w:val="BodyText"/>
        <w:numPr>
          <w:ilvl w:val="0"/>
          <w:numId w:val="51"/>
        </w:numPr>
      </w:pPr>
      <w:r>
        <w:t xml:space="preserve">Reserve </w:t>
      </w:r>
      <w:r w:rsidR="00774DA9">
        <w:t xml:space="preserve">a </w:t>
      </w:r>
      <w:r>
        <w:t>few bits in the payload of</w:t>
      </w:r>
      <w:r w:rsidRPr="001A6252">
        <w:t xml:space="preserve"> the group</w:t>
      </w:r>
      <w:r w:rsidR="00623977">
        <w:t>-</w:t>
      </w:r>
      <w:r w:rsidRPr="001A6252">
        <w:t xml:space="preserve">common PDCCH </w:t>
      </w:r>
      <w:r>
        <w:t>for future compatibility purposes.</w:t>
      </w:r>
    </w:p>
    <w:p w14:paraId="52194F8F" w14:textId="0EAB3294" w:rsidR="00AE553B" w:rsidRDefault="00AE553B" w:rsidP="00AE553B">
      <w:pPr>
        <w:pStyle w:val="Heading1"/>
      </w:pPr>
      <w:r>
        <w:t>Conclusion</w:t>
      </w:r>
    </w:p>
    <w:p w14:paraId="0F884490" w14:textId="14F11F78" w:rsidR="00A635A6" w:rsidRDefault="00A635A6" w:rsidP="00A635A6">
      <w:r>
        <w:t>In this contribution we discussed our view on the</w:t>
      </w:r>
      <w:r w:rsidR="007226CD">
        <w:t xml:space="preserve"> content</w:t>
      </w:r>
      <w:r>
        <w:t xml:space="preserve"> of the group</w:t>
      </w:r>
      <w:r w:rsidR="007226CD">
        <w:t>-</w:t>
      </w:r>
      <w:r>
        <w:t>common PDCCH. Based on the discussion we proposed the followings:</w:t>
      </w:r>
    </w:p>
    <w:p w14:paraId="4E956CB7" w14:textId="77777777" w:rsidR="00A635A6" w:rsidRPr="003B598D" w:rsidRDefault="00A635A6" w:rsidP="00A635A6">
      <w:pPr>
        <w:rPr>
          <w:b/>
        </w:rPr>
      </w:pPr>
      <w:r w:rsidRPr="003B598D">
        <w:rPr>
          <w:b/>
        </w:rPr>
        <w:t>Proposals:</w:t>
      </w:r>
    </w:p>
    <w:p w14:paraId="4E39DEA0" w14:textId="0ADE5896" w:rsidR="007226CD" w:rsidRPr="000A58F9" w:rsidRDefault="007226CD" w:rsidP="000A58F9">
      <w:pPr>
        <w:pStyle w:val="ListParagraph"/>
        <w:numPr>
          <w:ilvl w:val="0"/>
          <w:numId w:val="51"/>
        </w:numPr>
        <w:rPr>
          <w:rFonts w:cs="Arial"/>
          <w:color w:val="000000"/>
          <w:lang w:val="en-GB"/>
        </w:rPr>
      </w:pPr>
      <w:r w:rsidRPr="00810090">
        <w:rPr>
          <w:rFonts w:cs="Arial"/>
          <w:color w:val="000000"/>
          <w:lang w:val="en-GB"/>
        </w:rPr>
        <w:t xml:space="preserve">The power savings achievable with implementation constraints should be </w:t>
      </w:r>
      <w:r w:rsidR="00BD6027">
        <w:rPr>
          <w:rFonts w:cs="Arial"/>
          <w:color w:val="000000"/>
          <w:lang w:val="en-GB"/>
        </w:rPr>
        <w:t>shown to be substantial</w:t>
      </w:r>
      <w:r w:rsidR="006179E4">
        <w:rPr>
          <w:rFonts w:cs="Arial"/>
          <w:color w:val="000000"/>
          <w:lang w:val="en-GB"/>
        </w:rPr>
        <w:t xml:space="preserve"> </w:t>
      </w:r>
      <w:r w:rsidR="00BD6027">
        <w:rPr>
          <w:rFonts w:cs="Arial"/>
          <w:color w:val="000000"/>
          <w:lang w:val="en-GB"/>
        </w:rPr>
        <w:t>before</w:t>
      </w:r>
      <w:r w:rsidRPr="00810090">
        <w:rPr>
          <w:rFonts w:cs="Arial"/>
          <w:color w:val="000000"/>
          <w:lang w:val="en-GB"/>
        </w:rPr>
        <w:t xml:space="preserve"> defining information to be sent in the group common PDCCH for the purpose of blind decode reduction.</w:t>
      </w:r>
    </w:p>
    <w:p w14:paraId="2979351D" w14:textId="0150F153" w:rsidR="00A635A6" w:rsidRDefault="00A635A6" w:rsidP="00872FA7">
      <w:pPr>
        <w:pStyle w:val="BodyText"/>
        <w:numPr>
          <w:ilvl w:val="0"/>
          <w:numId w:val="51"/>
        </w:numPr>
      </w:pPr>
      <w:r w:rsidRPr="00872FA7">
        <w:t>The star</w:t>
      </w:r>
      <w:r w:rsidR="00CA5455">
        <w:t>t</w:t>
      </w:r>
      <w:r w:rsidRPr="00872FA7">
        <w:t xml:space="preserve">ing position of downlink data in a slot </w:t>
      </w:r>
      <w:r w:rsidR="00DC44F0">
        <w:t>shall</w:t>
      </w:r>
      <w:r w:rsidR="00DC44F0" w:rsidRPr="00872FA7">
        <w:t xml:space="preserve"> </w:t>
      </w:r>
      <w:r w:rsidRPr="00872FA7">
        <w:t>be explicitly and dynamically indicated to the UE in the UE-specific DCI</w:t>
      </w:r>
      <w:r w:rsidR="00DC44F0">
        <w:t xml:space="preserve"> and not in the group-common PDCCH</w:t>
      </w:r>
      <w:r w:rsidRPr="00872FA7">
        <w:t>.</w:t>
      </w:r>
    </w:p>
    <w:p w14:paraId="5AF050DE" w14:textId="6742AE73" w:rsidR="007226CD" w:rsidRDefault="007226CD" w:rsidP="007226CD">
      <w:pPr>
        <w:numPr>
          <w:ilvl w:val="0"/>
          <w:numId w:val="51"/>
        </w:numPr>
        <w:overflowPunct/>
        <w:autoSpaceDE/>
        <w:autoSpaceDN/>
        <w:adjustRightInd/>
        <w:spacing w:after="0"/>
        <w:jc w:val="left"/>
        <w:textAlignment w:val="auto"/>
        <w:rPr>
          <w:rFonts w:eastAsia="MS Mincho"/>
          <w:lang w:eastAsia="ja-JP"/>
        </w:rPr>
      </w:pPr>
      <w:r>
        <w:rPr>
          <w:rFonts w:eastAsia="MS Mincho"/>
          <w:lang w:eastAsia="ja-JP"/>
        </w:rPr>
        <w:t>The</w:t>
      </w:r>
      <w:r w:rsidRPr="002C4D2D">
        <w:rPr>
          <w:rFonts w:eastAsia="MS Mincho"/>
          <w:lang w:eastAsia="ja-JP"/>
        </w:rPr>
        <w:t xml:space="preserve"> ‘Sl</w:t>
      </w:r>
      <w:r>
        <w:rPr>
          <w:rFonts w:eastAsia="MS Mincho"/>
          <w:lang w:eastAsia="ja-JP"/>
        </w:rPr>
        <w:t>ot format related information’ field, can be tagged as ‘Empty in a</w:t>
      </w:r>
      <w:r w:rsidR="00B85622">
        <w:rPr>
          <w:rFonts w:eastAsia="MS Mincho"/>
          <w:lang w:eastAsia="ja-JP"/>
        </w:rPr>
        <w:t>ddition to ‘Unknown’, ‘DL’ and ‘</w:t>
      </w:r>
      <w:bookmarkStart w:id="0" w:name="_GoBack"/>
      <w:bookmarkEnd w:id="0"/>
      <w:r>
        <w:rPr>
          <w:rFonts w:eastAsia="MS Mincho"/>
          <w:lang w:eastAsia="ja-JP"/>
        </w:rPr>
        <w:t>UL’.</w:t>
      </w:r>
    </w:p>
    <w:p w14:paraId="535E5330" w14:textId="4CBB72A7" w:rsidR="007226CD" w:rsidRPr="000A58F9" w:rsidRDefault="007226CD" w:rsidP="000A58F9">
      <w:pPr>
        <w:numPr>
          <w:ilvl w:val="1"/>
          <w:numId w:val="51"/>
        </w:numPr>
        <w:overflowPunct/>
        <w:autoSpaceDE/>
        <w:autoSpaceDN/>
        <w:adjustRightInd/>
        <w:spacing w:after="0"/>
        <w:jc w:val="left"/>
        <w:textAlignment w:val="auto"/>
        <w:rPr>
          <w:rFonts w:eastAsia="MS Mincho"/>
          <w:lang w:eastAsia="ja-JP"/>
        </w:rPr>
      </w:pPr>
      <w:r>
        <w:rPr>
          <w:rFonts w:eastAsia="MS Mincho"/>
          <w:lang w:eastAsia="ja-JP"/>
        </w:rPr>
        <w:t>For the slot(s) tagged as ‘Empty’, the UE assumes that there is no DL or UL transmissions scheduled by its serving gNB.</w:t>
      </w:r>
    </w:p>
    <w:p w14:paraId="425FA279" w14:textId="0A140698" w:rsidR="007226CD" w:rsidRPr="00E24EEE" w:rsidRDefault="001A7B4D" w:rsidP="00E24EEE">
      <w:pPr>
        <w:pStyle w:val="BodyText"/>
        <w:numPr>
          <w:ilvl w:val="0"/>
          <w:numId w:val="51"/>
        </w:numPr>
      </w:pPr>
      <w:r>
        <w:t xml:space="preserve">SR resources can be dynamically </w:t>
      </w:r>
      <w:r w:rsidR="00814EA5">
        <w:t xml:space="preserve">triggered </w:t>
      </w:r>
      <w:r>
        <w:t>in the ‘group common PDCCH’ in addition to the semi-statically configured SR resources.</w:t>
      </w:r>
    </w:p>
    <w:p w14:paraId="51FC91A9" w14:textId="7CE3A9B0" w:rsidR="007226CD" w:rsidRPr="008B6D3D" w:rsidRDefault="007226CD" w:rsidP="007226CD">
      <w:r w:rsidRPr="00810090">
        <w:rPr>
          <w:b/>
          <w:u w:val="single"/>
        </w:rPr>
        <w:lastRenderedPageBreak/>
        <w:t xml:space="preserve">Proposal: </w:t>
      </w:r>
    </w:p>
    <w:p w14:paraId="1738659A" w14:textId="3296EE2F" w:rsidR="007226CD" w:rsidRPr="00B85622" w:rsidRDefault="007226CD" w:rsidP="00B85622">
      <w:pPr>
        <w:pStyle w:val="ListParagraph"/>
        <w:numPr>
          <w:ilvl w:val="0"/>
          <w:numId w:val="51"/>
        </w:numPr>
        <w:rPr>
          <w:lang w:val="en-GB"/>
        </w:rPr>
      </w:pPr>
      <w:r w:rsidRPr="006179E4">
        <w:rPr>
          <w:lang w:val="en-GB"/>
        </w:rPr>
        <w:t>Configured transmissions can be temporarily deactivated by the group-common PDCCH.</w:t>
      </w:r>
    </w:p>
    <w:p w14:paraId="0EBB0CDC" w14:textId="77777777" w:rsidR="001A7B4D" w:rsidRDefault="001A7B4D" w:rsidP="00872FA7">
      <w:pPr>
        <w:pStyle w:val="BodyText"/>
        <w:numPr>
          <w:ilvl w:val="0"/>
          <w:numId w:val="51"/>
        </w:numPr>
      </w:pPr>
      <w:r>
        <w:t>Reserve few bits in the payload of</w:t>
      </w:r>
      <w:r w:rsidRPr="008116DC">
        <w:t xml:space="preserve"> the ‘group common PDCCH’ </w:t>
      </w:r>
      <w:r>
        <w:t>for future compatibility purposes.</w:t>
      </w:r>
    </w:p>
    <w:p w14:paraId="1B88B4D5" w14:textId="77777777" w:rsidR="001A7B4D" w:rsidRPr="005261FA" w:rsidRDefault="001A7B4D" w:rsidP="00872FA7">
      <w:pPr>
        <w:pStyle w:val="BodyText"/>
        <w:overflowPunct/>
        <w:autoSpaceDE/>
        <w:autoSpaceDN/>
        <w:adjustRightInd/>
        <w:ind w:left="720"/>
        <w:textAlignment w:val="auto"/>
      </w:pPr>
    </w:p>
    <w:p w14:paraId="3CA25FCB" w14:textId="67E15E7F" w:rsidR="00F507D1" w:rsidRPr="00CE0424" w:rsidRDefault="00F507D1" w:rsidP="0009033B">
      <w:pPr>
        <w:pStyle w:val="Heading1"/>
      </w:pPr>
      <w:bookmarkStart w:id="1" w:name="_In-sequence_SDU_delivery"/>
      <w:bookmarkEnd w:id="1"/>
      <w:r w:rsidRPr="00CE0424">
        <w:t>References</w:t>
      </w:r>
    </w:p>
    <w:p w14:paraId="5A33C065" w14:textId="647F8DBE" w:rsidR="00286C66" w:rsidRDefault="00286C66" w:rsidP="003B365D">
      <w:pPr>
        <w:pStyle w:val="Reference"/>
      </w:pPr>
      <w:bookmarkStart w:id="2" w:name="_Ref473637085"/>
      <w:bookmarkStart w:id="3" w:name="_Ref477814154"/>
      <w:bookmarkStart w:id="4" w:name="_Ref470613638"/>
      <w:bookmarkStart w:id="5" w:name="_Ref465931227"/>
      <w:bookmarkStart w:id="6" w:name="_Ref458515583"/>
      <w:bookmarkStart w:id="7" w:name="_Ref174151459"/>
      <w:bookmarkStart w:id="8" w:name="_Ref189809556"/>
      <w:bookmarkStart w:id="9" w:name="_Ref458165837"/>
      <w:r>
        <w:t>R1-1612908</w:t>
      </w:r>
      <w:r>
        <w:tab/>
      </w:r>
      <w:r>
        <w:tab/>
        <w:t>Summary of e-mail discussion</w:t>
      </w:r>
      <w:r w:rsidR="00D73155">
        <w:t>s in downlink control signaling,</w:t>
      </w:r>
      <w:r>
        <w:t xml:space="preserve"> Ericsson</w:t>
      </w:r>
      <w:bookmarkEnd w:id="2"/>
      <w:bookmarkEnd w:id="3"/>
    </w:p>
    <w:p w14:paraId="2219F681" w14:textId="76E947E4" w:rsidR="006C37C9" w:rsidRDefault="006C37C9" w:rsidP="006C37C9">
      <w:pPr>
        <w:pStyle w:val="Reference"/>
      </w:pPr>
      <w:r>
        <w:t>Chairman’s Notes, 3GPP TSG RAN WG1 NR Ad-Hoc Meeting #1</w:t>
      </w:r>
    </w:p>
    <w:p w14:paraId="1F60769A" w14:textId="432DF2C1" w:rsidR="006C37C9" w:rsidRPr="0072681E" w:rsidRDefault="006C37C9" w:rsidP="006C37C9">
      <w:pPr>
        <w:pStyle w:val="Reference"/>
      </w:pPr>
      <w:bookmarkStart w:id="10" w:name="_Ref484868330"/>
      <w:r w:rsidRPr="0072681E">
        <w:t>Chairman’s Notes, 3GPP TSG RAN WG1 Meeting #89</w:t>
      </w:r>
      <w:bookmarkEnd w:id="10"/>
    </w:p>
    <w:p w14:paraId="5B736B11" w14:textId="1946AF82" w:rsidR="0083770A" w:rsidRPr="0072681E" w:rsidRDefault="0083770A" w:rsidP="00EC6F06">
      <w:pPr>
        <w:pStyle w:val="Reference"/>
      </w:pPr>
      <w:bookmarkStart w:id="11" w:name="_Ref477822560"/>
      <w:bookmarkEnd w:id="4"/>
      <w:bookmarkEnd w:id="5"/>
      <w:bookmarkEnd w:id="6"/>
      <w:bookmarkEnd w:id="7"/>
      <w:bookmarkEnd w:id="8"/>
      <w:bookmarkEnd w:id="9"/>
      <w:r w:rsidRPr="0072681E">
        <w:t>R1-17</w:t>
      </w:r>
      <w:r w:rsidR="0072681E" w:rsidRPr="0072681E">
        <w:t>11483</w:t>
      </w:r>
      <w:r w:rsidRPr="0072681E">
        <w:tab/>
      </w:r>
      <w:r w:rsidR="006C37C9" w:rsidRPr="0072681E">
        <w:tab/>
      </w:r>
      <w:r w:rsidRPr="0072681E">
        <w:t>On Group</w:t>
      </w:r>
      <w:r w:rsidR="006C37C9" w:rsidRPr="0072681E">
        <w:t>-</w:t>
      </w:r>
      <w:r w:rsidRPr="0072681E">
        <w:t>Common PDC</w:t>
      </w:r>
      <w:r w:rsidR="00D73155" w:rsidRPr="0072681E">
        <w:t>CH</w:t>
      </w:r>
      <w:r w:rsidR="006C37C9" w:rsidRPr="0072681E">
        <w:t xml:space="preserve"> </w:t>
      </w:r>
      <w:r w:rsidR="00D73155" w:rsidRPr="0072681E">
        <w:t>Structure and Configuration,</w:t>
      </w:r>
      <w:r w:rsidRPr="0072681E">
        <w:t xml:space="preserve"> Ericsson</w:t>
      </w:r>
      <w:bookmarkEnd w:id="11"/>
    </w:p>
    <w:p w14:paraId="10E75C76" w14:textId="2478B0A3" w:rsidR="006C37C9" w:rsidRPr="0072681E" w:rsidRDefault="006C37C9" w:rsidP="00EC6F06">
      <w:pPr>
        <w:pStyle w:val="Reference"/>
      </w:pPr>
      <w:bookmarkStart w:id="12" w:name="_Ref484947255"/>
      <w:r w:rsidRPr="0072681E">
        <w:t>R1-17</w:t>
      </w:r>
      <w:r w:rsidR="0072681E" w:rsidRPr="0072681E">
        <w:t>11485</w:t>
      </w:r>
      <w:r w:rsidR="0072681E" w:rsidRPr="0072681E">
        <w:tab/>
      </w:r>
      <w:r w:rsidRPr="0072681E">
        <w:tab/>
        <w:t>On the UE Procedures Related to Group-Common PDCCH, Ericsson</w:t>
      </w:r>
      <w:bookmarkEnd w:id="12"/>
    </w:p>
    <w:sectPr w:rsidR="006C37C9" w:rsidRPr="0072681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49D46" w14:textId="77777777" w:rsidR="00987482" w:rsidRDefault="00987482">
      <w:r>
        <w:separator/>
      </w:r>
    </w:p>
  </w:endnote>
  <w:endnote w:type="continuationSeparator" w:id="0">
    <w:p w14:paraId="1176559A" w14:textId="77777777" w:rsidR="00987482" w:rsidRDefault="00987482">
      <w:r>
        <w:continuationSeparator/>
      </w:r>
    </w:p>
  </w:endnote>
  <w:endnote w:type="continuationNotice" w:id="1">
    <w:p w14:paraId="47F07F22" w14:textId="77777777" w:rsidR="00987482" w:rsidRDefault="00987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15383DA"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562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562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7CD09" w14:textId="77777777" w:rsidR="00987482" w:rsidRDefault="00987482">
      <w:r>
        <w:separator/>
      </w:r>
    </w:p>
  </w:footnote>
  <w:footnote w:type="continuationSeparator" w:id="0">
    <w:p w14:paraId="34FAD0C5" w14:textId="77777777" w:rsidR="00987482" w:rsidRDefault="00987482">
      <w:r>
        <w:continuationSeparator/>
      </w:r>
    </w:p>
  </w:footnote>
  <w:footnote w:type="continuationNotice" w:id="1">
    <w:p w14:paraId="377741B2" w14:textId="77777777" w:rsidR="00987482" w:rsidRDefault="00987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53EE0"/>
    <w:multiLevelType w:val="hybridMultilevel"/>
    <w:tmpl w:val="C88C4F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5355AA"/>
    <w:multiLevelType w:val="hybridMultilevel"/>
    <w:tmpl w:val="E99A4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FFE5365"/>
    <w:multiLevelType w:val="hybridMultilevel"/>
    <w:tmpl w:val="1DF83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7F43CE"/>
    <w:multiLevelType w:val="hybridMultilevel"/>
    <w:tmpl w:val="42E600A6"/>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42"/>
  </w:num>
  <w:num w:numId="3">
    <w:abstractNumId w:val="34"/>
  </w:num>
  <w:num w:numId="4">
    <w:abstractNumId w:val="36"/>
  </w:num>
  <w:num w:numId="5">
    <w:abstractNumId w:val="28"/>
  </w:num>
  <w:num w:numId="6">
    <w:abstractNumId w:val="39"/>
  </w:num>
  <w:num w:numId="7">
    <w:abstractNumId w:val="45"/>
  </w:num>
  <w:num w:numId="8">
    <w:abstractNumId w:val="29"/>
  </w:num>
  <w:num w:numId="9">
    <w:abstractNumId w:val="22"/>
  </w:num>
  <w:num w:numId="10">
    <w:abstractNumId w:val="3"/>
  </w:num>
  <w:num w:numId="11">
    <w:abstractNumId w:val="2"/>
  </w:num>
  <w:num w:numId="12">
    <w:abstractNumId w:val="1"/>
  </w:num>
  <w:num w:numId="13">
    <w:abstractNumId w:val="44"/>
  </w:num>
  <w:num w:numId="14">
    <w:abstractNumId w:val="0"/>
  </w:num>
  <w:num w:numId="15">
    <w:abstractNumId w:val="24"/>
  </w:num>
  <w:num w:numId="16">
    <w:abstractNumId w:val="46"/>
  </w:num>
  <w:num w:numId="17">
    <w:abstractNumId w:val="37"/>
  </w:num>
  <w:num w:numId="18">
    <w:abstractNumId w:val="41"/>
  </w:num>
  <w:num w:numId="19">
    <w:abstractNumId w:val="11"/>
  </w:num>
  <w:num w:numId="20">
    <w:abstractNumId w:val="33"/>
  </w:num>
  <w:num w:numId="21">
    <w:abstractNumId w:val="17"/>
  </w:num>
  <w:num w:numId="22">
    <w:abstractNumId w:val="7"/>
  </w:num>
  <w:num w:numId="23">
    <w:abstractNumId w:val="40"/>
  </w:num>
  <w:num w:numId="24">
    <w:abstractNumId w:val="38"/>
  </w:num>
  <w:num w:numId="25">
    <w:abstractNumId w:val="25"/>
  </w:num>
  <w:num w:numId="26">
    <w:abstractNumId w:val="13"/>
  </w:num>
  <w:num w:numId="27">
    <w:abstractNumId w:val="20"/>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2"/>
  </w:num>
  <w:num w:numId="30">
    <w:abstractNumId w:val="27"/>
  </w:num>
  <w:num w:numId="31">
    <w:abstractNumId w:val="50"/>
  </w:num>
  <w:num w:numId="32">
    <w:abstractNumId w:val="34"/>
    <w:lvlOverride w:ilvl="0">
      <w:startOverride w:val="5"/>
    </w:lvlOverride>
  </w:num>
  <w:num w:numId="33">
    <w:abstractNumId w:val="43"/>
  </w:num>
  <w:num w:numId="34">
    <w:abstractNumId w:val="4"/>
  </w:num>
  <w:num w:numId="35">
    <w:abstractNumId w:val="51"/>
  </w:num>
  <w:num w:numId="36">
    <w:abstractNumId w:val="10"/>
  </w:num>
  <w:num w:numId="37">
    <w:abstractNumId w:val="49"/>
  </w:num>
  <w:num w:numId="38">
    <w:abstractNumId w:val="32"/>
  </w:num>
  <w:num w:numId="39">
    <w:abstractNumId w:val="31"/>
  </w:num>
  <w:num w:numId="40">
    <w:abstractNumId w:val="16"/>
  </w:num>
  <w:num w:numId="41">
    <w:abstractNumId w:val="48"/>
  </w:num>
  <w:num w:numId="42">
    <w:abstractNumId w:val="23"/>
  </w:num>
  <w:num w:numId="43">
    <w:abstractNumId w:val="19"/>
  </w:num>
  <w:num w:numId="44">
    <w:abstractNumId w:val="30"/>
  </w:num>
  <w:num w:numId="45">
    <w:abstractNumId w:val="9"/>
  </w:num>
  <w:num w:numId="46">
    <w:abstractNumId w:val="35"/>
  </w:num>
  <w:num w:numId="47">
    <w:abstractNumId w:val="15"/>
  </w:num>
  <w:num w:numId="48">
    <w:abstractNumId w:val="8"/>
  </w:num>
  <w:num w:numId="49">
    <w:abstractNumId w:val="18"/>
  </w:num>
  <w:num w:numId="50">
    <w:abstractNumId w:val="21"/>
  </w:num>
  <w:num w:numId="51">
    <w:abstractNumId w:val="47"/>
  </w:num>
  <w:num w:numId="52">
    <w:abstractNumId w:val="14"/>
  </w:num>
  <w:num w:numId="53">
    <w:abstractNumId w:val="12"/>
  </w:num>
  <w:num w:numId="54">
    <w:abstractNumId w:val="26"/>
  </w:num>
  <w:num w:numId="5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3E68"/>
    <w:rsid w:val="0000620F"/>
    <w:rsid w:val="00006446"/>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3E0D"/>
    <w:rsid w:val="000444EF"/>
    <w:rsid w:val="00045529"/>
    <w:rsid w:val="000476CE"/>
    <w:rsid w:val="00052A07"/>
    <w:rsid w:val="000534E3"/>
    <w:rsid w:val="0005606A"/>
    <w:rsid w:val="0005666E"/>
    <w:rsid w:val="00056D8D"/>
    <w:rsid w:val="00057117"/>
    <w:rsid w:val="000616E7"/>
    <w:rsid w:val="0006478A"/>
    <w:rsid w:val="0006487E"/>
    <w:rsid w:val="00065E1A"/>
    <w:rsid w:val="00070B09"/>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A58F9"/>
    <w:rsid w:val="000B2719"/>
    <w:rsid w:val="000B3A8F"/>
    <w:rsid w:val="000B4AB9"/>
    <w:rsid w:val="000B58C3"/>
    <w:rsid w:val="000B61E9"/>
    <w:rsid w:val="000B66A8"/>
    <w:rsid w:val="000B7B33"/>
    <w:rsid w:val="000C165A"/>
    <w:rsid w:val="000C2E19"/>
    <w:rsid w:val="000D0D07"/>
    <w:rsid w:val="000D33A1"/>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020"/>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517"/>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252"/>
    <w:rsid w:val="001A6CBA"/>
    <w:rsid w:val="001A7B4D"/>
    <w:rsid w:val="001B089D"/>
    <w:rsid w:val="001B0D97"/>
    <w:rsid w:val="001B23E5"/>
    <w:rsid w:val="001B501F"/>
    <w:rsid w:val="001B5A5D"/>
    <w:rsid w:val="001B69AE"/>
    <w:rsid w:val="001B700F"/>
    <w:rsid w:val="001C1CE5"/>
    <w:rsid w:val="001C2C68"/>
    <w:rsid w:val="001C3D2A"/>
    <w:rsid w:val="001C7626"/>
    <w:rsid w:val="001D0632"/>
    <w:rsid w:val="001D1693"/>
    <w:rsid w:val="001D4B70"/>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2D23"/>
    <w:rsid w:val="00223847"/>
    <w:rsid w:val="00223FCB"/>
    <w:rsid w:val="002252C3"/>
    <w:rsid w:val="00225C54"/>
    <w:rsid w:val="00225EE5"/>
    <w:rsid w:val="00230765"/>
    <w:rsid w:val="002319E4"/>
    <w:rsid w:val="00231A9A"/>
    <w:rsid w:val="00232D4C"/>
    <w:rsid w:val="0023309C"/>
    <w:rsid w:val="002342CA"/>
    <w:rsid w:val="00235632"/>
    <w:rsid w:val="00235872"/>
    <w:rsid w:val="00240B51"/>
    <w:rsid w:val="00241559"/>
    <w:rsid w:val="002432E4"/>
    <w:rsid w:val="002435B3"/>
    <w:rsid w:val="002458EB"/>
    <w:rsid w:val="00245979"/>
    <w:rsid w:val="002500C8"/>
    <w:rsid w:val="002512D7"/>
    <w:rsid w:val="002549C1"/>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126D"/>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67094"/>
    <w:rsid w:val="00370E47"/>
    <w:rsid w:val="00373A5D"/>
    <w:rsid w:val="003742AC"/>
    <w:rsid w:val="00374679"/>
    <w:rsid w:val="00374C7A"/>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6B76"/>
    <w:rsid w:val="003B7FE5"/>
    <w:rsid w:val="003C11C8"/>
    <w:rsid w:val="003C2702"/>
    <w:rsid w:val="003C3308"/>
    <w:rsid w:val="003C4B3A"/>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61C8"/>
    <w:rsid w:val="00437447"/>
    <w:rsid w:val="00441A92"/>
    <w:rsid w:val="0044249A"/>
    <w:rsid w:val="00444DE6"/>
    <w:rsid w:val="00444F56"/>
    <w:rsid w:val="00446488"/>
    <w:rsid w:val="00446AFF"/>
    <w:rsid w:val="00447DDB"/>
    <w:rsid w:val="004517AA"/>
    <w:rsid w:val="00452B53"/>
    <w:rsid w:val="00452CAC"/>
    <w:rsid w:val="00457565"/>
    <w:rsid w:val="00457B71"/>
    <w:rsid w:val="004643FE"/>
    <w:rsid w:val="00464C4C"/>
    <w:rsid w:val="00465FD0"/>
    <w:rsid w:val="004669E2"/>
    <w:rsid w:val="00470C31"/>
    <w:rsid w:val="00472C00"/>
    <w:rsid w:val="004734D0"/>
    <w:rsid w:val="0047447B"/>
    <w:rsid w:val="00474CE8"/>
    <w:rsid w:val="0047556B"/>
    <w:rsid w:val="00477768"/>
    <w:rsid w:val="004805F5"/>
    <w:rsid w:val="00484FD1"/>
    <w:rsid w:val="004903E5"/>
    <w:rsid w:val="00492BC5"/>
    <w:rsid w:val="004959FC"/>
    <w:rsid w:val="004964F1"/>
    <w:rsid w:val="004A0EAC"/>
    <w:rsid w:val="004A1607"/>
    <w:rsid w:val="004A163A"/>
    <w:rsid w:val="004A16BC"/>
    <w:rsid w:val="004A2B94"/>
    <w:rsid w:val="004B6991"/>
    <w:rsid w:val="004B7C0C"/>
    <w:rsid w:val="004C23BD"/>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61FA"/>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685C"/>
    <w:rsid w:val="0059779B"/>
    <w:rsid w:val="005A0A5B"/>
    <w:rsid w:val="005A209A"/>
    <w:rsid w:val="005A2E25"/>
    <w:rsid w:val="005A4A81"/>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9E4"/>
    <w:rsid w:val="00617C2C"/>
    <w:rsid w:val="00620A71"/>
    <w:rsid w:val="00620D80"/>
    <w:rsid w:val="00621B29"/>
    <w:rsid w:val="006234A6"/>
    <w:rsid w:val="006238D8"/>
    <w:rsid w:val="00623977"/>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51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4DC4"/>
    <w:rsid w:val="006B50CF"/>
    <w:rsid w:val="006B5BE6"/>
    <w:rsid w:val="006B6278"/>
    <w:rsid w:val="006B6614"/>
    <w:rsid w:val="006C03B8"/>
    <w:rsid w:val="006C3409"/>
    <w:rsid w:val="006C34F7"/>
    <w:rsid w:val="006C37C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07FBC"/>
    <w:rsid w:val="00711B0A"/>
    <w:rsid w:val="00712287"/>
    <w:rsid w:val="00712772"/>
    <w:rsid w:val="007146C7"/>
    <w:rsid w:val="007148D3"/>
    <w:rsid w:val="0071565A"/>
    <w:rsid w:val="00715B9A"/>
    <w:rsid w:val="00716F2B"/>
    <w:rsid w:val="00720D98"/>
    <w:rsid w:val="00721857"/>
    <w:rsid w:val="007226CD"/>
    <w:rsid w:val="00722D34"/>
    <w:rsid w:val="0072681E"/>
    <w:rsid w:val="00726EA6"/>
    <w:rsid w:val="00727156"/>
    <w:rsid w:val="00727208"/>
    <w:rsid w:val="00727680"/>
    <w:rsid w:val="00730A5D"/>
    <w:rsid w:val="00734092"/>
    <w:rsid w:val="007348B1"/>
    <w:rsid w:val="007362A6"/>
    <w:rsid w:val="007369A2"/>
    <w:rsid w:val="00736D7D"/>
    <w:rsid w:val="00736F14"/>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4DA9"/>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6B3"/>
    <w:rsid w:val="007D386C"/>
    <w:rsid w:val="007D497F"/>
    <w:rsid w:val="007D5506"/>
    <w:rsid w:val="007D5901"/>
    <w:rsid w:val="007D7526"/>
    <w:rsid w:val="007E1602"/>
    <w:rsid w:val="007E4610"/>
    <w:rsid w:val="007E4715"/>
    <w:rsid w:val="007E4F9F"/>
    <w:rsid w:val="007E505B"/>
    <w:rsid w:val="007E7091"/>
    <w:rsid w:val="007F09D8"/>
    <w:rsid w:val="007F26F5"/>
    <w:rsid w:val="0080344F"/>
    <w:rsid w:val="00803FAE"/>
    <w:rsid w:val="00804708"/>
    <w:rsid w:val="00805E0E"/>
    <w:rsid w:val="0080605F"/>
    <w:rsid w:val="00807786"/>
    <w:rsid w:val="00807BD2"/>
    <w:rsid w:val="00811FCB"/>
    <w:rsid w:val="00812072"/>
    <w:rsid w:val="00813AAC"/>
    <w:rsid w:val="008149C9"/>
    <w:rsid w:val="00814EA5"/>
    <w:rsid w:val="00814FE6"/>
    <w:rsid w:val="008158D6"/>
    <w:rsid w:val="00817196"/>
    <w:rsid w:val="0081782A"/>
    <w:rsid w:val="0082177D"/>
    <w:rsid w:val="0082276B"/>
    <w:rsid w:val="00822A56"/>
    <w:rsid w:val="008235DB"/>
    <w:rsid w:val="008237A2"/>
    <w:rsid w:val="00824AB4"/>
    <w:rsid w:val="00825C42"/>
    <w:rsid w:val="00825D25"/>
    <w:rsid w:val="00826F90"/>
    <w:rsid w:val="00827D6F"/>
    <w:rsid w:val="00830A27"/>
    <w:rsid w:val="00836B3D"/>
    <w:rsid w:val="008376AC"/>
    <w:rsid w:val="0083770A"/>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2FA7"/>
    <w:rsid w:val="00874312"/>
    <w:rsid w:val="0087437C"/>
    <w:rsid w:val="00875CD7"/>
    <w:rsid w:val="00876A4D"/>
    <w:rsid w:val="00876B4D"/>
    <w:rsid w:val="00877F18"/>
    <w:rsid w:val="00883405"/>
    <w:rsid w:val="008903FE"/>
    <w:rsid w:val="00894A88"/>
    <w:rsid w:val="00895386"/>
    <w:rsid w:val="00895561"/>
    <w:rsid w:val="00895AD9"/>
    <w:rsid w:val="008967DC"/>
    <w:rsid w:val="008A03F2"/>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6D3D"/>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24E7F"/>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29C5"/>
    <w:rsid w:val="00975A11"/>
    <w:rsid w:val="0097603D"/>
    <w:rsid w:val="00976949"/>
    <w:rsid w:val="00976E66"/>
    <w:rsid w:val="00980477"/>
    <w:rsid w:val="009810A2"/>
    <w:rsid w:val="0098381D"/>
    <w:rsid w:val="00985253"/>
    <w:rsid w:val="009853B3"/>
    <w:rsid w:val="0098620A"/>
    <w:rsid w:val="00987482"/>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3C90"/>
    <w:rsid w:val="009B4DF4"/>
    <w:rsid w:val="009B4FF0"/>
    <w:rsid w:val="009B564E"/>
    <w:rsid w:val="009B7E87"/>
    <w:rsid w:val="009C11C1"/>
    <w:rsid w:val="009C2D17"/>
    <w:rsid w:val="009C403E"/>
    <w:rsid w:val="009C5D6A"/>
    <w:rsid w:val="009D475A"/>
    <w:rsid w:val="009D4FF0"/>
    <w:rsid w:val="009D5688"/>
    <w:rsid w:val="009D60A6"/>
    <w:rsid w:val="009D6F94"/>
    <w:rsid w:val="009D703C"/>
    <w:rsid w:val="009D718F"/>
    <w:rsid w:val="009E068F"/>
    <w:rsid w:val="009E14E0"/>
    <w:rsid w:val="009E35DB"/>
    <w:rsid w:val="009E47A3"/>
    <w:rsid w:val="009E6449"/>
    <w:rsid w:val="009E6849"/>
    <w:rsid w:val="009F08F3"/>
    <w:rsid w:val="009F18A9"/>
    <w:rsid w:val="009F344F"/>
    <w:rsid w:val="00A02E75"/>
    <w:rsid w:val="00A0362C"/>
    <w:rsid w:val="00A048A8"/>
    <w:rsid w:val="00A04F49"/>
    <w:rsid w:val="00A13E54"/>
    <w:rsid w:val="00A16188"/>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1874"/>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1CF1"/>
    <w:rsid w:val="00B35D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622"/>
    <w:rsid w:val="00B85DE5"/>
    <w:rsid w:val="00B90F73"/>
    <w:rsid w:val="00B9371D"/>
    <w:rsid w:val="00B93B59"/>
    <w:rsid w:val="00B9406A"/>
    <w:rsid w:val="00BA2280"/>
    <w:rsid w:val="00BA2A08"/>
    <w:rsid w:val="00BA56D2"/>
    <w:rsid w:val="00BA62FA"/>
    <w:rsid w:val="00BA6C49"/>
    <w:rsid w:val="00BA76E0"/>
    <w:rsid w:val="00BB0392"/>
    <w:rsid w:val="00BB0976"/>
    <w:rsid w:val="00BB207A"/>
    <w:rsid w:val="00BB2A25"/>
    <w:rsid w:val="00BB51E9"/>
    <w:rsid w:val="00BB5C77"/>
    <w:rsid w:val="00BB71CB"/>
    <w:rsid w:val="00BC0FDC"/>
    <w:rsid w:val="00BC3053"/>
    <w:rsid w:val="00BC4D2E"/>
    <w:rsid w:val="00BC5E44"/>
    <w:rsid w:val="00BD210A"/>
    <w:rsid w:val="00BD48AC"/>
    <w:rsid w:val="00BD5C65"/>
    <w:rsid w:val="00BD5F1A"/>
    <w:rsid w:val="00BD6027"/>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A5455"/>
    <w:rsid w:val="00CB1F63"/>
    <w:rsid w:val="00CB456D"/>
    <w:rsid w:val="00CB462A"/>
    <w:rsid w:val="00CB4675"/>
    <w:rsid w:val="00CB4C7D"/>
    <w:rsid w:val="00CB6DFE"/>
    <w:rsid w:val="00CB7170"/>
    <w:rsid w:val="00CC040E"/>
    <w:rsid w:val="00CC111F"/>
    <w:rsid w:val="00CC2011"/>
    <w:rsid w:val="00CC3A3A"/>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214C"/>
    <w:rsid w:val="00CF351E"/>
    <w:rsid w:val="00CF3B1F"/>
    <w:rsid w:val="00CF3BF6"/>
    <w:rsid w:val="00CF625B"/>
    <w:rsid w:val="00CF687E"/>
    <w:rsid w:val="00CF7FED"/>
    <w:rsid w:val="00D00035"/>
    <w:rsid w:val="00D0349B"/>
    <w:rsid w:val="00D10249"/>
    <w:rsid w:val="00D115C3"/>
    <w:rsid w:val="00D11897"/>
    <w:rsid w:val="00D13135"/>
    <w:rsid w:val="00D13E4E"/>
    <w:rsid w:val="00D16C63"/>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CF5"/>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155"/>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44F0"/>
    <w:rsid w:val="00DC53EF"/>
    <w:rsid w:val="00DD5680"/>
    <w:rsid w:val="00DD6998"/>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4EEE"/>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03B0"/>
    <w:rsid w:val="00E446F1"/>
    <w:rsid w:val="00E45919"/>
    <w:rsid w:val="00E46886"/>
    <w:rsid w:val="00E47AEF"/>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6F06"/>
    <w:rsid w:val="00EC7041"/>
    <w:rsid w:val="00EC71CE"/>
    <w:rsid w:val="00EC78F2"/>
    <w:rsid w:val="00ED1006"/>
    <w:rsid w:val="00ED1C67"/>
    <w:rsid w:val="00ED3BA3"/>
    <w:rsid w:val="00ED4531"/>
    <w:rsid w:val="00EE2A49"/>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25F85"/>
    <w:rsid w:val="00F30828"/>
    <w:rsid w:val="00F313D6"/>
    <w:rsid w:val="00F32B3E"/>
    <w:rsid w:val="00F40F0C"/>
    <w:rsid w:val="00F451B2"/>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96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3857"/>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5NUHHDQN7SK2-1-114378</_dlc_DocId>
    <_dlc_DocIdUrl xmlns="08b2df90-05d3-4030-90d4-c9feeb4a1cd9">
      <Url>https://ericoll.internal.ericsson.com/sites/STAR/_layouts/DocIdRedir.aspx?ID=5NUHHDQN7SK2-1-114378</Url>
      <Description>5NUHHDQN7SK2-1-114378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B510E89E-4B92-4F6D-8181-898FDDFC8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7BC9152B-1C04-406E-90E4-10E38EEC4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TotalTime>
  <Pages>5</Pages>
  <Words>2166</Words>
  <Characters>12351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6</cp:revision>
  <cp:lastPrinted>2008-01-31T07:09:00Z</cp:lastPrinted>
  <dcterms:created xsi:type="dcterms:W3CDTF">2017-06-17T05:33:00Z</dcterms:created>
  <dcterms:modified xsi:type="dcterms:W3CDTF">2017-06-17T05:56:00Z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4d8d62b6-c9f6-476a-86a7-26e45ef2939e</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