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ABB25" w14:textId="394F5ED0" w:rsidR="009C0564" w:rsidRPr="00CF195E" w:rsidRDefault="009251A2" w:rsidP="00CF195E">
      <w:pPr>
        <w:tabs>
          <w:tab w:val="right" w:pos="9216"/>
        </w:tabs>
        <w:spacing w:after="0"/>
        <w:jc w:val="left"/>
        <w:rPr>
          <w:b/>
          <w:kern w:val="2"/>
          <w:lang w:eastAsia="zh-CN"/>
        </w:rPr>
      </w:pPr>
      <w:bookmarkStart w:id="0" w:name="_GoBack"/>
      <w:bookmarkEnd w:id="0"/>
      <w:r>
        <w:rPr>
          <w:b/>
          <w:noProof/>
          <w:kern w:val="2"/>
        </w:rPr>
        <w:pict w14:anchorId="0BBF2F9C">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F674BD" w:rsidRPr="00F674BD">
        <w:rPr>
          <w:b/>
        </w:rPr>
        <w:t xml:space="preserve">3GPP TSG RAN WG1 </w:t>
      </w:r>
      <w:r w:rsidR="00642B83" w:rsidRPr="00A76646">
        <w:rPr>
          <w:b/>
          <w:lang w:eastAsia="zh-CN"/>
        </w:rPr>
        <w:t xml:space="preserve">NR Ad Hoc </w:t>
      </w:r>
      <w:r w:rsidR="00F674BD" w:rsidRPr="00F674BD">
        <w:rPr>
          <w:b/>
        </w:rPr>
        <w:t>Meeting</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112BE6">
        <w:rPr>
          <w:b/>
          <w:kern w:val="2"/>
          <w:lang w:eastAsia="zh-CN"/>
        </w:rPr>
        <w:t>7</w:t>
      </w:r>
      <w:r w:rsidR="00D52392" w:rsidRPr="00D52392">
        <w:rPr>
          <w:b/>
          <w:kern w:val="2"/>
          <w:lang w:eastAsia="zh-CN"/>
        </w:rPr>
        <w:t>11427</w:t>
      </w:r>
    </w:p>
    <w:p w14:paraId="3CFA3D47" w14:textId="77777777" w:rsidR="009C0564" w:rsidRPr="00CF195E" w:rsidRDefault="006A3B71" w:rsidP="00CF195E">
      <w:pPr>
        <w:jc w:val="left"/>
        <w:rPr>
          <w:b/>
          <w:kern w:val="2"/>
          <w:lang w:eastAsia="zh-CN"/>
        </w:rPr>
      </w:pPr>
      <w:r>
        <w:rPr>
          <w:b/>
          <w:kern w:val="2"/>
          <w:lang w:eastAsia="zh-CN"/>
        </w:rPr>
        <w:t>Qingdao</w:t>
      </w:r>
      <w:r w:rsidR="00112BE6">
        <w:rPr>
          <w:b/>
          <w:kern w:val="2"/>
          <w:lang w:eastAsia="zh-CN"/>
        </w:rPr>
        <w:t xml:space="preserve">, </w:t>
      </w:r>
      <w:r>
        <w:rPr>
          <w:b/>
          <w:kern w:val="2"/>
          <w:lang w:eastAsia="zh-CN"/>
        </w:rPr>
        <w:t>China</w:t>
      </w:r>
      <w:r w:rsidR="005D0E4F" w:rsidRPr="00CF195E">
        <w:rPr>
          <w:b/>
          <w:kern w:val="2"/>
          <w:lang w:eastAsia="zh-CN"/>
        </w:rPr>
        <w:t>,</w:t>
      </w:r>
      <w:r w:rsidR="009C0564" w:rsidRPr="00CF195E">
        <w:rPr>
          <w:b/>
          <w:kern w:val="2"/>
          <w:lang w:eastAsia="zh-CN"/>
        </w:rPr>
        <w:t xml:space="preserve"> </w:t>
      </w:r>
      <w:r w:rsidR="00642B83">
        <w:rPr>
          <w:b/>
          <w:kern w:val="2"/>
          <w:lang w:eastAsia="zh-CN"/>
        </w:rPr>
        <w:t xml:space="preserve">27-30 </w:t>
      </w:r>
      <w:r>
        <w:rPr>
          <w:b/>
          <w:kern w:val="2"/>
          <w:lang w:eastAsia="zh-CN"/>
        </w:rPr>
        <w:t>June</w:t>
      </w:r>
      <w:r w:rsidR="00642B83">
        <w:rPr>
          <w:b/>
          <w:kern w:val="2"/>
          <w:lang w:eastAsia="zh-CN"/>
        </w:rPr>
        <w:t xml:space="preserve"> </w:t>
      </w:r>
      <w:r w:rsidR="003C1229" w:rsidRPr="00CF195E">
        <w:rPr>
          <w:b/>
          <w:kern w:val="2"/>
          <w:lang w:eastAsia="zh-CN"/>
        </w:rPr>
        <w:t>20</w:t>
      </w:r>
      <w:r w:rsidR="0098412F" w:rsidRPr="00CF195E">
        <w:rPr>
          <w:b/>
          <w:kern w:val="2"/>
          <w:lang w:eastAsia="zh-CN"/>
        </w:rPr>
        <w:t>1</w:t>
      </w:r>
      <w:r w:rsidR="00112BE6">
        <w:rPr>
          <w:b/>
          <w:kern w:val="2"/>
          <w:lang w:eastAsia="zh-CN"/>
        </w:rPr>
        <w:t>7</w:t>
      </w:r>
    </w:p>
    <w:p w14:paraId="670DA787" w14:textId="77777777" w:rsidR="009C0564" w:rsidRPr="00CF195E" w:rsidRDefault="009C0564" w:rsidP="00CF195E">
      <w:pPr>
        <w:pBdr>
          <w:top w:val="single" w:sz="4" w:space="1" w:color="auto"/>
        </w:pBdr>
        <w:spacing w:after="0"/>
        <w:jc w:val="left"/>
        <w:rPr>
          <w:b/>
          <w:kern w:val="2"/>
          <w:sz w:val="16"/>
          <w:szCs w:val="16"/>
          <w:lang w:eastAsia="zh-CN"/>
        </w:rPr>
      </w:pPr>
    </w:p>
    <w:p w14:paraId="11E0E4FA"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D1804">
        <w:rPr>
          <w:b/>
          <w:kern w:val="2"/>
          <w:lang w:eastAsia="zh-CN"/>
        </w:rPr>
        <w:t>5</w:t>
      </w:r>
      <w:r w:rsidR="006A3B71">
        <w:rPr>
          <w:b/>
          <w:kern w:val="2"/>
          <w:lang w:eastAsia="zh-CN"/>
        </w:rPr>
        <w:t>.</w:t>
      </w:r>
      <w:r w:rsidR="005D1804">
        <w:rPr>
          <w:b/>
          <w:kern w:val="2"/>
          <w:lang w:eastAsia="zh-CN"/>
        </w:rPr>
        <w:t>1</w:t>
      </w:r>
      <w:r w:rsidR="006A3B71">
        <w:rPr>
          <w:b/>
          <w:kern w:val="2"/>
          <w:lang w:eastAsia="zh-CN"/>
        </w:rPr>
        <w:t>.</w:t>
      </w:r>
      <w:r w:rsidR="005D1804">
        <w:rPr>
          <w:b/>
          <w:kern w:val="2"/>
          <w:lang w:eastAsia="zh-CN"/>
        </w:rPr>
        <w:t>3</w:t>
      </w:r>
      <w:r w:rsidR="006A3B71">
        <w:rPr>
          <w:b/>
          <w:kern w:val="2"/>
          <w:lang w:eastAsia="zh-CN"/>
        </w:rPr>
        <w:t>.</w:t>
      </w:r>
      <w:r w:rsidR="005D1804">
        <w:rPr>
          <w:b/>
          <w:kern w:val="2"/>
          <w:lang w:eastAsia="zh-CN"/>
        </w:rPr>
        <w:t>3.9</w:t>
      </w:r>
    </w:p>
    <w:p w14:paraId="7BBCF2C1"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42B83">
        <w:rPr>
          <w:b/>
          <w:kern w:val="2"/>
          <w:lang w:eastAsia="zh-CN"/>
        </w:rPr>
        <w:t>, HiSilicon</w:t>
      </w:r>
    </w:p>
    <w:p w14:paraId="1AB9CF33"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42B83" w:rsidRPr="00642B83">
        <w:rPr>
          <w:b/>
          <w:kern w:val="2"/>
          <w:lang w:eastAsia="zh-CN"/>
        </w:rPr>
        <w:t>Discussion on group common pre-emption indication</w:t>
      </w:r>
    </w:p>
    <w:p w14:paraId="654E9F6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44553DD" w14:textId="77777777" w:rsidR="009C0564" w:rsidRPr="00CF195E" w:rsidRDefault="009C0564" w:rsidP="00CF195E">
      <w:pPr>
        <w:pBdr>
          <w:bottom w:val="single" w:sz="4" w:space="1" w:color="auto"/>
        </w:pBdr>
        <w:spacing w:after="0"/>
        <w:jc w:val="left"/>
        <w:rPr>
          <w:b/>
          <w:kern w:val="2"/>
          <w:sz w:val="16"/>
          <w:szCs w:val="16"/>
          <w:lang w:eastAsia="zh-CN"/>
        </w:rPr>
      </w:pPr>
    </w:p>
    <w:p w14:paraId="42AEEFEB" w14:textId="77777777" w:rsidR="009C0564" w:rsidRPr="00CF195E" w:rsidRDefault="009C0564">
      <w:pPr>
        <w:pStyle w:val="Heading1"/>
      </w:pPr>
      <w:bookmarkStart w:id="1" w:name="_Ref124589705"/>
      <w:bookmarkStart w:id="2" w:name="_Ref129681862"/>
      <w:r w:rsidRPr="00CF195E">
        <w:t>Introduction</w:t>
      </w:r>
      <w:bookmarkEnd w:id="1"/>
      <w:bookmarkEnd w:id="2"/>
    </w:p>
    <w:p w14:paraId="4C36F1C6" w14:textId="77777777" w:rsidR="008F72CC" w:rsidRDefault="00DA27A7" w:rsidP="00C12BC1">
      <w:pPr>
        <w:rPr>
          <w:rFonts w:eastAsia="MS Mincho"/>
          <w:lang w:eastAsia="ja-JP"/>
        </w:rPr>
      </w:pPr>
      <w:r>
        <w:rPr>
          <w:rFonts w:eastAsia="MS Mincho"/>
          <w:lang w:eastAsia="ja-JP"/>
        </w:rPr>
        <w:t xml:space="preserve">In RAN1 # 89 meeting, it was agreed that </w:t>
      </w:r>
    </w:p>
    <w:p w14:paraId="72E605E1" w14:textId="77777777" w:rsidR="00DA27A7" w:rsidRPr="00445AF2" w:rsidRDefault="00DA27A7" w:rsidP="00DA27A7">
      <w:pPr>
        <w:numPr>
          <w:ilvl w:val="0"/>
          <w:numId w:val="31"/>
        </w:numPr>
        <w:autoSpaceDE/>
        <w:autoSpaceDN/>
        <w:adjustRightInd/>
        <w:snapToGrid/>
        <w:spacing w:after="0"/>
        <w:jc w:val="left"/>
        <w:rPr>
          <w:rFonts w:eastAsia="MS Mincho"/>
          <w:lang w:eastAsia="ja-JP"/>
        </w:rPr>
      </w:pPr>
      <w:r w:rsidRPr="00445AF2">
        <w:rPr>
          <w:rFonts w:eastAsia="MS Mincho" w:hint="eastAsia"/>
          <w:lang w:eastAsia="ja-JP"/>
        </w:rPr>
        <w:t>For DL CBG-based (re)transmission,</w:t>
      </w:r>
    </w:p>
    <w:p w14:paraId="7D7C777B" w14:textId="77777777" w:rsidR="00DA27A7" w:rsidRPr="00445AF2" w:rsidRDefault="00DA27A7" w:rsidP="00DA27A7">
      <w:pPr>
        <w:numPr>
          <w:ilvl w:val="1"/>
          <w:numId w:val="31"/>
        </w:numPr>
        <w:autoSpaceDE/>
        <w:autoSpaceDN/>
        <w:adjustRightInd/>
        <w:snapToGrid/>
        <w:spacing w:after="0"/>
        <w:jc w:val="left"/>
        <w:rPr>
          <w:rFonts w:eastAsia="MS Mincho"/>
          <w:lang w:eastAsia="ja-JP"/>
        </w:rPr>
      </w:pPr>
      <w:r w:rsidRPr="00445AF2">
        <w:rPr>
          <w:rFonts w:eastAsia="MS Mincho" w:hint="eastAsia"/>
          <w:lang w:eastAsia="ja-JP"/>
        </w:rPr>
        <w:t>Following information can be configured to be included in the same DCI:</w:t>
      </w:r>
    </w:p>
    <w:p w14:paraId="2B009582" w14:textId="77777777" w:rsidR="00DA27A7" w:rsidRPr="00445AF2" w:rsidRDefault="00DA27A7" w:rsidP="00DA27A7">
      <w:pPr>
        <w:numPr>
          <w:ilvl w:val="2"/>
          <w:numId w:val="31"/>
        </w:numPr>
        <w:autoSpaceDE/>
        <w:autoSpaceDN/>
        <w:adjustRightInd/>
        <w:snapToGrid/>
        <w:spacing w:after="0"/>
        <w:jc w:val="left"/>
        <w:rPr>
          <w:rFonts w:eastAsia="MS Mincho"/>
          <w:lang w:eastAsia="ja-JP"/>
        </w:rPr>
      </w:pPr>
      <w:r w:rsidRPr="00DA27A7">
        <w:rPr>
          <w:rFonts w:eastAsia="MS Mincho" w:hint="eastAsia"/>
          <w:lang w:eastAsia="ja-JP"/>
        </w:rPr>
        <w:t>Which CBG(s) is/are (re)transmitted</w:t>
      </w:r>
      <w:r w:rsidRPr="00445AF2">
        <w:rPr>
          <w:rFonts w:eastAsia="MS Mincho" w:hint="eastAsia"/>
          <w:lang w:eastAsia="ja-JP"/>
        </w:rPr>
        <w:t>.</w:t>
      </w:r>
    </w:p>
    <w:p w14:paraId="50745E63" w14:textId="77777777" w:rsidR="00DA27A7" w:rsidRPr="00445AF2" w:rsidRDefault="00DA27A7" w:rsidP="00DA27A7">
      <w:pPr>
        <w:numPr>
          <w:ilvl w:val="2"/>
          <w:numId w:val="31"/>
        </w:numPr>
        <w:autoSpaceDE/>
        <w:autoSpaceDN/>
        <w:adjustRightInd/>
        <w:snapToGrid/>
        <w:spacing w:after="0"/>
        <w:jc w:val="left"/>
        <w:rPr>
          <w:rFonts w:eastAsia="MS Mincho"/>
          <w:lang w:eastAsia="ja-JP"/>
        </w:rPr>
      </w:pPr>
      <w:r w:rsidRPr="00445AF2">
        <w:rPr>
          <w:rFonts w:eastAsia="MS Mincho" w:hint="eastAsia"/>
          <w:lang w:eastAsia="ja-JP"/>
        </w:rPr>
        <w:t>Which CBG(s) is/are handled differently for soft-buffer/HARQ combining.</w:t>
      </w:r>
    </w:p>
    <w:p w14:paraId="1B55E4B8" w14:textId="77777777" w:rsidR="00DA27A7" w:rsidRPr="00445AF2" w:rsidRDefault="00DA27A7" w:rsidP="00DA27A7">
      <w:pPr>
        <w:numPr>
          <w:ilvl w:val="3"/>
          <w:numId w:val="31"/>
        </w:numPr>
        <w:autoSpaceDE/>
        <w:autoSpaceDN/>
        <w:adjustRightInd/>
        <w:snapToGrid/>
        <w:spacing w:after="0"/>
        <w:jc w:val="left"/>
        <w:rPr>
          <w:rFonts w:eastAsia="MS Mincho"/>
          <w:lang w:eastAsia="ja-JP"/>
        </w:rPr>
      </w:pPr>
      <w:r w:rsidRPr="00445AF2">
        <w:rPr>
          <w:rFonts w:eastAsia="MS Mincho" w:hint="eastAsia"/>
          <w:lang w:eastAsia="ja-JP"/>
        </w:rPr>
        <w:t>FFS: whether/how UE behavior is specified, e.g., part/whole of soft-buffer of indicated CBG(s) is flushed.</w:t>
      </w:r>
    </w:p>
    <w:p w14:paraId="493417C6" w14:textId="77777777" w:rsidR="00DA27A7" w:rsidRPr="00445AF2" w:rsidRDefault="00DA27A7" w:rsidP="00DA27A7">
      <w:pPr>
        <w:numPr>
          <w:ilvl w:val="1"/>
          <w:numId w:val="31"/>
        </w:numPr>
        <w:autoSpaceDE/>
        <w:autoSpaceDN/>
        <w:adjustRightInd/>
        <w:snapToGrid/>
        <w:spacing w:after="0"/>
        <w:jc w:val="left"/>
        <w:rPr>
          <w:rFonts w:eastAsia="MS Mincho"/>
          <w:lang w:eastAsia="ja-JP"/>
        </w:rPr>
      </w:pPr>
      <w:r w:rsidRPr="00445AF2">
        <w:rPr>
          <w:rFonts w:eastAsia="MS Mincho" w:hint="eastAsia"/>
          <w:lang w:eastAsia="ja-JP"/>
        </w:rPr>
        <w:t>FFS: timing of CBG-based (re)transmission.</w:t>
      </w:r>
    </w:p>
    <w:p w14:paraId="6E80D1DB" w14:textId="77777777" w:rsidR="00DA27A7" w:rsidRPr="00445AF2" w:rsidRDefault="00DA27A7" w:rsidP="00DA27A7">
      <w:pPr>
        <w:numPr>
          <w:ilvl w:val="0"/>
          <w:numId w:val="31"/>
        </w:numPr>
        <w:autoSpaceDE/>
        <w:autoSpaceDN/>
        <w:adjustRightInd/>
        <w:snapToGrid/>
        <w:spacing w:after="0"/>
        <w:jc w:val="left"/>
        <w:rPr>
          <w:rFonts w:eastAsia="MS Mincho"/>
          <w:lang w:eastAsia="ja-JP"/>
        </w:rPr>
      </w:pPr>
      <w:r w:rsidRPr="00445AF2">
        <w:rPr>
          <w:rFonts w:eastAsia="MS Mincho" w:hint="eastAsia"/>
          <w:lang w:eastAsia="ja-JP"/>
        </w:rPr>
        <w:t>For preemption indication;</w:t>
      </w:r>
    </w:p>
    <w:p w14:paraId="5EFFB0F9" w14:textId="77777777" w:rsidR="00DA27A7" w:rsidRPr="00445AF2" w:rsidRDefault="00DA27A7" w:rsidP="00DA27A7">
      <w:pPr>
        <w:numPr>
          <w:ilvl w:val="1"/>
          <w:numId w:val="31"/>
        </w:numPr>
        <w:autoSpaceDE/>
        <w:autoSpaceDN/>
        <w:adjustRightInd/>
        <w:snapToGrid/>
        <w:spacing w:after="0"/>
        <w:jc w:val="left"/>
        <w:rPr>
          <w:rFonts w:eastAsia="MS Mincho"/>
          <w:lang w:eastAsia="ja-JP"/>
        </w:rPr>
      </w:pPr>
      <w:r w:rsidRPr="00445AF2">
        <w:rPr>
          <w:rFonts w:eastAsia="MS Mincho" w:hint="eastAsia"/>
          <w:lang w:eastAsia="ja-JP"/>
        </w:rPr>
        <w:t>When configured, the indication tells the UE(s) which DL physical resources has been preempted.</w:t>
      </w:r>
    </w:p>
    <w:p w14:paraId="12352863" w14:textId="77777777" w:rsidR="00DA27A7" w:rsidRPr="00445AF2" w:rsidRDefault="00DA27A7" w:rsidP="00DA27A7">
      <w:pPr>
        <w:numPr>
          <w:ilvl w:val="1"/>
          <w:numId w:val="31"/>
        </w:numPr>
        <w:autoSpaceDE/>
        <w:autoSpaceDN/>
        <w:adjustRightInd/>
        <w:snapToGrid/>
        <w:spacing w:after="0"/>
        <w:jc w:val="left"/>
        <w:rPr>
          <w:rFonts w:eastAsia="MS Mincho"/>
          <w:lang w:eastAsia="ja-JP"/>
        </w:rPr>
      </w:pPr>
      <w:r w:rsidRPr="00445AF2">
        <w:rPr>
          <w:rFonts w:eastAsia="MS Mincho" w:hint="eastAsia"/>
          <w:lang w:eastAsia="ja-JP"/>
        </w:rPr>
        <w:t>The preemption indication is transmitted using a PDCCH.</w:t>
      </w:r>
    </w:p>
    <w:p w14:paraId="1C5B0EF8" w14:textId="77777777" w:rsidR="00DA27A7" w:rsidRPr="00445AF2" w:rsidRDefault="00DA27A7" w:rsidP="00DA27A7">
      <w:pPr>
        <w:numPr>
          <w:ilvl w:val="2"/>
          <w:numId w:val="31"/>
        </w:numPr>
        <w:autoSpaceDE/>
        <w:autoSpaceDN/>
        <w:adjustRightInd/>
        <w:snapToGrid/>
        <w:spacing w:after="0"/>
        <w:jc w:val="left"/>
        <w:rPr>
          <w:rFonts w:eastAsia="MS Mincho"/>
          <w:lang w:eastAsia="ja-JP"/>
        </w:rPr>
      </w:pPr>
      <w:r w:rsidRPr="00445AF2">
        <w:rPr>
          <w:rFonts w:eastAsia="MS Mincho" w:hint="eastAsia"/>
          <w:lang w:eastAsia="ja-JP"/>
        </w:rPr>
        <w:t>The preemption indication is not included in the DCI that schedules the (re)transmission of the data transmission.</w:t>
      </w:r>
    </w:p>
    <w:p w14:paraId="6C5A11FD" w14:textId="77777777" w:rsidR="00DA27A7" w:rsidRPr="00445AF2" w:rsidRDefault="00DA27A7" w:rsidP="00DA27A7">
      <w:pPr>
        <w:numPr>
          <w:ilvl w:val="1"/>
          <w:numId w:val="31"/>
        </w:numPr>
        <w:autoSpaceDE/>
        <w:autoSpaceDN/>
        <w:adjustRightInd/>
        <w:snapToGrid/>
        <w:spacing w:after="0"/>
        <w:jc w:val="left"/>
        <w:rPr>
          <w:rFonts w:eastAsia="MS Mincho"/>
          <w:lang w:eastAsia="ja-JP"/>
        </w:rPr>
      </w:pPr>
      <w:r w:rsidRPr="00445AF2">
        <w:rPr>
          <w:rFonts w:eastAsia="MS Mincho" w:hint="eastAsia"/>
          <w:lang w:eastAsia="ja-JP"/>
        </w:rPr>
        <w:t>FFS: the granularity of the time and/or frequency resources.</w:t>
      </w:r>
    </w:p>
    <w:p w14:paraId="56710534" w14:textId="77777777" w:rsidR="00DA27A7" w:rsidRPr="00445AF2" w:rsidRDefault="00DA27A7" w:rsidP="00DA27A7">
      <w:pPr>
        <w:numPr>
          <w:ilvl w:val="1"/>
          <w:numId w:val="31"/>
        </w:numPr>
        <w:autoSpaceDE/>
        <w:autoSpaceDN/>
        <w:adjustRightInd/>
        <w:snapToGrid/>
        <w:spacing w:after="0"/>
        <w:jc w:val="left"/>
        <w:rPr>
          <w:rFonts w:eastAsia="MS Mincho"/>
          <w:lang w:eastAsia="ja-JP"/>
        </w:rPr>
      </w:pPr>
      <w:r w:rsidRPr="00445AF2">
        <w:rPr>
          <w:rFonts w:eastAsia="MS Mincho" w:hint="eastAsia"/>
          <w:lang w:eastAsia="ja-JP"/>
        </w:rPr>
        <w:t>FFS: what DCI is used.</w:t>
      </w:r>
    </w:p>
    <w:p w14:paraId="48E1841E" w14:textId="77777777" w:rsidR="00DA27A7" w:rsidRDefault="00DA27A7" w:rsidP="00DA27A7">
      <w:pPr>
        <w:numPr>
          <w:ilvl w:val="1"/>
          <w:numId w:val="31"/>
        </w:numPr>
        <w:autoSpaceDE/>
        <w:autoSpaceDN/>
        <w:adjustRightInd/>
        <w:snapToGrid/>
        <w:spacing w:after="0"/>
        <w:jc w:val="left"/>
        <w:rPr>
          <w:rFonts w:eastAsia="MS Mincho"/>
          <w:lang w:eastAsia="ja-JP"/>
        </w:rPr>
      </w:pPr>
      <w:r w:rsidRPr="00445AF2">
        <w:rPr>
          <w:rFonts w:eastAsia="MS Mincho" w:hint="eastAsia"/>
          <w:lang w:eastAsia="ja-JP"/>
        </w:rPr>
        <w:t>FFS: timing of the preemption indication.</w:t>
      </w:r>
    </w:p>
    <w:p w14:paraId="0E963FC7" w14:textId="77777777" w:rsidR="00DA27A7" w:rsidRDefault="00DA27A7" w:rsidP="00DA27A7">
      <w:pPr>
        <w:autoSpaceDE/>
        <w:autoSpaceDN/>
        <w:adjustRightInd/>
        <w:snapToGrid/>
        <w:spacing w:after="0"/>
        <w:ind w:left="720"/>
        <w:jc w:val="left"/>
        <w:rPr>
          <w:rFonts w:eastAsia="MS Mincho"/>
          <w:lang w:eastAsia="ja-JP"/>
        </w:rPr>
      </w:pPr>
    </w:p>
    <w:p w14:paraId="351976B5" w14:textId="77777777" w:rsidR="00DA27A7" w:rsidRPr="00445AF2" w:rsidRDefault="00DA27A7" w:rsidP="00DA27A7">
      <w:pPr>
        <w:autoSpaceDE/>
        <w:autoSpaceDN/>
        <w:adjustRightInd/>
        <w:snapToGrid/>
        <w:spacing w:after="0"/>
        <w:jc w:val="left"/>
        <w:rPr>
          <w:rFonts w:eastAsia="MS Mincho"/>
          <w:lang w:eastAsia="ja-JP"/>
        </w:rPr>
      </w:pPr>
      <w:r>
        <w:rPr>
          <w:rFonts w:eastAsia="MS Mincho"/>
          <w:lang w:eastAsia="ja-JP"/>
        </w:rPr>
        <w:t>In this contribution, we discuss possible options for control channel to send pre-emption indication and propose group-common indication is preferred among the available options. Furthermore, we also provide insight on content design and location for sending group-common indication.</w:t>
      </w:r>
    </w:p>
    <w:p w14:paraId="2CEBC72F" w14:textId="77777777" w:rsidR="00DA27A7" w:rsidRPr="00CF195E" w:rsidRDefault="00DA27A7" w:rsidP="00C12BC1">
      <w:pPr>
        <w:rPr>
          <w:rFonts w:eastAsia="MS Mincho"/>
          <w:lang w:eastAsia="ja-JP"/>
        </w:rPr>
      </w:pPr>
    </w:p>
    <w:p w14:paraId="6C453036" w14:textId="77777777" w:rsidR="009A3A86" w:rsidRDefault="00DA27A7" w:rsidP="00CF195E">
      <w:pPr>
        <w:pStyle w:val="Heading1"/>
      </w:pPr>
      <w:bookmarkStart w:id="3" w:name="_Ref129681832"/>
      <w:r>
        <w:t>Group-common vs. UE specific Indication</w:t>
      </w:r>
      <w:r w:rsidR="006D62BC" w:rsidRPr="00CF195E">
        <w:t xml:space="preserve"> </w:t>
      </w:r>
    </w:p>
    <w:p w14:paraId="3557752A" w14:textId="77777777" w:rsidR="00DA27A7" w:rsidRDefault="00DA27A7" w:rsidP="00DA27A7">
      <w:pPr>
        <w:rPr>
          <w:kern w:val="2"/>
          <w:lang w:val="en-GB" w:eastAsia="zh-CN"/>
        </w:rPr>
      </w:pPr>
      <w:r>
        <w:rPr>
          <w:kern w:val="2"/>
          <w:lang w:val="en-GB" w:eastAsia="zh-CN"/>
        </w:rPr>
        <w:t>It has been agreed that pre-emption indication would not be included in the DCI that schedules (re)-transmission. To this end, if indication is configured, possible options include</w:t>
      </w:r>
    </w:p>
    <w:p w14:paraId="7736954F" w14:textId="77777777" w:rsidR="00DA27A7" w:rsidRDefault="00DA27A7" w:rsidP="00DA27A7">
      <w:pPr>
        <w:pStyle w:val="ListParagraph"/>
        <w:numPr>
          <w:ilvl w:val="0"/>
          <w:numId w:val="32"/>
        </w:numPr>
        <w:rPr>
          <w:kern w:val="2"/>
          <w:lang w:val="en-GB" w:eastAsia="zh-CN"/>
        </w:rPr>
      </w:pPr>
      <w:r>
        <w:rPr>
          <w:kern w:val="2"/>
          <w:lang w:val="en-GB" w:eastAsia="zh-CN"/>
        </w:rPr>
        <w:t>Indication is provided to a UE in a UE-specific PDCCH</w:t>
      </w:r>
    </w:p>
    <w:p w14:paraId="040AFBBA" w14:textId="77777777" w:rsidR="00DA27A7" w:rsidRDefault="00DA27A7" w:rsidP="00DA27A7">
      <w:pPr>
        <w:pStyle w:val="ListParagraph"/>
        <w:numPr>
          <w:ilvl w:val="0"/>
          <w:numId w:val="32"/>
        </w:numPr>
        <w:rPr>
          <w:kern w:val="2"/>
          <w:lang w:val="en-GB" w:eastAsia="zh-CN"/>
        </w:rPr>
      </w:pPr>
      <w:r>
        <w:rPr>
          <w:kern w:val="2"/>
          <w:lang w:val="en-GB" w:eastAsia="zh-CN"/>
        </w:rPr>
        <w:t>Indication is provided to UE(s) in one or multiple group-common PDCCHs</w:t>
      </w:r>
    </w:p>
    <w:p w14:paraId="3467C425" w14:textId="77777777" w:rsidR="00DA27A7" w:rsidRDefault="00DA27A7" w:rsidP="00DA27A7">
      <w:pPr>
        <w:pStyle w:val="ListParagraph"/>
        <w:rPr>
          <w:kern w:val="2"/>
          <w:lang w:val="en-GB" w:eastAsia="zh-CN"/>
        </w:rPr>
      </w:pPr>
    </w:p>
    <w:p w14:paraId="0BDC946A" w14:textId="3C5E566F" w:rsidR="00DA27A7" w:rsidRDefault="00DA27A7" w:rsidP="00DA27A7">
      <w:pPr>
        <w:rPr>
          <w:kern w:val="2"/>
          <w:lang w:val="en-GB" w:eastAsia="zh-CN"/>
        </w:rPr>
      </w:pPr>
      <w:r>
        <w:rPr>
          <w:kern w:val="2"/>
          <w:lang w:val="en-GB" w:eastAsia="zh-CN"/>
        </w:rPr>
        <w:t xml:space="preserve">As URLLC transmission may span </w:t>
      </w:r>
      <w:r w:rsidR="00207100">
        <w:rPr>
          <w:kern w:val="2"/>
          <w:lang w:val="en-GB" w:eastAsia="zh-CN"/>
        </w:rPr>
        <w:t xml:space="preserve">a </w:t>
      </w:r>
      <w:r>
        <w:rPr>
          <w:kern w:val="2"/>
          <w:lang w:val="en-GB" w:eastAsia="zh-CN"/>
        </w:rPr>
        <w:t xml:space="preserve">large BW </w:t>
      </w:r>
      <w:r w:rsidR="00207100">
        <w:rPr>
          <w:kern w:val="2"/>
          <w:lang w:val="en-GB" w:eastAsia="zh-CN"/>
        </w:rPr>
        <w:t xml:space="preserve">to meet the </w:t>
      </w:r>
      <w:r>
        <w:rPr>
          <w:kern w:val="2"/>
          <w:lang w:val="en-GB" w:eastAsia="zh-CN"/>
        </w:rPr>
        <w:t>reliability requirement and one URLLC transmission can potentially cause pre-emption of resources from multiple eMBB transmission</w:t>
      </w:r>
      <w:r w:rsidR="00207100">
        <w:rPr>
          <w:kern w:val="2"/>
          <w:lang w:val="en-GB" w:eastAsia="zh-CN"/>
        </w:rPr>
        <w:t>s</w:t>
      </w:r>
      <w:r>
        <w:rPr>
          <w:kern w:val="2"/>
          <w:lang w:val="en-GB" w:eastAsia="zh-CN"/>
        </w:rPr>
        <w:t xml:space="preserve">, sending UE-specific PDCCHs to notify indication can be very inefficient for the following reasons: a) </w:t>
      </w:r>
      <w:r w:rsidR="000104E2">
        <w:rPr>
          <w:kern w:val="2"/>
          <w:lang w:val="en-GB" w:eastAsia="zh-CN"/>
        </w:rPr>
        <w:t>In some cases, same</w:t>
      </w:r>
      <w:r>
        <w:rPr>
          <w:kern w:val="2"/>
          <w:lang w:val="en-GB" w:eastAsia="zh-CN"/>
        </w:rPr>
        <w:t xml:space="preserve"> pre-emption information is sent to a group of UEs separately b) if a PDCCH only contains pre-emption indication but does not schedule any transmission, the </w:t>
      </w:r>
      <w:r w:rsidR="00EF7C7E">
        <w:rPr>
          <w:kern w:val="2"/>
          <w:lang w:val="en-GB" w:eastAsia="zh-CN"/>
        </w:rPr>
        <w:t xml:space="preserve">UE specific </w:t>
      </w:r>
      <w:r>
        <w:rPr>
          <w:kern w:val="2"/>
          <w:lang w:val="en-GB" w:eastAsia="zh-CN"/>
        </w:rPr>
        <w:t xml:space="preserve">PDCCH size </w:t>
      </w:r>
      <w:r w:rsidR="00EF7C7E">
        <w:rPr>
          <w:kern w:val="2"/>
          <w:lang w:val="en-GB" w:eastAsia="zh-CN"/>
        </w:rPr>
        <w:t xml:space="preserve">containing indication </w:t>
      </w:r>
      <w:r>
        <w:rPr>
          <w:kern w:val="2"/>
          <w:lang w:val="en-GB" w:eastAsia="zh-CN"/>
        </w:rPr>
        <w:t xml:space="preserve">can be quite different from other PDCCHs </w:t>
      </w:r>
      <w:r w:rsidR="00EF7C7E">
        <w:rPr>
          <w:kern w:val="2"/>
          <w:lang w:val="en-GB" w:eastAsia="zh-CN"/>
        </w:rPr>
        <w:t xml:space="preserve">which may contain UE specific DCI formats supported by a given UE and it </w:t>
      </w:r>
      <w:r>
        <w:rPr>
          <w:kern w:val="2"/>
          <w:lang w:val="en-GB" w:eastAsia="zh-CN"/>
        </w:rPr>
        <w:t>may increase blind detection complexity</w:t>
      </w:r>
      <w:r w:rsidR="00EF7C7E">
        <w:rPr>
          <w:kern w:val="2"/>
          <w:lang w:val="en-GB" w:eastAsia="zh-CN"/>
        </w:rPr>
        <w:t xml:space="preserve"> in the device specific search space.</w:t>
      </w:r>
      <w:r>
        <w:rPr>
          <w:kern w:val="2"/>
          <w:lang w:val="en-GB" w:eastAsia="zh-CN"/>
        </w:rPr>
        <w:t>.</w:t>
      </w:r>
    </w:p>
    <w:p w14:paraId="2836593C" w14:textId="0A26A809" w:rsidR="00DA27A7" w:rsidRDefault="00DA27A7" w:rsidP="00DA27A7">
      <w:pPr>
        <w:rPr>
          <w:kern w:val="2"/>
          <w:lang w:val="en-GB" w:eastAsia="zh-CN"/>
        </w:rPr>
      </w:pPr>
      <w:r>
        <w:rPr>
          <w:kern w:val="2"/>
          <w:lang w:val="en-GB" w:eastAsia="zh-CN"/>
        </w:rPr>
        <w:t xml:space="preserve">NR specifications will support group-common PDCCHs, even though the detail application of common PDCCHs are not finalized yet. As can be seen in Fig. 1, </w:t>
      </w:r>
      <w:r w:rsidR="00EF7C7E">
        <w:rPr>
          <w:kern w:val="2"/>
          <w:lang w:val="en-GB" w:eastAsia="zh-CN"/>
        </w:rPr>
        <w:t xml:space="preserve">UE 1 and UE 2 would receive same pre-emption information in UE specific indication, if the granularity of pre-emption indication is configured to be same for all UEs. Instead, one </w:t>
      </w:r>
      <w:r>
        <w:rPr>
          <w:kern w:val="2"/>
          <w:lang w:val="en-GB" w:eastAsia="zh-CN"/>
        </w:rPr>
        <w:t>group-common indication</w:t>
      </w:r>
      <w:r w:rsidR="00EF7C7E">
        <w:rPr>
          <w:kern w:val="2"/>
          <w:lang w:val="en-GB" w:eastAsia="zh-CN"/>
        </w:rPr>
        <w:t xml:space="preserve"> can be configured and </w:t>
      </w:r>
      <w:r w:rsidR="003932DF">
        <w:rPr>
          <w:kern w:val="2"/>
          <w:lang w:val="en-GB" w:eastAsia="zh-CN"/>
        </w:rPr>
        <w:t>addressed to</w:t>
      </w:r>
      <w:r w:rsidR="00EF7C7E">
        <w:rPr>
          <w:kern w:val="2"/>
          <w:lang w:val="en-GB" w:eastAsia="zh-CN"/>
        </w:rPr>
        <w:t xml:space="preserve"> a group of UEs </w:t>
      </w:r>
      <w:r w:rsidR="003932DF">
        <w:rPr>
          <w:kern w:val="2"/>
          <w:lang w:val="en-GB" w:eastAsia="zh-CN"/>
        </w:rPr>
        <w:t xml:space="preserve">that </w:t>
      </w:r>
      <w:r w:rsidR="00EF7C7E">
        <w:rPr>
          <w:kern w:val="2"/>
          <w:lang w:val="en-GB" w:eastAsia="zh-CN"/>
        </w:rPr>
        <w:lastRenderedPageBreak/>
        <w:t>would monitor and extract pre-emption information from</w:t>
      </w:r>
      <w:r w:rsidR="003932DF">
        <w:rPr>
          <w:kern w:val="2"/>
          <w:lang w:val="en-GB" w:eastAsia="zh-CN"/>
        </w:rPr>
        <w:t xml:space="preserve"> such group-common indication</w:t>
      </w:r>
      <w:r w:rsidR="00EF7C7E">
        <w:rPr>
          <w:kern w:val="2"/>
          <w:lang w:val="en-GB" w:eastAsia="zh-CN"/>
        </w:rPr>
        <w:t>.</w:t>
      </w:r>
      <w:r>
        <w:rPr>
          <w:kern w:val="2"/>
          <w:lang w:val="en-GB" w:eastAsia="zh-CN"/>
        </w:rPr>
        <w:t xml:space="preserve"> </w:t>
      </w:r>
      <w:r w:rsidR="00EF7C7E">
        <w:rPr>
          <w:kern w:val="2"/>
          <w:lang w:val="en-GB" w:eastAsia="zh-CN"/>
        </w:rPr>
        <w:t xml:space="preserve">Hence, group common indication </w:t>
      </w:r>
      <w:r>
        <w:rPr>
          <w:kern w:val="2"/>
          <w:lang w:val="en-GB" w:eastAsia="zh-CN"/>
        </w:rPr>
        <w:t xml:space="preserve">can be </w:t>
      </w:r>
      <w:r w:rsidR="00EF7C7E">
        <w:rPr>
          <w:kern w:val="2"/>
          <w:lang w:val="en-GB" w:eastAsia="zh-CN"/>
        </w:rPr>
        <w:t xml:space="preserve">more </w:t>
      </w:r>
      <w:r>
        <w:rPr>
          <w:kern w:val="2"/>
          <w:lang w:val="en-GB" w:eastAsia="zh-CN"/>
        </w:rPr>
        <w:t>beneficial and efficient, given the characteristics of URLLC requirement</w:t>
      </w:r>
      <w:r w:rsidR="002B5D29">
        <w:rPr>
          <w:kern w:val="2"/>
          <w:lang w:val="en-GB" w:eastAsia="zh-CN"/>
        </w:rPr>
        <w:t>s</w:t>
      </w:r>
      <w:r>
        <w:rPr>
          <w:kern w:val="2"/>
          <w:lang w:val="en-GB" w:eastAsia="zh-CN"/>
        </w:rPr>
        <w:t xml:space="preserve">.  </w:t>
      </w:r>
    </w:p>
    <w:p w14:paraId="49341CD4" w14:textId="77777777" w:rsidR="00DA27A7" w:rsidRDefault="00DA27A7" w:rsidP="00DA27A7">
      <w:pPr>
        <w:rPr>
          <w:kern w:val="2"/>
          <w:lang w:val="en-GB" w:eastAsia="zh-CN"/>
        </w:rPr>
      </w:pPr>
    </w:p>
    <w:p w14:paraId="6F42BB7E" w14:textId="77777777" w:rsidR="00DA27A7" w:rsidRDefault="00DA27A7" w:rsidP="00DA27A7">
      <w:pPr>
        <w:rPr>
          <w:kern w:val="2"/>
          <w:lang w:val="en-GB" w:eastAsia="zh-CN"/>
        </w:rPr>
      </w:pPr>
      <w:r>
        <w:rPr>
          <w:kern w:val="2"/>
          <w:lang w:val="en-GB" w:eastAsia="zh-CN"/>
        </w:rPr>
        <w:t xml:space="preserve">       </w:t>
      </w:r>
      <w:r>
        <w:rPr>
          <w:noProof/>
          <w:kern w:val="2"/>
          <w:lang w:eastAsia="zh-CN"/>
        </w:rPr>
        <w:drawing>
          <wp:inline distT="0" distB="0" distL="0" distR="0" wp14:anchorId="409228DF" wp14:editId="4236CB81">
            <wp:extent cx="5135034" cy="1673924"/>
            <wp:effectExtent l="0" t="0" r="8466"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8" cstate="print"/>
                    <a:srcRect/>
                    <a:stretch>
                      <a:fillRect/>
                    </a:stretch>
                  </pic:blipFill>
                  <pic:spPr bwMode="auto">
                    <a:xfrm>
                      <a:off x="0" y="0"/>
                      <a:ext cx="5134557" cy="1673769"/>
                    </a:xfrm>
                    <a:prstGeom prst="rect">
                      <a:avLst/>
                    </a:prstGeom>
                    <a:noFill/>
                  </pic:spPr>
                </pic:pic>
              </a:graphicData>
            </a:graphic>
          </wp:inline>
        </w:drawing>
      </w:r>
    </w:p>
    <w:p w14:paraId="6E1FBFBD" w14:textId="77777777" w:rsidR="00DA27A7" w:rsidRDefault="00DA27A7" w:rsidP="00DA27A7">
      <w:pPr>
        <w:rPr>
          <w:kern w:val="2"/>
          <w:lang w:val="en-GB" w:eastAsia="zh-CN"/>
        </w:rPr>
      </w:pPr>
      <w:r>
        <w:rPr>
          <w:kern w:val="2"/>
          <w:lang w:val="en-GB" w:eastAsia="zh-CN"/>
        </w:rPr>
        <w:t xml:space="preserve">      Figure 1: Multiple eMBB transmission can be impacted by same pre-emption event.</w:t>
      </w:r>
    </w:p>
    <w:p w14:paraId="530BB650" w14:textId="77777777" w:rsidR="00DA27A7" w:rsidRDefault="00DA27A7" w:rsidP="00DA27A7">
      <w:pPr>
        <w:rPr>
          <w:kern w:val="2"/>
          <w:lang w:val="en-GB" w:eastAsia="zh-CN"/>
        </w:rPr>
      </w:pPr>
      <w:r w:rsidRPr="00DA27A7">
        <w:rPr>
          <w:b/>
          <w:kern w:val="2"/>
          <w:lang w:val="en-GB" w:eastAsia="zh-CN"/>
        </w:rPr>
        <w:t>Observation</w:t>
      </w:r>
      <w:r>
        <w:rPr>
          <w:kern w:val="2"/>
          <w:lang w:val="en-GB" w:eastAsia="zh-CN"/>
        </w:rPr>
        <w:t xml:space="preserve"> 1: UE specific pre-emption indication can be very inefficient.</w:t>
      </w:r>
    </w:p>
    <w:p w14:paraId="035DF043" w14:textId="77777777" w:rsidR="00DA27A7" w:rsidRDefault="00DA27A7" w:rsidP="00DA27A7">
      <w:pPr>
        <w:rPr>
          <w:kern w:val="2"/>
          <w:lang w:val="en-GB" w:eastAsia="zh-CN"/>
        </w:rPr>
      </w:pPr>
      <w:r w:rsidRPr="00DA27A7">
        <w:rPr>
          <w:b/>
          <w:kern w:val="2"/>
          <w:lang w:val="en-GB" w:eastAsia="zh-CN"/>
        </w:rPr>
        <w:t>Proposal</w:t>
      </w:r>
      <w:r>
        <w:rPr>
          <w:kern w:val="2"/>
          <w:lang w:val="en-GB" w:eastAsia="zh-CN"/>
        </w:rPr>
        <w:t xml:space="preserve"> 1: NR supports group-common pre-emption indication.</w:t>
      </w:r>
    </w:p>
    <w:p w14:paraId="45D6DB9C" w14:textId="77777777" w:rsidR="00650139" w:rsidRDefault="00DA27A7" w:rsidP="00DA27A7">
      <w:pPr>
        <w:pStyle w:val="Heading1"/>
        <w:rPr>
          <w:lang w:eastAsia="ja-JP"/>
        </w:rPr>
      </w:pPr>
      <w:r>
        <w:rPr>
          <w:lang w:eastAsia="ja-JP"/>
        </w:rPr>
        <w:t>Location of group-common PDCCH</w:t>
      </w:r>
    </w:p>
    <w:p w14:paraId="5EB3BC06" w14:textId="77777777" w:rsidR="007A5566" w:rsidRDefault="007A5566" w:rsidP="00EC3662">
      <w:pPr>
        <w:rPr>
          <w:kern w:val="2"/>
          <w:lang w:val="en-GB" w:eastAsia="ja-JP"/>
        </w:rPr>
      </w:pPr>
      <w:r>
        <w:rPr>
          <w:kern w:val="2"/>
          <w:lang w:val="en-GB" w:eastAsia="ja-JP"/>
        </w:rPr>
        <w:t xml:space="preserve">If URLLC and eMBB scheduling intervals are the same, no pre-emption is necessary. For the discussion below, it is assumed that </w:t>
      </w:r>
      <w:r w:rsidR="00C40CA8">
        <w:rPr>
          <w:kern w:val="2"/>
          <w:lang w:val="en-GB" w:eastAsia="ja-JP"/>
        </w:rPr>
        <w:t xml:space="preserve">URLLC scheduling interval is shorter than eMBB scheduling interval and hence, pre-emption information can be conveyed to the eMBB UE(s), if configured. </w:t>
      </w:r>
    </w:p>
    <w:p w14:paraId="30410F8B" w14:textId="77777777" w:rsidR="00ED6D25" w:rsidRDefault="00C40CA8">
      <w:pPr>
        <w:rPr>
          <w:kern w:val="2"/>
          <w:lang w:val="en-GB" w:eastAsia="ja-JP"/>
        </w:rPr>
      </w:pPr>
      <w:r>
        <w:rPr>
          <w:kern w:val="2"/>
          <w:lang w:val="en-GB" w:eastAsia="ja-JP"/>
        </w:rPr>
        <w:t>Indication location(s) d</w:t>
      </w:r>
      <w:r w:rsidR="007A5566">
        <w:rPr>
          <w:kern w:val="2"/>
          <w:lang w:val="en-GB" w:eastAsia="ja-JP"/>
        </w:rPr>
        <w:t xml:space="preserve">uring eMBB scheduling interval can </w:t>
      </w:r>
      <w:r>
        <w:rPr>
          <w:kern w:val="2"/>
          <w:lang w:val="en-GB" w:eastAsia="ja-JP"/>
        </w:rPr>
        <w:t>include</w:t>
      </w:r>
    </w:p>
    <w:p w14:paraId="4AFE0769" w14:textId="08090E3B" w:rsidR="00ED6D25" w:rsidRDefault="00EF7C7E" w:rsidP="008950CF">
      <w:pPr>
        <w:pStyle w:val="ListParagraph"/>
        <w:numPr>
          <w:ilvl w:val="1"/>
          <w:numId w:val="42"/>
        </w:numPr>
        <w:rPr>
          <w:kern w:val="2"/>
          <w:lang w:val="en-GB" w:eastAsia="ja-JP"/>
        </w:rPr>
      </w:pPr>
      <w:r>
        <w:rPr>
          <w:kern w:val="2"/>
          <w:lang w:val="en-GB" w:eastAsia="ja-JP"/>
        </w:rPr>
        <w:t xml:space="preserve">  </w:t>
      </w:r>
      <w:r w:rsidR="00C40CA8">
        <w:rPr>
          <w:kern w:val="2"/>
          <w:lang w:val="en-GB" w:eastAsia="ja-JP"/>
        </w:rPr>
        <w:t xml:space="preserve">At every </w:t>
      </w:r>
      <w:r w:rsidR="00F674BD" w:rsidRPr="00F674BD">
        <w:rPr>
          <w:kern w:val="2"/>
          <w:lang w:val="en-GB" w:eastAsia="ja-JP"/>
        </w:rPr>
        <w:t xml:space="preserve">URLLC </w:t>
      </w:r>
      <w:r w:rsidR="00C40CA8">
        <w:rPr>
          <w:kern w:val="2"/>
          <w:lang w:val="en-GB" w:eastAsia="ja-JP"/>
        </w:rPr>
        <w:t>scheduling interval</w:t>
      </w:r>
      <w:r w:rsidR="00F674BD" w:rsidRPr="00F674BD">
        <w:rPr>
          <w:kern w:val="2"/>
          <w:lang w:val="en-GB" w:eastAsia="ja-JP"/>
        </w:rPr>
        <w:t xml:space="preserve"> or pre-emption event</w:t>
      </w:r>
    </w:p>
    <w:p w14:paraId="0E6F1EAA" w14:textId="77777777" w:rsidR="00ED6D25" w:rsidRDefault="00EF7C7E" w:rsidP="008950CF">
      <w:pPr>
        <w:pStyle w:val="ListParagraph"/>
        <w:numPr>
          <w:ilvl w:val="1"/>
          <w:numId w:val="42"/>
        </w:numPr>
        <w:rPr>
          <w:kern w:val="2"/>
          <w:lang w:val="en-GB" w:eastAsia="ja-JP"/>
        </w:rPr>
      </w:pPr>
      <w:r>
        <w:rPr>
          <w:kern w:val="2"/>
          <w:lang w:val="en-GB" w:eastAsia="ja-JP"/>
        </w:rPr>
        <w:t xml:space="preserve">  </w:t>
      </w:r>
      <w:r w:rsidR="00F674BD" w:rsidRPr="00F674BD">
        <w:rPr>
          <w:kern w:val="2"/>
          <w:lang w:val="en-GB" w:eastAsia="ja-JP"/>
        </w:rPr>
        <w:t>At the end of eMBB scheduling interval</w:t>
      </w:r>
    </w:p>
    <w:p w14:paraId="63ECAC1F" w14:textId="77777777" w:rsidR="00ED6D25" w:rsidRDefault="00F674BD">
      <w:pPr>
        <w:rPr>
          <w:kern w:val="2"/>
          <w:lang w:val="en-GB" w:eastAsia="ja-JP"/>
        </w:rPr>
      </w:pPr>
      <w:r w:rsidRPr="00F674BD">
        <w:rPr>
          <w:kern w:val="2"/>
          <w:lang w:val="en-GB" w:eastAsia="ja-JP"/>
        </w:rPr>
        <w:t xml:space="preserve">Indication location(s) </w:t>
      </w:r>
      <w:r w:rsidR="00C40CA8">
        <w:rPr>
          <w:kern w:val="2"/>
          <w:lang w:val="en-GB" w:eastAsia="ja-JP"/>
        </w:rPr>
        <w:t>after</w:t>
      </w:r>
      <w:r w:rsidRPr="00F674BD">
        <w:rPr>
          <w:kern w:val="2"/>
          <w:lang w:val="en-GB" w:eastAsia="ja-JP"/>
        </w:rPr>
        <w:t xml:space="preserve"> eMBB scheduling interval can include</w:t>
      </w:r>
    </w:p>
    <w:p w14:paraId="09940A3D" w14:textId="77777777" w:rsidR="00ED6D25" w:rsidRDefault="00F674BD" w:rsidP="008950CF">
      <w:pPr>
        <w:pStyle w:val="ListParagraph"/>
        <w:numPr>
          <w:ilvl w:val="1"/>
          <w:numId w:val="43"/>
        </w:numPr>
        <w:ind w:firstLine="0"/>
        <w:rPr>
          <w:lang w:val="en-GB" w:eastAsia="ja-JP"/>
        </w:rPr>
      </w:pPr>
      <w:r w:rsidRPr="00F674BD">
        <w:rPr>
          <w:kern w:val="2"/>
          <w:lang w:val="en-GB" w:eastAsia="ja-JP"/>
        </w:rPr>
        <w:t xml:space="preserve">At the beginning of next eMBB scheduling interval </w:t>
      </w:r>
    </w:p>
    <w:p w14:paraId="0F598BFF" w14:textId="77777777" w:rsidR="00ED6D25" w:rsidRDefault="006A76C7" w:rsidP="008950CF">
      <w:pPr>
        <w:ind w:firstLine="360"/>
        <w:rPr>
          <w:kern w:val="2"/>
          <w:lang w:val="en-GB" w:eastAsia="ja-JP"/>
        </w:rPr>
      </w:pPr>
      <w:r>
        <w:rPr>
          <w:kern w:val="2"/>
          <w:lang w:val="en-GB" w:eastAsia="ja-JP"/>
        </w:rPr>
        <w:t xml:space="preserve">2-2 </w:t>
      </w:r>
      <w:r w:rsidR="00EF7C7E">
        <w:rPr>
          <w:kern w:val="2"/>
          <w:lang w:val="en-GB" w:eastAsia="ja-JP"/>
        </w:rPr>
        <w:t xml:space="preserve">   </w:t>
      </w:r>
      <w:r w:rsidR="00F674BD" w:rsidRPr="00F674BD">
        <w:rPr>
          <w:kern w:val="2"/>
          <w:lang w:val="en-GB" w:eastAsia="ja-JP"/>
        </w:rPr>
        <w:t>In a later sub-sequent eMBB scheduling interval</w:t>
      </w:r>
    </w:p>
    <w:p w14:paraId="795C7433" w14:textId="77777777" w:rsidR="006A76C7" w:rsidRDefault="006A76C7" w:rsidP="00DA27A7">
      <w:pPr>
        <w:rPr>
          <w:kern w:val="2"/>
          <w:lang w:val="en-GB" w:eastAsia="ja-JP"/>
        </w:rPr>
      </w:pPr>
      <w:r>
        <w:rPr>
          <w:kern w:val="2"/>
          <w:lang w:val="en-GB" w:eastAsia="ja-JP"/>
        </w:rPr>
        <w:t xml:space="preserve">As eMBB UEs are not latency constrained, minimum eMBB scheduling interval can be one slot, at least for sub-6 GHz which is the band considered for URLLC services in R15.  </w:t>
      </w:r>
    </w:p>
    <w:p w14:paraId="6AE2BC11" w14:textId="4444EDB6" w:rsidR="00432745" w:rsidRDefault="00DA27A7" w:rsidP="00432745">
      <w:pPr>
        <w:rPr>
          <w:kern w:val="2"/>
          <w:lang w:val="en-GB" w:eastAsia="ja-JP"/>
        </w:rPr>
      </w:pPr>
      <w:r>
        <w:rPr>
          <w:kern w:val="2"/>
          <w:lang w:val="en-GB" w:eastAsia="ja-JP"/>
        </w:rPr>
        <w:t>Out of the options</w:t>
      </w:r>
      <w:r w:rsidR="006A76C7">
        <w:rPr>
          <w:kern w:val="2"/>
          <w:lang w:val="en-GB" w:eastAsia="ja-JP"/>
        </w:rPr>
        <w:t xml:space="preserve"> discussed above</w:t>
      </w:r>
      <w:r>
        <w:rPr>
          <w:kern w:val="2"/>
          <w:lang w:val="en-GB" w:eastAsia="ja-JP"/>
        </w:rPr>
        <w:t xml:space="preserve">, </w:t>
      </w:r>
      <w:r w:rsidR="00EA1331">
        <w:rPr>
          <w:kern w:val="2"/>
          <w:lang w:val="en-GB" w:eastAsia="ja-JP"/>
        </w:rPr>
        <w:t>1-1</w:t>
      </w:r>
      <w:r>
        <w:rPr>
          <w:kern w:val="2"/>
          <w:lang w:val="en-GB" w:eastAsia="ja-JP"/>
        </w:rPr>
        <w:t xml:space="preserve"> would require multiple blind detection attempts and monitoring from eMBB UEs costing power consumption, and in worst case, monitoring could be one/two symbols depending on URLLC time granularity. Options </w:t>
      </w:r>
      <w:r w:rsidR="00EA1331">
        <w:rPr>
          <w:kern w:val="2"/>
          <w:lang w:val="en-GB" w:eastAsia="ja-JP"/>
        </w:rPr>
        <w:t>1-2, 2-1, 2-2</w:t>
      </w:r>
      <w:r>
        <w:rPr>
          <w:kern w:val="2"/>
          <w:lang w:val="en-GB" w:eastAsia="ja-JP"/>
        </w:rPr>
        <w:t xml:space="preserve"> are independent of URLLC traffic arrival. In particular, options </w:t>
      </w:r>
      <w:r w:rsidR="00EA1331">
        <w:rPr>
          <w:kern w:val="2"/>
          <w:lang w:val="en-GB" w:eastAsia="ja-JP"/>
        </w:rPr>
        <w:t>1</w:t>
      </w:r>
      <w:r>
        <w:rPr>
          <w:kern w:val="2"/>
          <w:lang w:val="en-GB" w:eastAsia="ja-JP"/>
        </w:rPr>
        <w:t>-</w:t>
      </w:r>
      <w:r w:rsidR="00EA1331">
        <w:rPr>
          <w:kern w:val="2"/>
          <w:lang w:val="en-GB" w:eastAsia="ja-JP"/>
        </w:rPr>
        <w:t xml:space="preserve">2 and 2-1 </w:t>
      </w:r>
      <w:r>
        <w:rPr>
          <w:kern w:val="2"/>
          <w:lang w:val="en-GB" w:eastAsia="ja-JP"/>
        </w:rPr>
        <w:t xml:space="preserve">would require eMBB UEs to monitor pre-emption indication </w:t>
      </w:r>
      <w:r w:rsidR="00EA1331">
        <w:rPr>
          <w:kern w:val="2"/>
          <w:lang w:val="en-GB" w:eastAsia="ja-JP"/>
        </w:rPr>
        <w:t>once per interval</w:t>
      </w:r>
      <w:r>
        <w:rPr>
          <w:kern w:val="2"/>
          <w:lang w:val="en-GB" w:eastAsia="ja-JP"/>
        </w:rPr>
        <w:t xml:space="preserve">, either at the end of the </w:t>
      </w:r>
      <w:r w:rsidR="00EA1331">
        <w:rPr>
          <w:kern w:val="2"/>
          <w:lang w:val="en-GB" w:eastAsia="ja-JP"/>
        </w:rPr>
        <w:t xml:space="preserve">interval </w:t>
      </w:r>
      <w:r>
        <w:rPr>
          <w:kern w:val="2"/>
          <w:lang w:val="en-GB" w:eastAsia="ja-JP"/>
        </w:rPr>
        <w:t xml:space="preserve">or at the beginning of </w:t>
      </w:r>
      <w:r w:rsidR="00EA1331">
        <w:rPr>
          <w:kern w:val="2"/>
          <w:lang w:val="en-GB" w:eastAsia="ja-JP"/>
        </w:rPr>
        <w:t>next interval</w:t>
      </w:r>
      <w:r>
        <w:rPr>
          <w:kern w:val="2"/>
          <w:lang w:val="en-GB" w:eastAsia="ja-JP"/>
        </w:rPr>
        <w:t xml:space="preserve">. Whereas option </w:t>
      </w:r>
      <w:r w:rsidR="00EA1331">
        <w:rPr>
          <w:kern w:val="2"/>
          <w:lang w:val="en-GB" w:eastAsia="ja-JP"/>
        </w:rPr>
        <w:t xml:space="preserve">2-2 </w:t>
      </w:r>
      <w:r>
        <w:rPr>
          <w:kern w:val="2"/>
          <w:lang w:val="en-GB" w:eastAsia="ja-JP"/>
        </w:rPr>
        <w:t xml:space="preserve">provides indication in a later </w:t>
      </w:r>
      <w:r w:rsidR="00EA1331">
        <w:rPr>
          <w:kern w:val="2"/>
          <w:lang w:val="en-GB" w:eastAsia="ja-JP"/>
        </w:rPr>
        <w:t>interval</w:t>
      </w:r>
      <w:r>
        <w:rPr>
          <w:kern w:val="2"/>
          <w:lang w:val="en-GB" w:eastAsia="ja-JP"/>
        </w:rPr>
        <w:t xml:space="preserve">, excluding the </w:t>
      </w:r>
      <w:r w:rsidR="00EA1331">
        <w:rPr>
          <w:kern w:val="2"/>
          <w:lang w:val="en-GB" w:eastAsia="ja-JP"/>
        </w:rPr>
        <w:t xml:space="preserve">interval </w:t>
      </w:r>
      <w:r>
        <w:rPr>
          <w:kern w:val="2"/>
          <w:lang w:val="en-GB" w:eastAsia="ja-JP"/>
        </w:rPr>
        <w:t xml:space="preserve">right after eMBB transmission starts. </w:t>
      </w:r>
      <w:r w:rsidR="00232FB9" w:rsidRPr="0030335B">
        <w:rPr>
          <w:kern w:val="2"/>
          <w:lang w:val="en-GB"/>
        </w:rPr>
        <w:t>It is important that indication is provided promptly so that eMBB UE(s) could remove the unwanted data from buffer and decode the TB only considering the relevant data.</w:t>
      </w:r>
      <w:r>
        <w:rPr>
          <w:kern w:val="2"/>
          <w:lang w:val="en-GB" w:eastAsia="ja-JP"/>
        </w:rPr>
        <w:t xml:space="preserve"> Considering UE complexity and decoding performance of an impacted transmission, we prefer options </w:t>
      </w:r>
      <w:r w:rsidR="00EA1331">
        <w:rPr>
          <w:kern w:val="2"/>
          <w:lang w:val="en-GB" w:eastAsia="ja-JP"/>
        </w:rPr>
        <w:t>1-</w:t>
      </w:r>
      <w:r>
        <w:rPr>
          <w:kern w:val="2"/>
          <w:lang w:val="en-GB" w:eastAsia="ja-JP"/>
        </w:rPr>
        <w:t xml:space="preserve">2 and </w:t>
      </w:r>
      <w:r w:rsidR="00EA1331">
        <w:rPr>
          <w:kern w:val="2"/>
          <w:lang w:val="en-GB" w:eastAsia="ja-JP"/>
        </w:rPr>
        <w:t>2-1</w:t>
      </w:r>
      <w:r>
        <w:rPr>
          <w:kern w:val="2"/>
          <w:lang w:val="en-GB" w:eastAsia="ja-JP"/>
        </w:rPr>
        <w:t>.</w:t>
      </w:r>
      <w:r w:rsidR="00432745">
        <w:rPr>
          <w:kern w:val="2"/>
          <w:lang w:val="en-GB" w:eastAsia="ja-JP"/>
        </w:rPr>
        <w:t xml:space="preserve"> Furthermore, option 2-2 may require further signalling overhead because it would be unclear which earlier interval the indication refers to. Considering UE complexity and decoding performance of an impacted transmission, we prefer options 1-2 and 2-1. </w:t>
      </w:r>
    </w:p>
    <w:p w14:paraId="4E250EFE" w14:textId="77777777" w:rsidR="007F2965" w:rsidRDefault="007F2965" w:rsidP="007F2965">
      <w:pPr>
        <w:pStyle w:val="Eqn"/>
      </w:pPr>
      <w:r w:rsidRPr="00DA27A7">
        <w:rPr>
          <w:b/>
        </w:rPr>
        <w:t>Proposal</w:t>
      </w:r>
      <w:r>
        <w:t xml:space="preserve"> 2: Monitoring of pre-emption indication every URLLC scheduling interval is not supported.</w:t>
      </w:r>
    </w:p>
    <w:p w14:paraId="7EBD00A2" w14:textId="77777777" w:rsidR="00EC3662" w:rsidRDefault="00EC3662" w:rsidP="007F2965">
      <w:pPr>
        <w:pStyle w:val="Eqn"/>
      </w:pPr>
      <w:r w:rsidRPr="001739B7">
        <w:rPr>
          <w:b/>
        </w:rPr>
        <w:t xml:space="preserve">Proposal </w:t>
      </w:r>
      <w:r>
        <w:t>3: Either at the end of eMBB interval or next eMBB interval can be considered for configuring location for sending pre-emption indication.</w:t>
      </w:r>
    </w:p>
    <w:p w14:paraId="33CE494E" w14:textId="77777777" w:rsidR="00432745" w:rsidRDefault="00432745" w:rsidP="007F2965">
      <w:pPr>
        <w:pStyle w:val="Eqn"/>
      </w:pPr>
    </w:p>
    <w:p w14:paraId="02F4F576" w14:textId="0985AD1A" w:rsidR="00DA27A7" w:rsidRDefault="00EA1331" w:rsidP="00A3141E">
      <w:pPr>
        <w:rPr>
          <w:kern w:val="2"/>
          <w:lang w:val="en-GB" w:eastAsia="ja-JP"/>
        </w:rPr>
      </w:pPr>
      <w:r>
        <w:rPr>
          <w:kern w:val="2"/>
          <w:lang w:val="en-GB" w:eastAsia="ja-JP"/>
        </w:rPr>
        <w:t xml:space="preserve">If a fixed interval is used for all eMBB UEs, </w:t>
      </w:r>
      <w:r w:rsidR="002F52CF">
        <w:rPr>
          <w:kern w:val="2"/>
          <w:lang w:val="en-GB" w:eastAsia="ja-JP"/>
        </w:rPr>
        <w:t>according to our preferred options 1-2 and 2-1, UEs monitor pre-emption indication in one instance only</w:t>
      </w:r>
      <w:r w:rsidR="00A3141E">
        <w:rPr>
          <w:kern w:val="2"/>
          <w:lang w:val="en-GB" w:eastAsia="ja-JP"/>
        </w:rPr>
        <w:t xml:space="preserve"> during a transmission</w:t>
      </w:r>
      <w:r w:rsidR="002F52CF">
        <w:rPr>
          <w:kern w:val="2"/>
          <w:lang w:val="en-GB" w:eastAsia="ja-JP"/>
        </w:rPr>
        <w:t xml:space="preserve">, i.e., either at the end of current or </w:t>
      </w:r>
      <w:r w:rsidR="002F52CF">
        <w:rPr>
          <w:kern w:val="2"/>
          <w:lang w:val="en-GB" w:eastAsia="ja-JP"/>
        </w:rPr>
        <w:lastRenderedPageBreak/>
        <w:t>beginning of next interval. However, it is also possible that different eMBB UEs are scheduled with different length. In particular, as TB mapping spanning multiple slot</w:t>
      </w:r>
      <w:r w:rsidR="00AF596A">
        <w:rPr>
          <w:kern w:val="2"/>
          <w:lang w:val="en-GB" w:eastAsia="ja-JP"/>
        </w:rPr>
        <w:t>s</w:t>
      </w:r>
      <w:r w:rsidR="002F52CF">
        <w:rPr>
          <w:kern w:val="2"/>
          <w:lang w:val="en-GB" w:eastAsia="ja-JP"/>
        </w:rPr>
        <w:t xml:space="preserve"> is agreed, eMBB UEs can also be scheduled in a slot aggregated manner. </w:t>
      </w:r>
      <w:r w:rsidR="00AF596A" w:rsidRPr="0030335B">
        <w:rPr>
          <w:kern w:val="2"/>
          <w:lang w:val="en-GB" w:eastAsia="ja-JP"/>
        </w:rPr>
        <w:t>Since</w:t>
      </w:r>
      <w:r w:rsidR="00EF7C7E" w:rsidRPr="0030335B">
        <w:rPr>
          <w:kern w:val="2"/>
          <w:lang w:val="en-GB" w:eastAsia="ja-JP"/>
        </w:rPr>
        <w:t xml:space="preserve"> different eMBB UEs can start transmission at different slots and can have different lengths, monitoring interval may need to be carefully configured such that a UE with shorter scheduling duration than other UEs does not have to wait long which may otherwise </w:t>
      </w:r>
      <w:r w:rsidR="004F546E" w:rsidRPr="0030335B">
        <w:rPr>
          <w:kern w:val="2"/>
          <w:lang w:val="en-GB" w:eastAsia="ja-JP"/>
        </w:rPr>
        <w:t>render the</w:t>
      </w:r>
      <w:r w:rsidR="00EF7C7E" w:rsidRPr="0030335B">
        <w:rPr>
          <w:kern w:val="2"/>
          <w:lang w:val="en-GB" w:eastAsia="ja-JP"/>
        </w:rPr>
        <w:t xml:space="preserve"> indication not useful </w:t>
      </w:r>
      <w:r w:rsidR="004F546E" w:rsidRPr="0030335B">
        <w:rPr>
          <w:kern w:val="2"/>
          <w:lang w:val="en-GB" w:eastAsia="ja-JP"/>
        </w:rPr>
        <w:t xml:space="preserve">anymore </w:t>
      </w:r>
      <w:r w:rsidR="00EF7C7E" w:rsidRPr="0030335B">
        <w:rPr>
          <w:kern w:val="2"/>
          <w:lang w:val="en-GB" w:eastAsia="ja-JP"/>
        </w:rPr>
        <w:t>a) for decoding of the impacted transmission and/or b) for any subsequent transmission scheduled immediately after the impacted transmission</w:t>
      </w:r>
      <w:r w:rsidR="00A3141E">
        <w:rPr>
          <w:kern w:val="2"/>
          <w:lang w:val="en-GB" w:eastAsia="ja-JP"/>
        </w:rPr>
        <w:t xml:space="preserve">. Hence, there is a trade-off how often </w:t>
      </w:r>
      <w:r w:rsidR="00EC3662">
        <w:rPr>
          <w:kern w:val="2"/>
          <w:lang w:val="en-GB" w:eastAsia="ja-JP"/>
        </w:rPr>
        <w:t xml:space="preserve">group </w:t>
      </w:r>
      <w:r w:rsidR="00A3141E">
        <w:rPr>
          <w:kern w:val="2"/>
          <w:lang w:val="en-GB" w:eastAsia="ja-JP"/>
        </w:rPr>
        <w:t xml:space="preserve">pre-emption indication can be monitored. In Fig 2., we show an example of a coexistence region where eMBB UEs 1, 2,  3 are scheduled with 2 slots, 4 slots, and 1 slot, respectively. Considering the fact that pre-emption indication should be provided promptly, group indication can be configured to be sent </w:t>
      </w:r>
      <w:r w:rsidR="00EF7C7E">
        <w:rPr>
          <w:kern w:val="2"/>
          <w:lang w:val="en-GB" w:eastAsia="ja-JP"/>
        </w:rPr>
        <w:t>every slot</w:t>
      </w:r>
      <w:r w:rsidR="00A3141E">
        <w:rPr>
          <w:kern w:val="2"/>
          <w:lang w:val="en-GB" w:eastAsia="ja-JP"/>
        </w:rPr>
        <w:t xml:space="preserve">. Here, </w:t>
      </w:r>
      <w:r w:rsidR="00AF596A">
        <w:rPr>
          <w:kern w:val="2"/>
          <w:lang w:val="en-GB" w:eastAsia="ja-JP"/>
        </w:rPr>
        <w:t xml:space="preserve">the </w:t>
      </w:r>
      <w:r w:rsidR="00A3141E">
        <w:rPr>
          <w:kern w:val="2"/>
          <w:lang w:val="en-GB" w:eastAsia="ja-JP"/>
        </w:rPr>
        <w:t xml:space="preserve">example considers sending </w:t>
      </w:r>
      <w:r w:rsidR="00DA27A7">
        <w:rPr>
          <w:kern w:val="2"/>
          <w:lang w:val="en-GB" w:eastAsia="ja-JP"/>
        </w:rPr>
        <w:t xml:space="preserve">a group indication in a slot </w:t>
      </w:r>
      <w:r w:rsidR="00A3141E">
        <w:rPr>
          <w:kern w:val="2"/>
          <w:lang w:val="en-GB" w:eastAsia="ja-JP"/>
        </w:rPr>
        <w:t xml:space="preserve">that </w:t>
      </w:r>
      <w:r w:rsidR="00DA27A7">
        <w:rPr>
          <w:kern w:val="2"/>
          <w:lang w:val="en-GB" w:eastAsia="ja-JP"/>
        </w:rPr>
        <w:t>contains pre-emption information of previous slot. eMBB UE 2 monitors four indications in four slots where</w:t>
      </w:r>
      <w:r w:rsidR="004F546E">
        <w:rPr>
          <w:kern w:val="2"/>
          <w:lang w:val="en-GB" w:eastAsia="ja-JP"/>
        </w:rPr>
        <w:t>as</w:t>
      </w:r>
      <w:r w:rsidR="00DA27A7">
        <w:rPr>
          <w:kern w:val="2"/>
          <w:lang w:val="en-GB" w:eastAsia="ja-JP"/>
        </w:rPr>
        <w:t xml:space="preserve"> eMBB UE 3 only monitors one indication. </w:t>
      </w:r>
    </w:p>
    <w:p w14:paraId="0A795EDA" w14:textId="77777777" w:rsidR="00DA27A7" w:rsidRDefault="00DA27A7" w:rsidP="00486575">
      <w:r>
        <w:t xml:space="preserve">                              </w:t>
      </w:r>
      <w:r>
        <w:rPr>
          <w:noProof/>
          <w:lang w:eastAsia="zh-CN"/>
        </w:rPr>
        <w:drawing>
          <wp:inline distT="0" distB="0" distL="0" distR="0" wp14:anchorId="4B29DB32" wp14:editId="1FCAE402">
            <wp:extent cx="4611035" cy="1138767"/>
            <wp:effectExtent l="1905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610834" cy="1138717"/>
                    </a:xfrm>
                    <a:prstGeom prst="rect">
                      <a:avLst/>
                    </a:prstGeom>
                    <a:noFill/>
                  </pic:spPr>
                </pic:pic>
              </a:graphicData>
            </a:graphic>
          </wp:inline>
        </w:drawing>
      </w:r>
    </w:p>
    <w:p w14:paraId="6D388066" w14:textId="27A3ECC2" w:rsidR="00DA27A7" w:rsidRDefault="00DA27A7" w:rsidP="00486575">
      <w:pPr>
        <w:rPr>
          <w:kern w:val="2"/>
          <w:lang w:val="en-GB" w:eastAsia="zh-CN"/>
        </w:rPr>
      </w:pPr>
      <w:r>
        <w:rPr>
          <w:kern w:val="2"/>
          <w:lang w:val="en-GB" w:eastAsia="zh-CN"/>
        </w:rPr>
        <w:t>Figure 2: Depending on the length of eMBB transmission duration, a UE may monitor multiple common pre-emption indication</w:t>
      </w:r>
      <w:r w:rsidR="004F546E">
        <w:rPr>
          <w:kern w:val="2"/>
          <w:lang w:val="en-GB" w:eastAsia="zh-CN"/>
        </w:rPr>
        <w:t>s</w:t>
      </w:r>
      <w:r>
        <w:rPr>
          <w:kern w:val="2"/>
          <w:lang w:val="en-GB" w:eastAsia="zh-CN"/>
        </w:rPr>
        <w:t>.</w:t>
      </w:r>
    </w:p>
    <w:p w14:paraId="2BA2CA86" w14:textId="684E664E" w:rsidR="008950CF" w:rsidRDefault="00EF7C7E" w:rsidP="008950CF">
      <w:pPr>
        <w:rPr>
          <w:kern w:val="2"/>
          <w:lang w:val="en-GB" w:eastAsia="zh-CN"/>
        </w:rPr>
      </w:pPr>
      <w:r>
        <w:rPr>
          <w:kern w:val="2"/>
          <w:lang w:val="en-GB" w:eastAsia="zh-CN"/>
        </w:rPr>
        <w:t>Note that t</w:t>
      </w:r>
      <w:r w:rsidR="008950CF">
        <w:rPr>
          <w:kern w:val="2"/>
          <w:lang w:val="en-GB" w:eastAsia="zh-CN"/>
        </w:rPr>
        <w:t>he used CORESET that contains group-indication may be avoided for scheduling of data. If it is unused, then data channel can include this resource set. Hence, it may not be always reserved.</w:t>
      </w:r>
    </w:p>
    <w:p w14:paraId="7E613263" w14:textId="77777777" w:rsidR="00CA03F0" w:rsidRDefault="00EC3662" w:rsidP="00EC3662">
      <w:pPr>
        <w:rPr>
          <w:b/>
          <w:kern w:val="2"/>
          <w:lang w:val="en-GB" w:eastAsia="zh-CN"/>
        </w:rPr>
      </w:pPr>
      <w:r w:rsidRPr="00EC3662">
        <w:rPr>
          <w:b/>
          <w:kern w:val="2"/>
          <w:lang w:val="en-GB" w:eastAsia="zh-CN"/>
        </w:rPr>
        <w:t>Observation</w:t>
      </w:r>
      <w:r>
        <w:rPr>
          <w:b/>
          <w:kern w:val="2"/>
          <w:lang w:val="en-GB" w:eastAsia="zh-CN"/>
        </w:rPr>
        <w:t xml:space="preserve"> 2: </w:t>
      </w:r>
      <w:r w:rsidR="00232FB9" w:rsidRPr="0030335B">
        <w:rPr>
          <w:kern w:val="2"/>
          <w:lang w:val="en-GB" w:eastAsia="zh-CN"/>
        </w:rPr>
        <w:t>From network perspective, different lengths (e.g., one slot, two slots etc.) of eMBB scheduling interval may coexist in the region where URLLC traffic can be scheduled.</w:t>
      </w:r>
      <w:r>
        <w:rPr>
          <w:b/>
          <w:kern w:val="2"/>
          <w:lang w:val="en-GB" w:eastAsia="zh-CN"/>
        </w:rPr>
        <w:t xml:space="preserve"> </w:t>
      </w:r>
    </w:p>
    <w:p w14:paraId="71D6EF61" w14:textId="4367CB68" w:rsidR="00EC3662" w:rsidRPr="00EC3662" w:rsidRDefault="00EC3662" w:rsidP="00EC3662">
      <w:pPr>
        <w:rPr>
          <w:b/>
          <w:kern w:val="2"/>
          <w:lang w:val="en-GB" w:eastAsia="zh-CN"/>
        </w:rPr>
      </w:pPr>
      <w:r>
        <w:rPr>
          <w:b/>
          <w:kern w:val="2"/>
          <w:lang w:val="en-GB" w:eastAsia="zh-CN"/>
        </w:rPr>
        <w:t xml:space="preserve">Observation 3: </w:t>
      </w:r>
      <w:r w:rsidR="00232FB9" w:rsidRPr="0030335B">
        <w:rPr>
          <w:kern w:val="2"/>
          <w:lang w:val="en-GB" w:eastAsia="zh-CN"/>
        </w:rPr>
        <w:t>If eMBB TB spans multiple slots, monitoring of multiple group indication</w:t>
      </w:r>
      <w:r w:rsidR="00610CB2">
        <w:rPr>
          <w:kern w:val="2"/>
          <w:lang w:val="en-GB" w:eastAsia="zh-CN"/>
        </w:rPr>
        <w:t>s</w:t>
      </w:r>
      <w:r w:rsidR="00232FB9" w:rsidRPr="0030335B">
        <w:rPr>
          <w:kern w:val="2"/>
          <w:lang w:val="en-GB" w:eastAsia="zh-CN"/>
        </w:rPr>
        <w:t xml:space="preserve"> corresponding to transmission of one impacted TB may be needed by a UE.</w:t>
      </w:r>
    </w:p>
    <w:p w14:paraId="5DAA6056" w14:textId="77777777" w:rsidR="00ED6D25" w:rsidRDefault="00ED6D25">
      <w:pPr>
        <w:pStyle w:val="Eqn"/>
      </w:pPr>
    </w:p>
    <w:p w14:paraId="6C3EA612" w14:textId="77777777" w:rsidR="00E94CF8" w:rsidRDefault="00E94CF8" w:rsidP="00E94CF8">
      <w:pPr>
        <w:pStyle w:val="Heading1"/>
        <w:rPr>
          <w:lang w:eastAsia="zh-CN"/>
        </w:rPr>
      </w:pPr>
      <w:r>
        <w:rPr>
          <w:rFonts w:hint="eastAsia"/>
          <w:lang w:eastAsia="zh-CN"/>
        </w:rPr>
        <w:t>Structure of group-indication</w:t>
      </w:r>
    </w:p>
    <w:p w14:paraId="3A75F0C8" w14:textId="22B7B074" w:rsidR="00E94CF8" w:rsidRDefault="006C6CC7" w:rsidP="00E94CF8">
      <w:pPr>
        <w:rPr>
          <w:lang w:eastAsia="zh-CN"/>
        </w:rPr>
      </w:pPr>
      <w:r>
        <w:rPr>
          <w:lang w:eastAsia="zh-CN"/>
        </w:rPr>
        <w:t xml:space="preserve">Different structures can be </w:t>
      </w:r>
      <w:r w:rsidR="00610CB2">
        <w:rPr>
          <w:lang w:eastAsia="zh-CN"/>
        </w:rPr>
        <w:t xml:space="preserve">envisioned </w:t>
      </w:r>
      <w:r>
        <w:rPr>
          <w:lang w:eastAsia="zh-CN"/>
        </w:rPr>
        <w:t xml:space="preserve">for </w:t>
      </w:r>
      <w:r w:rsidR="00EC3662">
        <w:rPr>
          <w:lang w:eastAsia="zh-CN"/>
        </w:rPr>
        <w:t>designing group-common indication. The group-indication can have UE-specific fields or it can contain common information that is read by the group of UEs. However, the payload size of group indication having UE specific fields can be larger than the case when indication contains a common field. Similar to the case with UE specific indication, same pre-emption information may have to be repeated over a number of UE dedicated fields</w:t>
      </w:r>
      <w:r w:rsidR="00EF7C7E">
        <w:rPr>
          <w:lang w:eastAsia="zh-CN"/>
        </w:rPr>
        <w:t xml:space="preserve"> which can be inefficient</w:t>
      </w:r>
      <w:r w:rsidR="00EC3662">
        <w:rPr>
          <w:lang w:eastAsia="zh-CN"/>
        </w:rPr>
        <w:t>.</w:t>
      </w:r>
      <w:r w:rsidR="00EF7C7E">
        <w:rPr>
          <w:lang w:eastAsia="zh-CN"/>
        </w:rPr>
        <w:t xml:space="preserve"> While actual number or size of group PDCCHs to be supported in NR is still not decided, nonetheless we believe </w:t>
      </w:r>
      <w:r w:rsidR="00610CB2">
        <w:rPr>
          <w:lang w:eastAsia="zh-CN"/>
        </w:rPr>
        <w:t xml:space="preserve">that </w:t>
      </w:r>
      <w:r w:rsidR="00EF7C7E">
        <w:rPr>
          <w:lang w:eastAsia="zh-CN"/>
        </w:rPr>
        <w:t>designing a low overhead indication is desirable at this point.</w:t>
      </w:r>
      <w:r w:rsidR="00EC3662">
        <w:rPr>
          <w:lang w:eastAsia="zh-CN"/>
        </w:rPr>
        <w:t xml:space="preserve"> Hence, we have the following proposal:</w:t>
      </w:r>
    </w:p>
    <w:p w14:paraId="59A30664" w14:textId="1F0545C8" w:rsidR="00EC3662" w:rsidRDefault="00EC3662" w:rsidP="00E94CF8">
      <w:pPr>
        <w:rPr>
          <w:lang w:eastAsia="zh-CN"/>
        </w:rPr>
      </w:pPr>
      <w:r w:rsidRPr="001739B7">
        <w:rPr>
          <w:b/>
          <w:lang w:eastAsia="zh-CN"/>
        </w:rPr>
        <w:t>Proposal</w:t>
      </w:r>
      <w:r>
        <w:rPr>
          <w:lang w:eastAsia="zh-CN"/>
        </w:rPr>
        <w:t xml:space="preserve"> 4:  Group indication contains a common field that is read by a group of</w:t>
      </w:r>
      <w:r w:rsidR="00EF7C7E">
        <w:rPr>
          <w:lang w:eastAsia="zh-CN"/>
        </w:rPr>
        <w:t xml:space="preserve"> UEs.</w:t>
      </w:r>
    </w:p>
    <w:p w14:paraId="5E390D15" w14:textId="77777777" w:rsidR="00EF7C7E" w:rsidRDefault="00EF7C7E" w:rsidP="00EF7C7E">
      <w:pPr>
        <w:rPr>
          <w:lang w:eastAsia="zh-CN"/>
        </w:rPr>
      </w:pPr>
      <w:r>
        <w:rPr>
          <w:rFonts w:eastAsia="MS Mincho"/>
          <w:lang w:eastAsia="ja-JP"/>
        </w:rPr>
        <w:t>In RAN1 # 89 meeting, it was agreed that</w:t>
      </w:r>
      <w:r>
        <w:rPr>
          <w:rFonts w:hint="eastAsia"/>
          <w:lang w:eastAsia="zh-CN"/>
        </w:rPr>
        <w:t xml:space="preserve"> </w:t>
      </w:r>
      <w:r>
        <w:rPr>
          <w:lang w:eastAsia="zh-CN"/>
        </w:rPr>
        <w:t>pre-emption is transmitted using a PDCCH.  G</w:t>
      </w:r>
      <w:r>
        <w:rPr>
          <w:rFonts w:hint="eastAsia"/>
          <w:lang w:eastAsia="zh-CN"/>
        </w:rPr>
        <w:t>roup</w:t>
      </w:r>
      <w:r>
        <w:rPr>
          <w:lang w:eastAsia="zh-CN"/>
        </w:rPr>
        <w:t xml:space="preserve"> common PDCCH is one of the potential options to carry indication which contain common information for a group of UEs. The indication may not be sent if no pre-emption event occurred. In the common search space, multiple group common PDCCH can be sent for different purposes [1]. UE needs to distinguish which group PDCCH contains the group indication. If PDCCH with group pre-emption indication has different payload size from other group PDCCHs, UE can distinguish them easily by different payload size. But, different payload size will introduce additional blind decoding. If the different group PDCCHs have same payload size, UE may need to distinguish them by the contents or RNTI. </w:t>
      </w:r>
    </w:p>
    <w:p w14:paraId="4DB7C7E7" w14:textId="2852DE41" w:rsidR="00EF7C7E" w:rsidRPr="00E94CF8" w:rsidRDefault="00232FB9" w:rsidP="00EF7C7E">
      <w:pPr>
        <w:rPr>
          <w:lang w:eastAsia="zh-CN"/>
        </w:rPr>
      </w:pPr>
      <w:r w:rsidRPr="0030335B">
        <w:rPr>
          <w:b/>
          <w:lang w:eastAsia="zh-CN"/>
        </w:rPr>
        <w:t>Proposal</w:t>
      </w:r>
      <w:r w:rsidR="00EF7C7E">
        <w:rPr>
          <w:lang w:eastAsia="zh-CN"/>
        </w:rPr>
        <w:t xml:space="preserve"> 5: How to distinguish a group common PDCCH with or without common indication needs further study.</w:t>
      </w:r>
    </w:p>
    <w:p w14:paraId="1E7CCAA0" w14:textId="77777777" w:rsidR="00EF7C7E" w:rsidRDefault="00EF7C7E" w:rsidP="00E94CF8">
      <w:pPr>
        <w:rPr>
          <w:lang w:eastAsia="zh-CN"/>
        </w:rPr>
      </w:pPr>
    </w:p>
    <w:p w14:paraId="34763092" w14:textId="77777777" w:rsidR="00650139" w:rsidRDefault="00DA27A7" w:rsidP="00DA27A7">
      <w:pPr>
        <w:pStyle w:val="Heading1"/>
        <w:rPr>
          <w:lang w:eastAsia="ja-JP"/>
        </w:rPr>
      </w:pPr>
      <w:r>
        <w:rPr>
          <w:lang w:eastAsia="ja-JP"/>
        </w:rPr>
        <w:t>Content of group-indication</w:t>
      </w:r>
    </w:p>
    <w:p w14:paraId="35321FB7" w14:textId="405DFA3E" w:rsidR="00DA27A7" w:rsidRDefault="00EC3662" w:rsidP="00DA27A7">
      <w:pPr>
        <w:rPr>
          <w:kern w:val="2"/>
          <w:lang w:val="en-GB" w:eastAsia="ja-JP"/>
        </w:rPr>
      </w:pPr>
      <w:r>
        <w:rPr>
          <w:kern w:val="2"/>
          <w:lang w:val="en-GB" w:eastAsia="ja-JP"/>
        </w:rPr>
        <w:t xml:space="preserve">Here, we focus on the case </w:t>
      </w:r>
      <w:r w:rsidR="00610CB2">
        <w:rPr>
          <w:kern w:val="2"/>
          <w:lang w:val="en-GB" w:eastAsia="ja-JP"/>
        </w:rPr>
        <w:t xml:space="preserve">where </w:t>
      </w:r>
      <w:r>
        <w:rPr>
          <w:kern w:val="2"/>
          <w:lang w:val="en-GB" w:eastAsia="ja-JP"/>
        </w:rPr>
        <w:t xml:space="preserve">group indication has a common field. </w:t>
      </w:r>
      <w:r w:rsidR="00DA27A7">
        <w:rPr>
          <w:kern w:val="2"/>
          <w:lang w:val="en-GB" w:eastAsia="ja-JP"/>
        </w:rPr>
        <w:t xml:space="preserve">The indication can provide pre-emption information with a given time-frequency granularity. For example, if only one indication is sent per slot, the BW over which eMBB and URLLC transmission coexist, can be partitioned into </w:t>
      </w:r>
      <w:r w:rsidR="00DA27A7" w:rsidRPr="00DA27A7">
        <w:rPr>
          <w:i/>
          <w:kern w:val="2"/>
          <w:lang w:val="en-GB" w:eastAsia="ja-JP"/>
        </w:rPr>
        <w:t>x</w:t>
      </w:r>
      <w:r w:rsidR="00DA27A7">
        <w:rPr>
          <w:kern w:val="2"/>
          <w:lang w:val="en-GB" w:eastAsia="ja-JP"/>
        </w:rPr>
        <w:t xml:space="preserve"> sub-bands or PRB group</w:t>
      </w:r>
      <w:r w:rsidR="00610CB2">
        <w:rPr>
          <w:kern w:val="2"/>
          <w:lang w:val="en-GB" w:eastAsia="ja-JP"/>
        </w:rPr>
        <w:t>s</w:t>
      </w:r>
      <w:r w:rsidR="00DA27A7">
        <w:rPr>
          <w:kern w:val="2"/>
          <w:lang w:val="en-GB" w:eastAsia="ja-JP"/>
        </w:rPr>
        <w:t>. On the other hand, slot can be partitioned into y symbol group</w:t>
      </w:r>
      <w:r w:rsidR="00610CB2">
        <w:rPr>
          <w:kern w:val="2"/>
          <w:lang w:val="en-GB" w:eastAsia="ja-JP"/>
        </w:rPr>
        <w:t>s</w:t>
      </w:r>
      <w:r w:rsidR="00DA27A7">
        <w:rPr>
          <w:kern w:val="2"/>
          <w:lang w:val="en-GB" w:eastAsia="ja-JP"/>
        </w:rPr>
        <w:t xml:space="preserve">. The common indication may contain </w:t>
      </w:r>
      <w:r w:rsidR="00DA27A7" w:rsidRPr="00DA27A7">
        <w:rPr>
          <w:i/>
          <w:kern w:val="2"/>
          <w:lang w:val="en-GB" w:eastAsia="ja-JP"/>
        </w:rPr>
        <w:t>xy</w:t>
      </w:r>
      <w:r w:rsidR="00DA27A7">
        <w:rPr>
          <w:kern w:val="2"/>
          <w:lang w:val="en-GB" w:eastAsia="ja-JP"/>
        </w:rPr>
        <w:t xml:space="preserve"> bits that </w:t>
      </w:r>
      <w:r w:rsidR="00610CB2">
        <w:rPr>
          <w:kern w:val="2"/>
          <w:lang w:val="en-GB" w:eastAsia="ja-JP"/>
        </w:rPr>
        <w:t>are</w:t>
      </w:r>
      <w:r w:rsidR="00DA27A7">
        <w:rPr>
          <w:kern w:val="2"/>
          <w:lang w:val="en-GB" w:eastAsia="ja-JP"/>
        </w:rPr>
        <w:t xml:space="preserve"> received by the UEs configured to monitor indication and based on their scheduling assignment, the UEs identify whether their transmission was pre-empted or not. Values of </w:t>
      </w:r>
      <w:r w:rsidR="00DA27A7" w:rsidRPr="00DA27A7">
        <w:rPr>
          <w:i/>
          <w:kern w:val="2"/>
          <w:lang w:val="en-GB" w:eastAsia="ja-JP"/>
        </w:rPr>
        <w:t>x</w:t>
      </w:r>
      <w:r w:rsidR="00DA27A7">
        <w:rPr>
          <w:kern w:val="2"/>
          <w:lang w:val="en-GB" w:eastAsia="ja-JP"/>
        </w:rPr>
        <w:t xml:space="preserve"> and </w:t>
      </w:r>
      <w:r w:rsidR="00DA27A7" w:rsidRPr="00DA27A7">
        <w:rPr>
          <w:i/>
          <w:kern w:val="2"/>
          <w:lang w:val="en-GB" w:eastAsia="ja-JP"/>
        </w:rPr>
        <w:t>y</w:t>
      </w:r>
      <w:r w:rsidR="00DA27A7">
        <w:rPr>
          <w:kern w:val="2"/>
          <w:lang w:val="en-GB" w:eastAsia="ja-JP"/>
        </w:rPr>
        <w:t xml:space="preserve"> can be configurable. Note that indication granularity based on code-block group is not feasible here as the indication is read by a group of UEs. Information related to code-block group is UE specific. </w:t>
      </w:r>
    </w:p>
    <w:p w14:paraId="5EF77EAE" w14:textId="2CED3E8E" w:rsidR="00DA27A7" w:rsidRDefault="00DA27A7" w:rsidP="00DA27A7">
      <w:pPr>
        <w:rPr>
          <w:kern w:val="2"/>
          <w:lang w:val="en-GB" w:eastAsia="ja-JP"/>
        </w:rPr>
      </w:pPr>
      <w:r w:rsidRPr="00DA27A7">
        <w:rPr>
          <w:b/>
          <w:kern w:val="2"/>
          <w:lang w:val="en-GB" w:eastAsia="ja-JP"/>
        </w:rPr>
        <w:t>Proposal</w:t>
      </w:r>
      <w:r>
        <w:rPr>
          <w:kern w:val="2"/>
          <w:lang w:val="en-GB" w:eastAsia="ja-JP"/>
        </w:rPr>
        <w:t xml:space="preserve"> </w:t>
      </w:r>
      <w:r w:rsidR="00EF7C7E">
        <w:rPr>
          <w:kern w:val="2"/>
          <w:lang w:val="en-GB" w:eastAsia="ja-JP"/>
        </w:rPr>
        <w:t>6</w:t>
      </w:r>
      <w:r>
        <w:rPr>
          <w:kern w:val="2"/>
          <w:lang w:val="en-GB" w:eastAsia="ja-JP"/>
        </w:rPr>
        <w:t>: One group-common indication contains time-frequency pre-emption information of a</w:t>
      </w:r>
      <w:r w:rsidR="00EF7C7E">
        <w:rPr>
          <w:kern w:val="2"/>
          <w:lang w:val="en-GB" w:eastAsia="ja-JP"/>
        </w:rPr>
        <w:t>n eMBB interval</w:t>
      </w:r>
      <w:r>
        <w:rPr>
          <w:kern w:val="2"/>
          <w:lang w:val="en-GB" w:eastAsia="ja-JP"/>
        </w:rPr>
        <w:t>.</w:t>
      </w:r>
    </w:p>
    <w:p w14:paraId="57C3B2D3" w14:textId="77777777" w:rsidR="00DA27A7" w:rsidRPr="00DA27A7" w:rsidRDefault="00DA27A7" w:rsidP="00DA27A7">
      <w:pPr>
        <w:pStyle w:val="ListParagraph"/>
        <w:numPr>
          <w:ilvl w:val="0"/>
          <w:numId w:val="34"/>
        </w:numPr>
        <w:rPr>
          <w:kern w:val="2"/>
          <w:lang w:val="en-GB" w:eastAsia="ja-JP"/>
        </w:rPr>
      </w:pPr>
      <w:r>
        <w:rPr>
          <w:kern w:val="2"/>
          <w:lang w:val="en-GB" w:eastAsia="ja-JP"/>
        </w:rPr>
        <w:t>Granularity can be sub-band or PRB group in frequency and symbol(s) in time.</w:t>
      </w:r>
    </w:p>
    <w:p w14:paraId="09B02BC9" w14:textId="77777777" w:rsidR="00210B6A" w:rsidRDefault="00DA27A7" w:rsidP="00CF195E">
      <w:pPr>
        <w:pStyle w:val="Heading1"/>
      </w:pPr>
      <w:r>
        <w:t>Conclusion</w:t>
      </w:r>
    </w:p>
    <w:p w14:paraId="468C7D69" w14:textId="77777777" w:rsidR="00DA27A7" w:rsidRDefault="00DA27A7" w:rsidP="00DA27A7">
      <w:pPr>
        <w:rPr>
          <w:kern w:val="2"/>
          <w:lang w:val="en-GB" w:eastAsia="zh-CN"/>
        </w:rPr>
      </w:pPr>
      <w:r>
        <w:rPr>
          <w:kern w:val="2"/>
          <w:lang w:val="en-GB" w:eastAsia="zh-CN"/>
        </w:rPr>
        <w:t>This contribution has the following observations and proposals</w:t>
      </w:r>
    </w:p>
    <w:p w14:paraId="7EC8689E" w14:textId="77777777" w:rsidR="00E2351F" w:rsidRDefault="00E2351F" w:rsidP="00E2351F">
      <w:pPr>
        <w:rPr>
          <w:kern w:val="2"/>
          <w:lang w:val="en-GB" w:eastAsia="zh-CN"/>
        </w:rPr>
      </w:pPr>
      <w:r w:rsidRPr="00DA27A7">
        <w:rPr>
          <w:b/>
          <w:kern w:val="2"/>
          <w:lang w:val="en-GB" w:eastAsia="zh-CN"/>
        </w:rPr>
        <w:t>Observation</w:t>
      </w:r>
      <w:r>
        <w:rPr>
          <w:kern w:val="2"/>
          <w:lang w:val="en-GB" w:eastAsia="zh-CN"/>
        </w:rPr>
        <w:t xml:space="preserve"> 1: UE specific pre-emption indication can be very inefficient.</w:t>
      </w:r>
    </w:p>
    <w:p w14:paraId="1EA1E1E1" w14:textId="77777777" w:rsidR="00E2351F" w:rsidRDefault="00E2351F" w:rsidP="00E2351F">
      <w:pPr>
        <w:rPr>
          <w:b/>
          <w:kern w:val="2"/>
          <w:lang w:val="en-GB" w:eastAsia="zh-CN"/>
        </w:rPr>
      </w:pPr>
      <w:r w:rsidRPr="00EC3662">
        <w:rPr>
          <w:b/>
          <w:kern w:val="2"/>
          <w:lang w:val="en-GB" w:eastAsia="zh-CN"/>
        </w:rPr>
        <w:t>Observation</w:t>
      </w:r>
      <w:r>
        <w:rPr>
          <w:b/>
          <w:kern w:val="2"/>
          <w:lang w:val="en-GB" w:eastAsia="zh-CN"/>
        </w:rPr>
        <w:t xml:space="preserve"> 2: </w:t>
      </w:r>
      <w:r w:rsidRPr="00DE4268">
        <w:rPr>
          <w:kern w:val="2"/>
          <w:lang w:val="en-GB" w:eastAsia="zh-CN"/>
        </w:rPr>
        <w:t>From network perspective, different lengths (e.g., one slot, two slots etc.) of eMBB scheduling interval may coexist in the region where URLLC traffic can be scheduled.</w:t>
      </w:r>
      <w:r>
        <w:rPr>
          <w:b/>
          <w:kern w:val="2"/>
          <w:lang w:val="en-GB" w:eastAsia="zh-CN"/>
        </w:rPr>
        <w:t xml:space="preserve"> </w:t>
      </w:r>
    </w:p>
    <w:p w14:paraId="43633554" w14:textId="77777777" w:rsidR="00E2351F" w:rsidRPr="00EC3662" w:rsidRDefault="00E2351F" w:rsidP="00E2351F">
      <w:pPr>
        <w:rPr>
          <w:b/>
          <w:kern w:val="2"/>
          <w:lang w:val="en-GB" w:eastAsia="zh-CN"/>
        </w:rPr>
      </w:pPr>
      <w:r>
        <w:rPr>
          <w:b/>
          <w:kern w:val="2"/>
          <w:lang w:val="en-GB" w:eastAsia="zh-CN"/>
        </w:rPr>
        <w:t xml:space="preserve">Observation 3: </w:t>
      </w:r>
      <w:r w:rsidRPr="00DE4268">
        <w:rPr>
          <w:kern w:val="2"/>
          <w:lang w:val="en-GB" w:eastAsia="zh-CN"/>
        </w:rPr>
        <w:t>If eMBB TB spans multiple slots, monitoring of multiple group indication</w:t>
      </w:r>
      <w:r>
        <w:rPr>
          <w:kern w:val="2"/>
          <w:lang w:val="en-GB" w:eastAsia="zh-CN"/>
        </w:rPr>
        <w:t>s</w:t>
      </w:r>
      <w:r w:rsidRPr="00DE4268">
        <w:rPr>
          <w:kern w:val="2"/>
          <w:lang w:val="en-GB" w:eastAsia="zh-CN"/>
        </w:rPr>
        <w:t xml:space="preserve"> corresponding to transmission of one impacted TB may be needed by a UE.</w:t>
      </w:r>
    </w:p>
    <w:p w14:paraId="2FECD40E" w14:textId="77777777" w:rsidR="00EC3662" w:rsidRDefault="00EC3662" w:rsidP="00DA27A7">
      <w:pPr>
        <w:rPr>
          <w:kern w:val="2"/>
          <w:lang w:val="en-GB" w:eastAsia="zh-CN"/>
        </w:rPr>
      </w:pPr>
    </w:p>
    <w:p w14:paraId="2B8FD9DB" w14:textId="77777777" w:rsidR="00DA27A7" w:rsidRPr="00DA27A7" w:rsidRDefault="00DA27A7" w:rsidP="00DA27A7">
      <w:pPr>
        <w:rPr>
          <w:kern w:val="2"/>
          <w:lang w:val="en-GB" w:eastAsia="zh-CN"/>
        </w:rPr>
      </w:pPr>
      <w:r w:rsidRPr="00DA27A7">
        <w:rPr>
          <w:b/>
          <w:kern w:val="2"/>
          <w:lang w:val="en-GB" w:eastAsia="zh-CN"/>
        </w:rPr>
        <w:t>Proposal</w:t>
      </w:r>
      <w:r>
        <w:rPr>
          <w:kern w:val="2"/>
          <w:lang w:val="en-GB" w:eastAsia="zh-CN"/>
        </w:rPr>
        <w:t xml:space="preserve"> 1: NR supports group-common pre-emption indication.</w:t>
      </w:r>
    </w:p>
    <w:p w14:paraId="1D3CD679" w14:textId="77777777" w:rsidR="00E2351F" w:rsidRDefault="00E2351F" w:rsidP="00E2351F">
      <w:pPr>
        <w:pStyle w:val="Eqn"/>
      </w:pPr>
      <w:r w:rsidRPr="00DA27A7">
        <w:rPr>
          <w:b/>
        </w:rPr>
        <w:t>Proposal</w:t>
      </w:r>
      <w:r>
        <w:t xml:space="preserve"> 2: Monitoring of pre-emption indication every URLLC scheduling interval is not supported.</w:t>
      </w:r>
    </w:p>
    <w:p w14:paraId="41FC9ED2" w14:textId="77777777" w:rsidR="00E2351F" w:rsidRDefault="00E2351F" w:rsidP="00E2351F">
      <w:pPr>
        <w:pStyle w:val="Eqn"/>
      </w:pPr>
      <w:r w:rsidRPr="001739B7">
        <w:rPr>
          <w:b/>
        </w:rPr>
        <w:t xml:space="preserve">Proposal </w:t>
      </w:r>
      <w:r>
        <w:t>3: Either at the end of eMBB interval or next eMBB interval can be considered for configuring location for sending pre-emption indication.</w:t>
      </w:r>
    </w:p>
    <w:p w14:paraId="5692F94C" w14:textId="77777777" w:rsidR="00E2351F" w:rsidRDefault="00E2351F" w:rsidP="00E2351F">
      <w:pPr>
        <w:rPr>
          <w:lang w:eastAsia="zh-CN"/>
        </w:rPr>
      </w:pPr>
      <w:r w:rsidRPr="001739B7">
        <w:rPr>
          <w:b/>
          <w:lang w:eastAsia="zh-CN"/>
        </w:rPr>
        <w:t>Proposal</w:t>
      </w:r>
      <w:r>
        <w:rPr>
          <w:lang w:eastAsia="zh-CN"/>
        </w:rPr>
        <w:t xml:space="preserve"> 4:  Group indication contains a common field that is read by a group of UEs.</w:t>
      </w:r>
    </w:p>
    <w:p w14:paraId="7651A603" w14:textId="77777777" w:rsidR="00E2351F" w:rsidRPr="00E94CF8" w:rsidRDefault="00E2351F" w:rsidP="00E2351F">
      <w:pPr>
        <w:rPr>
          <w:lang w:eastAsia="zh-CN"/>
        </w:rPr>
      </w:pPr>
      <w:r w:rsidRPr="00DE4268">
        <w:rPr>
          <w:b/>
          <w:lang w:eastAsia="zh-CN"/>
        </w:rPr>
        <w:t>Proposal</w:t>
      </w:r>
      <w:r>
        <w:rPr>
          <w:lang w:eastAsia="zh-CN"/>
        </w:rPr>
        <w:t xml:space="preserve"> 5: How to distinguish a group common PDCCH with or without common indication needs further study.</w:t>
      </w:r>
    </w:p>
    <w:p w14:paraId="0C860FCD" w14:textId="77777777" w:rsidR="00E2351F" w:rsidRDefault="00E2351F" w:rsidP="00E2351F">
      <w:pPr>
        <w:rPr>
          <w:kern w:val="2"/>
          <w:lang w:val="en-GB" w:eastAsia="ja-JP"/>
        </w:rPr>
      </w:pPr>
      <w:r w:rsidRPr="00DA27A7">
        <w:rPr>
          <w:b/>
          <w:kern w:val="2"/>
          <w:lang w:val="en-GB" w:eastAsia="ja-JP"/>
        </w:rPr>
        <w:t>Proposal</w:t>
      </w:r>
      <w:r>
        <w:rPr>
          <w:kern w:val="2"/>
          <w:lang w:val="en-GB" w:eastAsia="ja-JP"/>
        </w:rPr>
        <w:t xml:space="preserve"> 6: One group-common indication contains time-frequency pre-emption information of an eMBB interval.</w:t>
      </w:r>
    </w:p>
    <w:p w14:paraId="0E18DE6D" w14:textId="77777777" w:rsidR="00E2351F" w:rsidRPr="00DA27A7" w:rsidRDefault="00E2351F" w:rsidP="00E2351F">
      <w:pPr>
        <w:pStyle w:val="ListParagraph"/>
        <w:numPr>
          <w:ilvl w:val="0"/>
          <w:numId w:val="34"/>
        </w:numPr>
        <w:rPr>
          <w:kern w:val="2"/>
          <w:lang w:val="en-GB" w:eastAsia="ja-JP"/>
        </w:rPr>
      </w:pPr>
      <w:r>
        <w:rPr>
          <w:kern w:val="2"/>
          <w:lang w:val="en-GB" w:eastAsia="ja-JP"/>
        </w:rPr>
        <w:t>Granularity can be sub-band or PRB group in frequency and symbol(s) in time.</w:t>
      </w:r>
    </w:p>
    <w:p w14:paraId="6A85BDEA" w14:textId="77777777" w:rsidR="008A2046" w:rsidRDefault="008A2046" w:rsidP="0030335B">
      <w:pPr>
        <w:rPr>
          <w:kern w:val="2"/>
          <w:lang w:val="en-GB" w:eastAsia="ja-JP"/>
        </w:rPr>
      </w:pPr>
    </w:p>
    <w:p w14:paraId="27D3B5F1" w14:textId="77777777" w:rsidR="008A2046" w:rsidRDefault="00EF7C7E" w:rsidP="0030335B">
      <w:pPr>
        <w:pStyle w:val="Heading1"/>
        <w:rPr>
          <w:kern w:val="2"/>
          <w:lang w:val="en-GB" w:eastAsia="ja-JP"/>
        </w:rPr>
      </w:pPr>
      <w:r>
        <w:rPr>
          <w:kern w:val="2"/>
          <w:lang w:val="en-GB" w:eastAsia="ja-JP"/>
        </w:rPr>
        <w:t>References</w:t>
      </w:r>
    </w:p>
    <w:p w14:paraId="7FF7B9A9" w14:textId="3B4BEEB9" w:rsidR="008A2046" w:rsidRPr="0030335B" w:rsidRDefault="00EF7C7E" w:rsidP="0030335B">
      <w:pPr>
        <w:rPr>
          <w:lang w:val="en-GB" w:eastAsia="ja-JP"/>
        </w:rPr>
      </w:pPr>
      <w:r>
        <w:rPr>
          <w:lang w:val="en-GB" w:eastAsia="ja-JP"/>
        </w:rPr>
        <w:t>[1] R1-17</w:t>
      </w:r>
      <w:r w:rsidR="001942F6">
        <w:rPr>
          <w:lang w:val="en-GB" w:eastAsia="ja-JP"/>
        </w:rPr>
        <w:t>09953</w:t>
      </w:r>
      <w:r>
        <w:rPr>
          <w:lang w:val="en-GB" w:eastAsia="ja-JP"/>
        </w:rPr>
        <w:t>, “</w:t>
      </w:r>
      <w:r w:rsidR="00232FB9" w:rsidRPr="0030335B">
        <w:rPr>
          <w:lang w:eastAsia="zh-CN"/>
        </w:rPr>
        <w:t>Contents of group-common PDCCH</w:t>
      </w:r>
      <w:r>
        <w:rPr>
          <w:lang w:val="en-GB" w:eastAsia="ja-JP"/>
        </w:rPr>
        <w:t>”, Huwaei, HiSilicon, RAN1 NR Adhoc, Qingdao, June 2017.</w:t>
      </w:r>
    </w:p>
    <w:bookmarkEnd w:id="3"/>
    <w:p w14:paraId="5D9A83CD" w14:textId="77777777" w:rsidR="00DA27A7" w:rsidRPr="00DA27A7" w:rsidRDefault="00DA27A7" w:rsidP="00DA27A7">
      <w:pPr>
        <w:rPr>
          <w:kern w:val="2"/>
          <w:lang w:val="en-GB" w:eastAsia="zh-CN"/>
        </w:rPr>
      </w:pPr>
    </w:p>
    <w:sectPr w:rsidR="00DA27A7" w:rsidRPr="00DA27A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CD22D" w14:textId="77777777" w:rsidR="00B050AA" w:rsidRDefault="00B050AA">
      <w:r>
        <w:separator/>
      </w:r>
    </w:p>
  </w:endnote>
  <w:endnote w:type="continuationSeparator" w:id="0">
    <w:p w14:paraId="6B1CED58" w14:textId="77777777" w:rsidR="00B050AA" w:rsidRDefault="00B050AA">
      <w:r>
        <w:continuationSeparator/>
      </w:r>
    </w:p>
  </w:endnote>
  <w:endnote w:type="continuationNotice" w:id="1">
    <w:p w14:paraId="1EB94AE8" w14:textId="77777777" w:rsidR="00B050AA" w:rsidRDefault="00B050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33072" w14:textId="77777777" w:rsidR="00B050AA" w:rsidRDefault="00B050AA">
      <w:r>
        <w:separator/>
      </w:r>
    </w:p>
  </w:footnote>
  <w:footnote w:type="continuationSeparator" w:id="0">
    <w:p w14:paraId="31E98C8A" w14:textId="77777777" w:rsidR="00B050AA" w:rsidRDefault="00B050AA">
      <w:r>
        <w:continuationSeparator/>
      </w:r>
    </w:p>
  </w:footnote>
  <w:footnote w:type="continuationNotice" w:id="1">
    <w:p w14:paraId="7FF746B4" w14:textId="77777777" w:rsidR="00B050AA" w:rsidRDefault="00B050A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C2A5B4B"/>
    <w:multiLevelType w:val="hybridMultilevel"/>
    <w:tmpl w:val="0B38CBEA"/>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B92B8F"/>
    <w:multiLevelType w:val="hybridMultilevel"/>
    <w:tmpl w:val="7ABC0252"/>
    <w:lvl w:ilvl="0" w:tplc="53CC1D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6661534"/>
    <w:multiLevelType w:val="hybridMultilevel"/>
    <w:tmpl w:val="A9D041F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8CB6486"/>
    <w:multiLevelType w:val="hybridMultilevel"/>
    <w:tmpl w:val="765E56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157E2D"/>
    <w:multiLevelType w:val="hybridMultilevel"/>
    <w:tmpl w:val="96B40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4A2258E"/>
    <w:multiLevelType w:val="hybridMultilevel"/>
    <w:tmpl w:val="CF42BF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957833"/>
    <w:multiLevelType w:val="hybridMultilevel"/>
    <w:tmpl w:val="DD4C4F3A"/>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5DA42A28"/>
    <w:multiLevelType w:val="multilevel"/>
    <w:tmpl w:val="023858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8F24A99"/>
    <w:multiLevelType w:val="hybridMultilevel"/>
    <w:tmpl w:val="21B6A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B8111E8"/>
    <w:multiLevelType w:val="multilevel"/>
    <w:tmpl w:val="4C140BD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CA1C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3534EE"/>
    <w:multiLevelType w:val="multilevel"/>
    <w:tmpl w:val="A15CEC50"/>
    <w:lvl w:ilvl="0">
      <w:start w:val="1"/>
      <w:numFmt w:val="decimal"/>
      <w:pStyle w:val="a"/>
      <w:isLgl/>
      <w:suff w:val="nothing"/>
      <w:lvlText w:val="图%1"/>
      <w:lvlJc w:val="left"/>
      <w:pPr>
        <w:ind w:left="0" w:firstLine="0"/>
      </w:pPr>
      <w:rPr>
        <w:rFonts w:ascii="Arial" w:hAnsi="Arial" w:hint="default"/>
        <w:b w:val="0"/>
        <w:i w:val="0"/>
        <w:sz w:val="20"/>
        <w:szCs w:val="2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1418"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0"/>
  </w:num>
  <w:num w:numId="3">
    <w:abstractNumId w:val="18"/>
  </w:num>
  <w:num w:numId="4">
    <w:abstractNumId w:val="15"/>
  </w:num>
  <w:num w:numId="5">
    <w:abstractNumId w:val="10"/>
  </w:num>
  <w:num w:numId="6">
    <w:abstractNumId w:val="39"/>
  </w:num>
  <w:num w:numId="7">
    <w:abstractNumId w:val="17"/>
  </w:num>
  <w:num w:numId="8">
    <w:abstractNumId w:val="27"/>
  </w:num>
  <w:num w:numId="9">
    <w:abstractNumId w:val="34"/>
  </w:num>
  <w:num w:numId="10">
    <w:abstractNumId w:val="36"/>
  </w:num>
  <w:num w:numId="11">
    <w:abstractNumId w:val="43"/>
  </w:num>
  <w:num w:numId="12">
    <w:abstractNumId w:val="14"/>
  </w:num>
  <w:num w:numId="13">
    <w:abstractNumId w:val="29"/>
  </w:num>
  <w:num w:numId="14">
    <w:abstractNumId w:val="28"/>
  </w:num>
  <w:num w:numId="15">
    <w:abstractNumId w:val="22"/>
  </w:num>
  <w:num w:numId="16">
    <w:abstractNumId w:val="12"/>
  </w:num>
  <w:num w:numId="17">
    <w:abstractNumId w:val="21"/>
  </w:num>
  <w:num w:numId="18">
    <w:abstractNumId w:val="13"/>
  </w:num>
  <w:num w:numId="19">
    <w:abstractNumId w:val="11"/>
  </w:num>
  <w:num w:numId="20">
    <w:abstractNumId w:val="32"/>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5"/>
  </w:num>
  <w:num w:numId="32">
    <w:abstractNumId w:val="30"/>
  </w:num>
  <w:num w:numId="33">
    <w:abstractNumId w:val="35"/>
  </w:num>
  <w:num w:numId="34">
    <w:abstractNumId w:val="19"/>
  </w:num>
  <w:num w:numId="35">
    <w:abstractNumId w:val="38"/>
  </w:num>
  <w:num w:numId="36">
    <w:abstractNumId w:val="41"/>
  </w:num>
  <w:num w:numId="37">
    <w:abstractNumId w:val="9"/>
  </w:num>
  <w:num w:numId="38">
    <w:abstractNumId w:val="16"/>
  </w:num>
  <w:num w:numId="39">
    <w:abstractNumId w:val="23"/>
  </w:num>
  <w:num w:numId="40">
    <w:abstractNumId w:val="40"/>
  </w:num>
  <w:num w:numId="41">
    <w:abstractNumId w:val="31"/>
  </w:num>
  <w:num w:numId="42">
    <w:abstractNumId w:val="37"/>
  </w:num>
  <w:num w:numId="43">
    <w:abstractNumId w:val="33"/>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4E2"/>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5942"/>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0F"/>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39B7"/>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2F6"/>
    <w:rsid w:val="00194339"/>
    <w:rsid w:val="00194848"/>
    <w:rsid w:val="001958EA"/>
    <w:rsid w:val="00195E0E"/>
    <w:rsid w:val="001A180D"/>
    <w:rsid w:val="001A1BAC"/>
    <w:rsid w:val="001A23CE"/>
    <w:rsid w:val="001A2C89"/>
    <w:rsid w:val="001A673E"/>
    <w:rsid w:val="001A7763"/>
    <w:rsid w:val="001B0CAC"/>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004"/>
    <w:rsid w:val="001C5D4F"/>
    <w:rsid w:val="001C64C0"/>
    <w:rsid w:val="001C69DA"/>
    <w:rsid w:val="001C6F06"/>
    <w:rsid w:val="001D2360"/>
    <w:rsid w:val="001D3109"/>
    <w:rsid w:val="001D332E"/>
    <w:rsid w:val="001D5033"/>
    <w:rsid w:val="001D5239"/>
    <w:rsid w:val="001D5C88"/>
    <w:rsid w:val="001D6567"/>
    <w:rsid w:val="001D695C"/>
    <w:rsid w:val="001D6FD9"/>
    <w:rsid w:val="001D780E"/>
    <w:rsid w:val="001E05C3"/>
    <w:rsid w:val="001E0AD3"/>
    <w:rsid w:val="001E36E4"/>
    <w:rsid w:val="001E379D"/>
    <w:rsid w:val="001E3A3C"/>
    <w:rsid w:val="001E5C23"/>
    <w:rsid w:val="001E5F4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7100"/>
    <w:rsid w:val="00210860"/>
    <w:rsid w:val="00210B6A"/>
    <w:rsid w:val="00212CB6"/>
    <w:rsid w:val="00212E37"/>
    <w:rsid w:val="002140FF"/>
    <w:rsid w:val="00216C98"/>
    <w:rsid w:val="00220894"/>
    <w:rsid w:val="00224952"/>
    <w:rsid w:val="00224DD2"/>
    <w:rsid w:val="00225A6A"/>
    <w:rsid w:val="00225AC7"/>
    <w:rsid w:val="00225ACC"/>
    <w:rsid w:val="00231C25"/>
    <w:rsid w:val="00231C6F"/>
    <w:rsid w:val="00232A90"/>
    <w:rsid w:val="00232FB9"/>
    <w:rsid w:val="00234151"/>
    <w:rsid w:val="00234F8C"/>
    <w:rsid w:val="00235247"/>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29"/>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2CF"/>
    <w:rsid w:val="002F5DD6"/>
    <w:rsid w:val="002F5FEA"/>
    <w:rsid w:val="002F63E7"/>
    <w:rsid w:val="002F7BE3"/>
    <w:rsid w:val="002F7E6A"/>
    <w:rsid w:val="00300165"/>
    <w:rsid w:val="003010CF"/>
    <w:rsid w:val="0030335B"/>
    <w:rsid w:val="00303440"/>
    <w:rsid w:val="00304D9B"/>
    <w:rsid w:val="00304F6E"/>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13D2"/>
    <w:rsid w:val="00372F0D"/>
    <w:rsid w:val="00373C4B"/>
    <w:rsid w:val="00374059"/>
    <w:rsid w:val="0037535B"/>
    <w:rsid w:val="0037552D"/>
    <w:rsid w:val="003756DB"/>
    <w:rsid w:val="003770BB"/>
    <w:rsid w:val="0037771A"/>
    <w:rsid w:val="003802DC"/>
    <w:rsid w:val="00380E4E"/>
    <w:rsid w:val="00380FBF"/>
    <w:rsid w:val="00382A43"/>
    <w:rsid w:val="00382D60"/>
    <w:rsid w:val="00382F29"/>
    <w:rsid w:val="00383C8D"/>
    <w:rsid w:val="00385171"/>
    <w:rsid w:val="003852FB"/>
    <w:rsid w:val="00385429"/>
    <w:rsid w:val="00385B05"/>
    <w:rsid w:val="00386382"/>
    <w:rsid w:val="003865EF"/>
    <w:rsid w:val="00386BA9"/>
    <w:rsid w:val="00390017"/>
    <w:rsid w:val="003901A3"/>
    <w:rsid w:val="0039072F"/>
    <w:rsid w:val="003932DF"/>
    <w:rsid w:val="003940CE"/>
    <w:rsid w:val="00397C1D"/>
    <w:rsid w:val="003A180F"/>
    <w:rsid w:val="003A18DD"/>
    <w:rsid w:val="003A20C8"/>
    <w:rsid w:val="003A2C29"/>
    <w:rsid w:val="003A2EC3"/>
    <w:rsid w:val="003A36F2"/>
    <w:rsid w:val="003A3D39"/>
    <w:rsid w:val="003A3EC7"/>
    <w:rsid w:val="003A40B4"/>
    <w:rsid w:val="003A5E9D"/>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DA2"/>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08E8"/>
    <w:rsid w:val="00421DCF"/>
    <w:rsid w:val="00422341"/>
    <w:rsid w:val="00423641"/>
    <w:rsid w:val="00426266"/>
    <w:rsid w:val="00427686"/>
    <w:rsid w:val="00430A2D"/>
    <w:rsid w:val="00431505"/>
    <w:rsid w:val="00431AF0"/>
    <w:rsid w:val="0043213A"/>
    <w:rsid w:val="00432745"/>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3E00"/>
    <w:rsid w:val="004D6F4D"/>
    <w:rsid w:val="004D6F95"/>
    <w:rsid w:val="004D72FE"/>
    <w:rsid w:val="004D7E91"/>
    <w:rsid w:val="004E003A"/>
    <w:rsid w:val="004E0768"/>
    <w:rsid w:val="004E17E6"/>
    <w:rsid w:val="004E1A31"/>
    <w:rsid w:val="004E2DE0"/>
    <w:rsid w:val="004E4060"/>
    <w:rsid w:val="004E409A"/>
    <w:rsid w:val="004E5E48"/>
    <w:rsid w:val="004F0FB9"/>
    <w:rsid w:val="004F2F7E"/>
    <w:rsid w:val="004F32B5"/>
    <w:rsid w:val="004F407E"/>
    <w:rsid w:val="004F546E"/>
    <w:rsid w:val="004F5479"/>
    <w:rsid w:val="004F7528"/>
    <w:rsid w:val="004F7BCA"/>
    <w:rsid w:val="004F7D89"/>
    <w:rsid w:val="00501981"/>
    <w:rsid w:val="00501A85"/>
    <w:rsid w:val="00501BB3"/>
    <w:rsid w:val="005021DD"/>
    <w:rsid w:val="005026CA"/>
    <w:rsid w:val="00502B72"/>
    <w:rsid w:val="00504BC1"/>
    <w:rsid w:val="00504FBA"/>
    <w:rsid w:val="00505134"/>
    <w:rsid w:val="00505C04"/>
    <w:rsid w:val="00511F15"/>
    <w:rsid w:val="0051318C"/>
    <w:rsid w:val="005142CD"/>
    <w:rsid w:val="005143C9"/>
    <w:rsid w:val="005157A9"/>
    <w:rsid w:val="005173A7"/>
    <w:rsid w:val="005177E1"/>
    <w:rsid w:val="00520C0A"/>
    <w:rsid w:val="005218B6"/>
    <w:rsid w:val="00522589"/>
    <w:rsid w:val="005244B2"/>
    <w:rsid w:val="00524545"/>
    <w:rsid w:val="005255BF"/>
    <w:rsid w:val="005257DE"/>
    <w:rsid w:val="00525C46"/>
    <w:rsid w:val="00527200"/>
    <w:rsid w:val="00530157"/>
    <w:rsid w:val="00530FC6"/>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4DA5"/>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804"/>
    <w:rsid w:val="005D1E32"/>
    <w:rsid w:val="005D206B"/>
    <w:rsid w:val="005D22B7"/>
    <w:rsid w:val="005D2BDE"/>
    <w:rsid w:val="005D3D76"/>
    <w:rsid w:val="005D4578"/>
    <w:rsid w:val="005D4EFA"/>
    <w:rsid w:val="005D55BA"/>
    <w:rsid w:val="005D5ADB"/>
    <w:rsid w:val="005D648A"/>
    <w:rsid w:val="005D7E0D"/>
    <w:rsid w:val="005E0182"/>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0CB2"/>
    <w:rsid w:val="006130F7"/>
    <w:rsid w:val="00613AF8"/>
    <w:rsid w:val="00613D8E"/>
    <w:rsid w:val="006142E0"/>
    <w:rsid w:val="00616112"/>
    <w:rsid w:val="006205CA"/>
    <w:rsid w:val="00621F32"/>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2B83"/>
    <w:rsid w:val="00643660"/>
    <w:rsid w:val="00646AE6"/>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B71"/>
    <w:rsid w:val="006A3E2B"/>
    <w:rsid w:val="006A6E17"/>
    <w:rsid w:val="006A76C7"/>
    <w:rsid w:val="006B120D"/>
    <w:rsid w:val="006B17E7"/>
    <w:rsid w:val="006B19E8"/>
    <w:rsid w:val="006B1A8A"/>
    <w:rsid w:val="006B1FD5"/>
    <w:rsid w:val="006B555A"/>
    <w:rsid w:val="006B600A"/>
    <w:rsid w:val="006B6635"/>
    <w:rsid w:val="006B68E8"/>
    <w:rsid w:val="006B7D22"/>
    <w:rsid w:val="006B7D2C"/>
    <w:rsid w:val="006C1019"/>
    <w:rsid w:val="006C2BB5"/>
    <w:rsid w:val="006C2BEE"/>
    <w:rsid w:val="006C3AD8"/>
    <w:rsid w:val="006C4516"/>
    <w:rsid w:val="006C455E"/>
    <w:rsid w:val="006C5958"/>
    <w:rsid w:val="006C5B4F"/>
    <w:rsid w:val="006C643C"/>
    <w:rsid w:val="006C6CC7"/>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444"/>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499"/>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5566"/>
    <w:rsid w:val="007A7A96"/>
    <w:rsid w:val="007A7B88"/>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2965"/>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17C15"/>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6DF9"/>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0CF"/>
    <w:rsid w:val="008951DB"/>
    <w:rsid w:val="00896C81"/>
    <w:rsid w:val="00896D83"/>
    <w:rsid w:val="008A0AB2"/>
    <w:rsid w:val="008A0CFC"/>
    <w:rsid w:val="008A12FE"/>
    <w:rsid w:val="008A2046"/>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6BE"/>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1A2"/>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28D5"/>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1E"/>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1953"/>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596A"/>
    <w:rsid w:val="00AF73C3"/>
    <w:rsid w:val="00AF795C"/>
    <w:rsid w:val="00B00752"/>
    <w:rsid w:val="00B026C1"/>
    <w:rsid w:val="00B02B9C"/>
    <w:rsid w:val="00B0353B"/>
    <w:rsid w:val="00B040B2"/>
    <w:rsid w:val="00B050AA"/>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3167"/>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4FBC"/>
    <w:rsid w:val="00B853BE"/>
    <w:rsid w:val="00B86476"/>
    <w:rsid w:val="00B86A3D"/>
    <w:rsid w:val="00B875C7"/>
    <w:rsid w:val="00B90D10"/>
    <w:rsid w:val="00B90FE5"/>
    <w:rsid w:val="00B919AD"/>
    <w:rsid w:val="00B91A2B"/>
    <w:rsid w:val="00B93025"/>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3CC3"/>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0CA8"/>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3F0"/>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27F1"/>
    <w:rsid w:val="00CD5512"/>
    <w:rsid w:val="00CD6E3D"/>
    <w:rsid w:val="00CD71AB"/>
    <w:rsid w:val="00CE0109"/>
    <w:rsid w:val="00CE1FC5"/>
    <w:rsid w:val="00CE46E5"/>
    <w:rsid w:val="00CE485A"/>
    <w:rsid w:val="00CE5279"/>
    <w:rsid w:val="00CE5A78"/>
    <w:rsid w:val="00CE76DB"/>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239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3C8"/>
    <w:rsid w:val="00D87ABF"/>
    <w:rsid w:val="00D90CD3"/>
    <w:rsid w:val="00D919E6"/>
    <w:rsid w:val="00D91BE1"/>
    <w:rsid w:val="00D92C29"/>
    <w:rsid w:val="00D936E2"/>
    <w:rsid w:val="00D95104"/>
    <w:rsid w:val="00D95600"/>
    <w:rsid w:val="00D9683C"/>
    <w:rsid w:val="00D97884"/>
    <w:rsid w:val="00DA0A7F"/>
    <w:rsid w:val="00DA1C31"/>
    <w:rsid w:val="00DA20BC"/>
    <w:rsid w:val="00DA27A7"/>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29D"/>
    <w:rsid w:val="00DC1327"/>
    <w:rsid w:val="00DC1350"/>
    <w:rsid w:val="00DC215F"/>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6A1"/>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51F"/>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2F30"/>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832"/>
    <w:rsid w:val="00E67E23"/>
    <w:rsid w:val="00E70016"/>
    <w:rsid w:val="00E702E9"/>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87209"/>
    <w:rsid w:val="00E90279"/>
    <w:rsid w:val="00E90635"/>
    <w:rsid w:val="00E909A1"/>
    <w:rsid w:val="00E90BFF"/>
    <w:rsid w:val="00E91F04"/>
    <w:rsid w:val="00E91F35"/>
    <w:rsid w:val="00E94CF8"/>
    <w:rsid w:val="00E95BA6"/>
    <w:rsid w:val="00E97648"/>
    <w:rsid w:val="00EA0E4A"/>
    <w:rsid w:val="00EA1331"/>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3662"/>
    <w:rsid w:val="00EC462B"/>
    <w:rsid w:val="00EC4723"/>
    <w:rsid w:val="00EC56E0"/>
    <w:rsid w:val="00EC6057"/>
    <w:rsid w:val="00EC6847"/>
    <w:rsid w:val="00EC7DB6"/>
    <w:rsid w:val="00ED162F"/>
    <w:rsid w:val="00ED2E52"/>
    <w:rsid w:val="00ED3024"/>
    <w:rsid w:val="00ED5FE4"/>
    <w:rsid w:val="00ED6D25"/>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EF7C7E"/>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4BD"/>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85B"/>
    <w:rsid w:val="00F76A7E"/>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8D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4DB9706"/>
  <w15:docId w15:val="{3D88E94C-279F-4E36-B8AE-F6861A8DA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549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07370F"/>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07370F"/>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07370F"/>
    <w:pPr>
      <w:keepNext/>
      <w:numPr>
        <w:ilvl w:val="2"/>
        <w:numId w:val="3"/>
      </w:numPr>
      <w:tabs>
        <w:tab w:val="clear" w:pos="720"/>
      </w:tabs>
      <w:spacing w:before="120"/>
      <w:outlineLvl w:val="2"/>
    </w:pPr>
    <w:rPr>
      <w:b/>
    </w:rPr>
  </w:style>
  <w:style w:type="paragraph" w:styleId="Heading4">
    <w:name w:val="heading 4"/>
    <w:basedOn w:val="Normal"/>
    <w:next w:val="Normal"/>
    <w:qFormat/>
    <w:rsid w:val="0007370F"/>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07370F"/>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07370F"/>
    <w:pPr>
      <w:numPr>
        <w:ilvl w:val="5"/>
        <w:numId w:val="3"/>
      </w:numPr>
      <w:spacing w:before="240" w:after="60"/>
      <w:outlineLvl w:val="5"/>
    </w:pPr>
    <w:rPr>
      <w:b/>
      <w:bCs/>
    </w:rPr>
  </w:style>
  <w:style w:type="paragraph" w:styleId="Heading7">
    <w:name w:val="heading 7"/>
    <w:basedOn w:val="Normal"/>
    <w:next w:val="Normal"/>
    <w:qFormat/>
    <w:rsid w:val="0007370F"/>
    <w:pPr>
      <w:numPr>
        <w:ilvl w:val="6"/>
        <w:numId w:val="3"/>
      </w:numPr>
      <w:spacing w:before="240" w:after="60"/>
      <w:outlineLvl w:val="6"/>
    </w:pPr>
    <w:rPr>
      <w:sz w:val="24"/>
      <w:szCs w:val="24"/>
    </w:rPr>
  </w:style>
  <w:style w:type="paragraph" w:styleId="Heading8">
    <w:name w:val="heading 8"/>
    <w:basedOn w:val="Normal"/>
    <w:next w:val="Normal"/>
    <w:qFormat/>
    <w:rsid w:val="0007370F"/>
    <w:pPr>
      <w:numPr>
        <w:ilvl w:val="7"/>
        <w:numId w:val="3"/>
      </w:numPr>
      <w:spacing w:before="240" w:after="60"/>
      <w:outlineLvl w:val="7"/>
    </w:pPr>
    <w:rPr>
      <w:i/>
      <w:iCs/>
      <w:sz w:val="24"/>
      <w:szCs w:val="24"/>
    </w:rPr>
  </w:style>
  <w:style w:type="paragraph" w:styleId="Heading9">
    <w:name w:val="heading 9"/>
    <w:basedOn w:val="Normal"/>
    <w:next w:val="Normal"/>
    <w:qFormat/>
    <w:rsid w:val="0007370F"/>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7370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7370F"/>
    <w:rPr>
      <w:color w:val="0000FF"/>
      <w:u w:val="single"/>
    </w:rPr>
  </w:style>
  <w:style w:type="paragraph" w:styleId="Caption">
    <w:name w:val="caption"/>
    <w:aliases w:val="cap"/>
    <w:basedOn w:val="Normal"/>
    <w:next w:val="Normal"/>
    <w:link w:val="CaptionChar"/>
    <w:qFormat/>
    <w:rsid w:val="0007370F"/>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07370F"/>
    <w:pPr>
      <w:autoSpaceDE/>
      <w:autoSpaceDN/>
      <w:adjustRightInd/>
      <w:spacing w:after="180"/>
      <w:ind w:left="568" w:hanging="284"/>
      <w:jc w:val="left"/>
    </w:pPr>
    <w:rPr>
      <w:sz w:val="20"/>
      <w:szCs w:val="20"/>
      <w:lang w:val="en-GB"/>
    </w:rPr>
  </w:style>
  <w:style w:type="paragraph" w:styleId="List">
    <w:name w:val="List"/>
    <w:basedOn w:val="Normal"/>
    <w:rsid w:val="0007370F"/>
    <w:pPr>
      <w:ind w:left="360" w:hanging="360"/>
    </w:pPr>
  </w:style>
  <w:style w:type="paragraph" w:styleId="BodyText2">
    <w:name w:val="Body Text 2"/>
    <w:basedOn w:val="Normal"/>
    <w:rsid w:val="0007370F"/>
    <w:pPr>
      <w:spacing w:after="0"/>
      <w:jc w:val="left"/>
    </w:pPr>
    <w:rPr>
      <w:szCs w:val="20"/>
    </w:rPr>
  </w:style>
  <w:style w:type="paragraph" w:styleId="BalloonText">
    <w:name w:val="Balloon Text"/>
    <w:basedOn w:val="Normal"/>
    <w:semiHidden/>
    <w:rsid w:val="0007370F"/>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07370F"/>
    <w:rPr>
      <w:color w:val="800080"/>
      <w:u w:val="single"/>
    </w:rPr>
  </w:style>
  <w:style w:type="paragraph" w:styleId="FootnoteText">
    <w:name w:val="footnote text"/>
    <w:basedOn w:val="Normal"/>
    <w:semiHidden/>
    <w:rsid w:val="0007370F"/>
    <w:rPr>
      <w:sz w:val="20"/>
      <w:szCs w:val="20"/>
    </w:rPr>
  </w:style>
  <w:style w:type="character" w:styleId="FootnoteReference">
    <w:name w:val="footnote reference"/>
    <w:basedOn w:val="DefaultParagraphFont"/>
    <w:semiHidden/>
    <w:rsid w:val="0007370F"/>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DA27A7"/>
    <w:pPr>
      <w:ind w:left="720"/>
      <w:contextualSpacing/>
    </w:pPr>
  </w:style>
  <w:style w:type="character" w:styleId="CommentReference">
    <w:name w:val="annotation reference"/>
    <w:basedOn w:val="DefaultParagraphFont"/>
    <w:semiHidden/>
    <w:unhideWhenUsed/>
    <w:rsid w:val="00E67832"/>
    <w:rPr>
      <w:sz w:val="16"/>
      <w:szCs w:val="16"/>
    </w:rPr>
  </w:style>
  <w:style w:type="paragraph" w:styleId="CommentText">
    <w:name w:val="annotation text"/>
    <w:basedOn w:val="Normal"/>
    <w:link w:val="CommentTextChar"/>
    <w:unhideWhenUsed/>
    <w:rsid w:val="00E67832"/>
    <w:rPr>
      <w:sz w:val="20"/>
      <w:szCs w:val="20"/>
    </w:rPr>
  </w:style>
  <w:style w:type="character" w:customStyle="1" w:styleId="CommentTextChar">
    <w:name w:val="Comment Text Char"/>
    <w:basedOn w:val="DefaultParagraphFont"/>
    <w:link w:val="CommentText"/>
    <w:rsid w:val="00E67832"/>
    <w:rPr>
      <w:lang w:eastAsia="en-US"/>
    </w:rPr>
  </w:style>
  <w:style w:type="paragraph" w:styleId="CommentSubject">
    <w:name w:val="annotation subject"/>
    <w:basedOn w:val="CommentText"/>
    <w:next w:val="CommentText"/>
    <w:link w:val="CommentSubjectChar"/>
    <w:semiHidden/>
    <w:unhideWhenUsed/>
    <w:rsid w:val="00E67832"/>
    <w:rPr>
      <w:b/>
      <w:bCs/>
    </w:rPr>
  </w:style>
  <w:style w:type="character" w:customStyle="1" w:styleId="CommentSubjectChar">
    <w:name w:val="Comment Subject Char"/>
    <w:basedOn w:val="CommentTextChar"/>
    <w:link w:val="CommentSubject"/>
    <w:semiHidden/>
    <w:rsid w:val="00E67832"/>
    <w:rPr>
      <w:b/>
      <w:bCs/>
      <w:lang w:eastAsia="en-US"/>
    </w:rPr>
  </w:style>
  <w:style w:type="paragraph" w:customStyle="1" w:styleId="a">
    <w:name w:val="插图题注"/>
    <w:next w:val="Normal"/>
    <w:rsid w:val="00742444"/>
    <w:pPr>
      <w:numPr>
        <w:ilvl w:val="7"/>
        <w:numId w:val="36"/>
      </w:numPr>
      <w:spacing w:afterLines="100"/>
      <w:ind w:left="0"/>
      <w:jc w:val="center"/>
    </w:pPr>
  </w:style>
  <w:style w:type="paragraph" w:styleId="Revision">
    <w:name w:val="Revision"/>
    <w:hidden/>
    <w:uiPriority w:val="99"/>
    <w:semiHidden/>
    <w:rsid w:val="00755499"/>
    <w:rPr>
      <w:sz w:val="22"/>
      <w:szCs w:val="22"/>
      <w:lang w:eastAsia="en-US"/>
    </w:rPr>
  </w:style>
  <w:style w:type="paragraph" w:styleId="DocumentMap">
    <w:name w:val="Document Map"/>
    <w:basedOn w:val="Normal"/>
    <w:link w:val="DocumentMapChar"/>
    <w:semiHidden/>
    <w:unhideWhenUsed/>
    <w:rsid w:val="004208E8"/>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4208E8"/>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DEE089-E5BB-4B36-879E-A9AD1F161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4</Pages>
  <Words>1770</Words>
  <Characters>9932</Characters>
  <Application>Microsoft Office Word</Application>
  <DocSecurity>0</DocSecurity>
  <Lines>174</Lines>
  <Paragraphs>80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Amine Maaref</cp:lastModifiedBy>
  <cp:revision>18</cp:revision>
  <cp:lastPrinted>2007-06-18T21:08:00Z</cp:lastPrinted>
  <dcterms:created xsi:type="dcterms:W3CDTF">2017-06-15T16:08:00Z</dcterms:created>
  <dcterms:modified xsi:type="dcterms:W3CDTF">2017-06-16T15:25:00Z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(3)7SXUXh99bGW2GByyI4f7FoPHPJIVwKtBjfQ0RFb0AKT0Y26lZXk6v6sBI/gW/EaO09gxBvhy
MlsS6I5gXb6T6d5T5XdUEALWYnnt/ecrnqgWBGERLSEqqEzWy8iFfwK1mTrL5YmgupDFbBnb
hhdPpmcsGgRsekda0WxaFX9OhewMSMYHnQpNUYGy/fkBS15ish1BqgBcnG6ldgtQxlT9zV5E
+F+g1NQrP+mjM8TvnZ</vt:lpwstr>
  </property>
  <property fmtid="{D5CDD505-2E9C-101B-9397-08002B2CF9AE}" pid="13" name="_2015_ms_pID_725343_00">
    <vt:lpwstr>_2015_ms_pID_725343</vt:lpwstr>
  </property>
  <property fmtid="{D5CDD505-2E9C-101B-9397-08002B2CF9AE}" pid="14" name="_2015_ms_pID_7253431">
    <vt:lpwstr>I7UD/R+Bk6Um4s2TBJbEurNRNMSUgjDxaU42EcUeyjLeMo671l9n9d
u8aZcEw9cJfoj/P5rWLEeC7uEVHkiBsrds6K8bn8cUimRUJrbIyw0iwfAgGjotBGeFIofvUy
gakNXYqma2Ayi/RyxCm9JYPrlV4KskfKlwpa/QqBy9o+5Ej86QVzCcVhTXkR3+oli6trUYJP
so0h2tjORqxmAOiwnhTmgrBRZutbyZczf12o</vt:lpwstr>
  </property>
  <property fmtid="{D5CDD505-2E9C-101B-9397-08002B2CF9AE}" pid="15" name="_2015_ms_pID_7253431_00">
    <vt:lpwstr>_2015_ms_pID_7253431</vt:lpwstr>
  </property>
  <property fmtid="{D5CDD505-2E9C-101B-9397-08002B2CF9AE}" pid="16" name="_2015_ms_pID_7253432">
    <vt:lpwstr>Vrr8sHAuXNAc9EJGyrosoH3R5I1VQm6urMcZ
95S/J6DD0r/bzSDEv+DRyBN+rKuznSk1bU+/H8Jsfpwbk5RF4LE=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1497570706</vt:lpwstr>
  </property>
</Properties>
</file>