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BE5B2" w14:textId="5641F84C" w:rsidR="005257E3" w:rsidRPr="006E473F" w:rsidRDefault="005257E3" w:rsidP="005257E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Pr="00654C90">
        <w:rPr>
          <w:b/>
          <w:sz w:val="24"/>
          <w:szCs w:val="24"/>
          <w:lang w:eastAsia="ko-KR"/>
        </w:rPr>
        <w:t>Meeting</w:t>
      </w:r>
      <w:r w:rsidRPr="006E473F">
        <w:rPr>
          <w:rFonts w:hint="eastAsia"/>
          <w:b/>
          <w:sz w:val="24"/>
          <w:szCs w:val="24"/>
          <w:lang w:eastAsia="ko-KR"/>
        </w:rPr>
        <w:t xml:space="preserve"> </w:t>
      </w:r>
      <w:r w:rsidR="00F47F7C">
        <w:rPr>
          <w:b/>
          <w:sz w:val="24"/>
          <w:szCs w:val="24"/>
          <w:lang w:eastAsia="ko-KR"/>
        </w:rPr>
        <w:t>NR</w:t>
      </w:r>
      <w:r>
        <w:rPr>
          <w:b/>
          <w:sz w:val="24"/>
          <w:szCs w:val="24"/>
          <w:lang w:eastAsia="ko-KR"/>
        </w:rPr>
        <w:t>#</w:t>
      </w:r>
      <w:r w:rsidR="00F47F7C">
        <w:rPr>
          <w:b/>
          <w:sz w:val="24"/>
          <w:szCs w:val="24"/>
          <w:lang w:eastAsia="ko-KR"/>
        </w:rPr>
        <w:t>2</w:t>
      </w:r>
      <w:r w:rsidRPr="006E473F">
        <w:rPr>
          <w:rFonts w:hint="eastAsia"/>
          <w:b/>
          <w:sz w:val="24"/>
          <w:szCs w:val="24"/>
          <w:lang w:eastAsia="ko-KR"/>
        </w:rPr>
        <w:tab/>
      </w:r>
      <w:r w:rsidRPr="006E473F">
        <w:rPr>
          <w:rFonts w:hint="eastAsia"/>
          <w:b/>
          <w:i/>
          <w:sz w:val="24"/>
          <w:szCs w:val="24"/>
          <w:lang w:eastAsia="ko-KR"/>
        </w:rPr>
        <w:t>R1-</w:t>
      </w:r>
      <w:r w:rsidR="00CB5F60">
        <w:rPr>
          <w:b/>
          <w:i/>
          <w:sz w:val="24"/>
          <w:szCs w:val="24"/>
          <w:lang w:eastAsia="ko-KR"/>
        </w:rPr>
        <w:t>1711246</w:t>
      </w:r>
    </w:p>
    <w:bookmarkEnd w:id="0"/>
    <w:bookmarkEnd w:id="1"/>
    <w:p w14:paraId="35A7A8AB" w14:textId="155B03AD" w:rsidR="005257E3" w:rsidRPr="006E473F" w:rsidRDefault="00F47F7C" w:rsidP="005257E3">
      <w:pPr>
        <w:pStyle w:val="CRCoverPage"/>
        <w:spacing w:after="240"/>
        <w:outlineLvl w:val="0"/>
        <w:rPr>
          <w:b/>
          <w:noProof/>
          <w:sz w:val="24"/>
          <w:szCs w:val="24"/>
        </w:rPr>
      </w:pPr>
      <w:r w:rsidRPr="00F47F7C">
        <w:rPr>
          <w:b/>
          <w:noProof/>
          <w:sz w:val="24"/>
          <w:szCs w:val="24"/>
          <w:lang w:eastAsia="ko-KR"/>
        </w:rPr>
        <w:t>Qingdao</w:t>
      </w:r>
      <w:r w:rsidR="005257E3">
        <w:rPr>
          <w:b/>
          <w:noProof/>
          <w:sz w:val="24"/>
          <w:szCs w:val="24"/>
          <w:lang w:eastAsia="ko-KR"/>
        </w:rPr>
        <w:t>, China</w:t>
      </w:r>
      <w:r w:rsidR="005257E3" w:rsidRPr="00F20BAF">
        <w:rPr>
          <w:b/>
          <w:noProof/>
          <w:sz w:val="24"/>
          <w:szCs w:val="24"/>
          <w:lang w:eastAsia="ko-KR"/>
        </w:rPr>
        <w:t xml:space="preserve">, </w:t>
      </w:r>
      <w:r>
        <w:rPr>
          <w:b/>
          <w:noProof/>
          <w:sz w:val="24"/>
          <w:szCs w:val="24"/>
          <w:lang w:eastAsia="ko-KR"/>
        </w:rPr>
        <w:t>27</w:t>
      </w:r>
      <w:r w:rsidR="005257E3" w:rsidRPr="001852A3">
        <w:rPr>
          <w:b/>
          <w:noProof/>
          <w:sz w:val="24"/>
          <w:szCs w:val="24"/>
          <w:vertAlign w:val="superscript"/>
          <w:lang w:eastAsia="ko-KR"/>
        </w:rPr>
        <w:t>th</w:t>
      </w:r>
      <w:r w:rsidR="005257E3" w:rsidRPr="00F20BAF">
        <w:rPr>
          <w:b/>
          <w:noProof/>
          <w:sz w:val="24"/>
          <w:szCs w:val="24"/>
          <w:lang w:eastAsia="ko-KR"/>
        </w:rPr>
        <w:t xml:space="preserve"> – </w:t>
      </w:r>
      <w:r>
        <w:rPr>
          <w:b/>
          <w:noProof/>
          <w:sz w:val="24"/>
          <w:szCs w:val="24"/>
          <w:lang w:eastAsia="ko-KR"/>
        </w:rPr>
        <w:t>30</w:t>
      </w:r>
      <w:r w:rsidR="005257E3" w:rsidRPr="001852A3">
        <w:rPr>
          <w:b/>
          <w:noProof/>
          <w:sz w:val="24"/>
          <w:szCs w:val="24"/>
          <w:vertAlign w:val="superscript"/>
          <w:lang w:eastAsia="ko-KR"/>
        </w:rPr>
        <w:t>th</w:t>
      </w:r>
      <w:r w:rsidR="005257E3" w:rsidRPr="00F20BAF">
        <w:rPr>
          <w:b/>
          <w:noProof/>
          <w:sz w:val="24"/>
          <w:szCs w:val="24"/>
          <w:lang w:eastAsia="ko-KR"/>
        </w:rPr>
        <w:t xml:space="preserve"> </w:t>
      </w:r>
      <w:r>
        <w:rPr>
          <w:b/>
          <w:noProof/>
          <w:sz w:val="24"/>
          <w:szCs w:val="24"/>
          <w:lang w:eastAsia="ko-KR"/>
        </w:rPr>
        <w:t>Jun</w:t>
      </w:r>
      <w:r w:rsidR="005257E3">
        <w:rPr>
          <w:b/>
          <w:noProof/>
          <w:sz w:val="24"/>
          <w:szCs w:val="24"/>
          <w:lang w:eastAsia="ko-KR"/>
        </w:rPr>
        <w:t xml:space="preserve"> 2017</w:t>
      </w:r>
    </w:p>
    <w:p w14:paraId="46F1330C" w14:textId="77777777" w:rsidR="0068226B" w:rsidRPr="00F47F7C" w:rsidRDefault="0068226B" w:rsidP="00AC4496">
      <w:pPr>
        <w:pStyle w:val="Footer"/>
        <w:jc w:val="both"/>
        <w:rPr>
          <w:noProof w:val="0"/>
          <w:lang w:val="en-GB"/>
        </w:rPr>
      </w:pPr>
    </w:p>
    <w:p w14:paraId="46F1330D" w14:textId="1920279D"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E07B48">
        <w:rPr>
          <w:rFonts w:ascii="Arial" w:hAnsi="Arial"/>
          <w:sz w:val="24"/>
        </w:rPr>
        <w:t>5</w:t>
      </w:r>
      <w:r w:rsidR="00B214D2">
        <w:rPr>
          <w:rFonts w:ascii="Arial" w:hAnsi="Arial"/>
          <w:sz w:val="24"/>
        </w:rPr>
        <w:t>.1.</w:t>
      </w:r>
      <w:r w:rsidR="00150860">
        <w:rPr>
          <w:rFonts w:ascii="Arial" w:hAnsi="Arial"/>
          <w:sz w:val="24"/>
        </w:rPr>
        <w:t>2</w:t>
      </w:r>
      <w:r w:rsidR="004204CB">
        <w:rPr>
          <w:rFonts w:ascii="Arial" w:hAnsi="Arial"/>
          <w:sz w:val="24"/>
        </w:rPr>
        <w:t>.</w:t>
      </w:r>
      <w:r w:rsidR="002026C9">
        <w:rPr>
          <w:rFonts w:ascii="Arial" w:hAnsi="Arial"/>
          <w:sz w:val="24"/>
        </w:rPr>
        <w:t>4</w:t>
      </w:r>
      <w:r w:rsidR="00150860">
        <w:rPr>
          <w:rFonts w:ascii="Arial" w:hAnsi="Arial"/>
          <w:sz w:val="24"/>
        </w:rPr>
        <w:t>.</w:t>
      </w:r>
      <w:r w:rsidR="0059408C">
        <w:rPr>
          <w:rFonts w:ascii="Arial" w:hAnsi="Arial"/>
          <w:sz w:val="24"/>
        </w:rPr>
        <w:t>8</w:t>
      </w:r>
      <w:bookmarkStart w:id="3" w:name="_GoBack"/>
      <w:bookmarkEnd w:id="3"/>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D16339B"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F47F7C">
        <w:rPr>
          <w:rFonts w:ascii="Arial" w:hAnsi="Arial"/>
          <w:sz w:val="22"/>
        </w:rPr>
        <w:t>Bursty Interference Measurement Resources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w:t>
      </w:r>
      <w:r w:rsidR="00FA3871" w:rsidRPr="000A64D8">
        <w:rPr>
          <w:rFonts w:ascii="Arial" w:hAnsi="Arial"/>
          <w:sz w:val="24"/>
        </w:rPr>
        <w:t>/Decision</w:t>
      </w:r>
    </w:p>
    <w:p w14:paraId="7EB922B0" w14:textId="3436F73F" w:rsidR="0074059F" w:rsidRDefault="00D26905" w:rsidP="008A5DC4">
      <w:pPr>
        <w:pStyle w:val="Heading1"/>
      </w:pPr>
      <w:bookmarkStart w:id="5" w:name="_Ref485151100"/>
      <w:r>
        <w:t>Introduction</w:t>
      </w:r>
      <w:bookmarkEnd w:id="5"/>
    </w:p>
    <w:p w14:paraId="2CEEA9FA" w14:textId="49E0E67C" w:rsidR="0074059F" w:rsidRDefault="0074059F" w:rsidP="0074059F">
      <w:pPr>
        <w:jc w:val="both"/>
        <w:rPr>
          <w:lang w:val="en-GB"/>
        </w:rPr>
      </w:pPr>
      <w:r w:rsidRPr="0074059F">
        <w:rPr>
          <w:lang w:val="en-GB"/>
        </w:rPr>
        <w:t xml:space="preserve">In NR, slot structures are far more flexible than </w:t>
      </w:r>
      <w:r>
        <w:rPr>
          <w:lang w:val="en-GB"/>
        </w:rPr>
        <w:t xml:space="preserve">LTE </w:t>
      </w:r>
      <w:r w:rsidRPr="0074059F">
        <w:rPr>
          <w:lang w:val="en-GB"/>
        </w:rPr>
        <w:t>slot structures, which may result in highly dynamic and bursty inter-cell interference conditions</w:t>
      </w:r>
      <w:r w:rsidR="00465584">
        <w:rPr>
          <w:lang w:val="en-GB"/>
        </w:rPr>
        <w:t>, which vary in the sub-symbol time scale.</w:t>
      </w:r>
      <w:r w:rsidRPr="0074059F">
        <w:rPr>
          <w:lang w:val="en-GB"/>
        </w:rPr>
        <w:t xml:space="preserve"> For instance, because NR supports mini-slots and </w:t>
      </w:r>
      <w:r>
        <w:rPr>
          <w:lang w:val="en-GB"/>
        </w:rPr>
        <w:t>URLLC</w:t>
      </w:r>
      <w:r w:rsidRPr="0074059F">
        <w:rPr>
          <w:lang w:val="en-GB"/>
        </w:rPr>
        <w:t>, short burst</w:t>
      </w:r>
      <w:r w:rsidR="0082242A">
        <w:rPr>
          <w:lang w:val="en-GB"/>
        </w:rPr>
        <w:t xml:space="preserve"> of</w:t>
      </w:r>
      <w:r w:rsidRPr="0074059F">
        <w:rPr>
          <w:lang w:val="en-GB"/>
        </w:rPr>
        <w:t xml:space="preserve"> transmission within a regular eMBB slot </w:t>
      </w:r>
      <w:r w:rsidR="0082242A">
        <w:rPr>
          <w:lang w:val="en-GB"/>
        </w:rPr>
        <w:t xml:space="preserve">may start at </w:t>
      </w:r>
      <w:r w:rsidRPr="0074059F">
        <w:rPr>
          <w:lang w:val="en-GB"/>
        </w:rPr>
        <w:t xml:space="preserve">arbitrary </w:t>
      </w:r>
      <w:r w:rsidR="0082242A">
        <w:rPr>
          <w:lang w:val="en-GB"/>
        </w:rPr>
        <w:t xml:space="preserve">symbol </w:t>
      </w:r>
      <w:r w:rsidRPr="0074059F">
        <w:rPr>
          <w:lang w:val="en-GB"/>
        </w:rPr>
        <w:t xml:space="preserve">locations, and unscheduled uplink transmissions without a grant are allowed. Other factors in NR that may contribute to </w:t>
      </w:r>
      <w:r w:rsidR="00D26905">
        <w:rPr>
          <w:lang w:val="en-GB"/>
        </w:rPr>
        <w:t xml:space="preserve">bursty </w:t>
      </w:r>
      <w:r w:rsidRPr="0074059F">
        <w:rPr>
          <w:lang w:val="en-GB"/>
        </w:rPr>
        <w:t xml:space="preserve">interference include support for adaptive reference signal patterns (e.g., </w:t>
      </w:r>
      <w:r>
        <w:rPr>
          <w:lang w:val="en-GB"/>
        </w:rPr>
        <w:t>DMRS</w:t>
      </w:r>
      <w:r w:rsidR="0082242A">
        <w:rPr>
          <w:lang w:val="en-GB"/>
        </w:rPr>
        <w:t xml:space="preserve"> and CSI-RS</w:t>
      </w:r>
      <w:r w:rsidRPr="0074059F">
        <w:rPr>
          <w:lang w:val="en-GB"/>
        </w:rPr>
        <w:t xml:space="preserve"> patterns may depend on number of antenna ports, delay tolerance, Doppler spread, etc.), and beam-based transmissions (e.g., interference </w:t>
      </w:r>
      <w:r w:rsidR="0082242A">
        <w:rPr>
          <w:lang w:val="en-GB"/>
        </w:rPr>
        <w:t xml:space="preserve">fluctuates with </w:t>
      </w:r>
      <w:r w:rsidRPr="0074059F">
        <w:rPr>
          <w:lang w:val="en-GB"/>
        </w:rPr>
        <w:t>beam changes, including refinements, dynamic switching among multiple possible BPLs</w:t>
      </w:r>
      <w:r w:rsidR="00D26905">
        <w:rPr>
          <w:lang w:val="en-GB"/>
        </w:rPr>
        <w:t>, etc.</w:t>
      </w:r>
      <w:r w:rsidRPr="0074059F">
        <w:rPr>
          <w:lang w:val="en-GB"/>
        </w:rPr>
        <w:t xml:space="preserve">). </w:t>
      </w:r>
      <w:r w:rsidR="00465584">
        <w:rPr>
          <w:lang w:val="en-GB"/>
        </w:rPr>
        <w:t>Bursty i</w:t>
      </w:r>
      <w:r w:rsidRPr="0074059F">
        <w:rPr>
          <w:lang w:val="en-GB"/>
        </w:rPr>
        <w:t xml:space="preserve">nterference may also be caused by dynamic TDD operation (e.g., because of gap for DL-UL switching, cross-link interference (i.e., UL-to-DL and DL-to-UL), etc.), and slot/symbol misalignment between </w:t>
      </w:r>
      <w:r w:rsidR="0026496E" w:rsidRPr="0074059F">
        <w:rPr>
          <w:lang w:val="en-GB"/>
        </w:rPr>
        <w:t>neighboring</w:t>
      </w:r>
      <w:r w:rsidRPr="0074059F">
        <w:rPr>
          <w:lang w:val="en-GB"/>
        </w:rPr>
        <w:t xml:space="preserve"> cells </w:t>
      </w:r>
      <w:r w:rsidR="005F15B3">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6496E" w14:paraId="778614C8" w14:textId="77777777" w:rsidTr="0026496E">
        <w:tc>
          <w:tcPr>
            <w:tcW w:w="9972" w:type="dxa"/>
            <w:vAlign w:val="center"/>
          </w:tcPr>
          <w:p w14:paraId="65BBFA81" w14:textId="033B6868" w:rsidR="0026496E" w:rsidRDefault="0026496E" w:rsidP="0026496E">
            <w:pPr>
              <w:jc w:val="center"/>
            </w:pPr>
            <w:r>
              <w:object w:dxaOrig="13385" w:dyaOrig="5926" w14:anchorId="396C1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8pt;height:220.6pt" o:ole="">
                  <v:imagedata r:id="rId12" o:title=""/>
                </v:shape>
                <o:OLEObject Type="Embed" ProgID="Visio.Drawing.11" ShapeID="_x0000_i1025" DrawAspect="Content" ObjectID="_1559151715" r:id="rId13"/>
              </w:object>
            </w:r>
          </w:p>
        </w:tc>
      </w:tr>
      <w:tr w:rsidR="0026496E" w14:paraId="1892D90D" w14:textId="77777777" w:rsidTr="0026496E">
        <w:tc>
          <w:tcPr>
            <w:tcW w:w="9972" w:type="dxa"/>
            <w:vAlign w:val="center"/>
          </w:tcPr>
          <w:p w14:paraId="6DD82867" w14:textId="11D11470" w:rsidR="0026496E" w:rsidRPr="00CA1420" w:rsidRDefault="0026496E" w:rsidP="0026496E">
            <w:pPr>
              <w:jc w:val="center"/>
              <w:rPr>
                <w:b/>
              </w:rPr>
            </w:pPr>
            <w:bookmarkStart w:id="6" w:name="_Ref485147353"/>
            <w:r w:rsidRPr="00CA1420">
              <w:rPr>
                <w:b/>
              </w:rPr>
              <w:t xml:space="preserve">Figure </w:t>
            </w:r>
            <w:r w:rsidRPr="00CA1420">
              <w:rPr>
                <w:b/>
              </w:rPr>
              <w:fldChar w:fldCharType="begin"/>
            </w:r>
            <w:r w:rsidRPr="00CA1420">
              <w:rPr>
                <w:b/>
              </w:rPr>
              <w:instrText xml:space="preserve"> SEQ Figure \* ARABIC </w:instrText>
            </w:r>
            <w:r w:rsidRPr="00CA1420">
              <w:rPr>
                <w:b/>
              </w:rPr>
              <w:fldChar w:fldCharType="separate"/>
            </w:r>
            <w:r w:rsidR="00EE11A6">
              <w:rPr>
                <w:b/>
                <w:noProof/>
              </w:rPr>
              <w:t>1</w:t>
            </w:r>
            <w:r w:rsidRPr="00CA1420">
              <w:rPr>
                <w:b/>
              </w:rPr>
              <w:fldChar w:fldCharType="end"/>
            </w:r>
            <w:bookmarkEnd w:id="6"/>
            <w:r w:rsidRPr="00CA1420">
              <w:rPr>
                <w:b/>
              </w:rPr>
              <w:t>. Bursty interference environment</w:t>
            </w:r>
          </w:p>
        </w:tc>
      </w:tr>
    </w:tbl>
    <w:p w14:paraId="08D62275" w14:textId="66D4476F" w:rsidR="009D0CBF" w:rsidRDefault="0026496E" w:rsidP="00B346C7">
      <w:pPr>
        <w:jc w:val="both"/>
      </w:pP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illustrates an exemplary inter-cell interference environment. </w:t>
      </w:r>
      <w:r w:rsidR="00B346C7">
        <w:t xml:space="preserve">As shown in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(a), a</w:t>
      </w:r>
      <w:r>
        <w:t xml:space="preserve"> UE in Cell 0 receives a downlink slot, while receiving interference from Cell 1 and Cell 2.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(b), exemplary interference powers corresponding to the environment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(a) </w:t>
      </w:r>
      <w:r w:rsidR="00B346C7">
        <w:t xml:space="preserve">are provided. For this particular example, Cell 0 transmits a DL slot comprised of DL control and data, Cell 1 transmits a DL slot comprised of </w:t>
      </w:r>
      <w:r w:rsidR="0082242A">
        <w:t xml:space="preserve">two </w:t>
      </w:r>
      <w:r w:rsidR="00B346C7">
        <w:t xml:space="preserve">mini slots, and Cell 2’s slot comprises a DL component and an uplink (UL) component. Here, because of the dynamic nature of the communications in its neighboring cells (i.e., Cell 1 and Cell 2), the UE in Cell 0 receives dynamic and bursty interference, which is marked as ‘Overall’ in the bottom of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(b).</w:t>
      </w:r>
    </w:p>
    <w:p w14:paraId="4841590C" w14:textId="4857DBE6" w:rsidR="007808AB" w:rsidRDefault="00D26905" w:rsidP="0074059F">
      <w:pPr>
        <w:jc w:val="both"/>
        <w:rPr>
          <w:lang w:val="en-GB"/>
        </w:rPr>
      </w:pPr>
      <w:r w:rsidRPr="00D26905">
        <w:rPr>
          <w:lang w:val="en-GB"/>
        </w:rPr>
        <w:lastRenderedPageBreak/>
        <w:t>It should be noted that scheduling and demodulation performance is highly dependent on the bursty interference conditions at the actual transmission time. Cu</w:t>
      </w:r>
      <w:r>
        <w:rPr>
          <w:lang w:val="en-GB"/>
        </w:rPr>
        <w:t xml:space="preserve">rrent interference measurement framework </w:t>
      </w:r>
      <w:r w:rsidRPr="00D26905">
        <w:rPr>
          <w:lang w:val="en-GB"/>
        </w:rPr>
        <w:t xml:space="preserve">(e.g., via a </w:t>
      </w:r>
      <w:r>
        <w:rPr>
          <w:lang w:val="en-GB"/>
        </w:rPr>
        <w:t>CSI-RS</w:t>
      </w:r>
      <w:r w:rsidRPr="00D26905">
        <w:rPr>
          <w:lang w:val="en-GB"/>
        </w:rPr>
        <w:t xml:space="preserve"> or an </w:t>
      </w:r>
      <w:r>
        <w:rPr>
          <w:lang w:val="en-GB"/>
        </w:rPr>
        <w:t>IMR</w:t>
      </w:r>
      <w:r w:rsidRPr="00D26905">
        <w:rPr>
          <w:lang w:val="en-GB"/>
        </w:rPr>
        <w:t>), however, only provide measurements</w:t>
      </w:r>
      <w:r>
        <w:rPr>
          <w:lang w:val="en-GB"/>
        </w:rPr>
        <w:t xml:space="preserve"> of a relatively large time scale</w:t>
      </w:r>
      <w:r w:rsidRPr="00D26905">
        <w:rPr>
          <w:lang w:val="en-GB"/>
        </w:rPr>
        <w:t xml:space="preserve">. Also, in a bursty interference environment, interference-aware scheduling based on the </w:t>
      </w:r>
      <w:r>
        <w:rPr>
          <w:lang w:val="en-GB"/>
        </w:rPr>
        <w:t>l</w:t>
      </w:r>
      <w:r w:rsidRPr="00D26905">
        <w:rPr>
          <w:lang w:val="en-GB"/>
        </w:rPr>
        <w:t>arge</w:t>
      </w:r>
      <w:r>
        <w:rPr>
          <w:lang w:val="en-GB"/>
        </w:rPr>
        <w:t>-time</w:t>
      </w:r>
      <w:r w:rsidRPr="00D26905">
        <w:rPr>
          <w:lang w:val="en-GB"/>
        </w:rPr>
        <w:t xml:space="preserve">-scale measurement may converge to a very conservative decision to avoid high block error rates and frequent retransmissions, which generally has an undesirable impact on overall system throughput. Furthermore, although bursty interference can be controlled to some extent by fast scheduling coordination among </w:t>
      </w:r>
      <w:r w:rsidR="00467E5D">
        <w:rPr>
          <w:lang w:val="en-GB"/>
        </w:rPr>
        <w:t>TRPs</w:t>
      </w:r>
      <w:r w:rsidRPr="00D26905">
        <w:rPr>
          <w:lang w:val="en-GB"/>
        </w:rPr>
        <w:t>, such coordination is often very costly and may not be adequate for ultra</w:t>
      </w:r>
      <w:r w:rsidR="0082242A">
        <w:rPr>
          <w:lang w:val="en-GB"/>
        </w:rPr>
        <w:t>-</w:t>
      </w:r>
      <w:r w:rsidRPr="00D26905">
        <w:rPr>
          <w:lang w:val="en-GB"/>
        </w:rPr>
        <w:t>low</w:t>
      </w:r>
      <w:r w:rsidR="0082242A">
        <w:rPr>
          <w:lang w:val="en-GB"/>
        </w:rPr>
        <w:t>-</w:t>
      </w:r>
      <w:r w:rsidRPr="00D26905">
        <w:rPr>
          <w:lang w:val="en-GB"/>
        </w:rPr>
        <w:t xml:space="preserve">latency applications. </w:t>
      </w:r>
    </w:p>
    <w:p w14:paraId="61F1F97F" w14:textId="12633B08" w:rsidR="007808AB" w:rsidRDefault="00465584" w:rsidP="0074059F">
      <w:pPr>
        <w:jc w:val="both"/>
        <w:rPr>
          <w:lang w:val="en-GB"/>
        </w:rPr>
      </w:pPr>
      <w:r>
        <w:rPr>
          <w:lang w:val="en-GB"/>
        </w:rPr>
        <w:t xml:space="preserve">At </w:t>
      </w:r>
      <w:r w:rsidR="00434A69">
        <w:rPr>
          <w:lang w:val="en-GB"/>
        </w:rPr>
        <w:t>UEs</w:t>
      </w:r>
      <w:r w:rsidR="007808AB">
        <w:rPr>
          <w:lang w:val="en-GB"/>
        </w:rPr>
        <w:t xml:space="preserve">, the on-the-fly </w:t>
      </w:r>
      <w:r w:rsidR="00434A69">
        <w:rPr>
          <w:lang w:val="en-GB"/>
        </w:rPr>
        <w:t>noise/</w:t>
      </w:r>
      <w:r w:rsidR="007808AB">
        <w:rPr>
          <w:lang w:val="en-GB"/>
        </w:rPr>
        <w:t xml:space="preserve">interference measurement </w:t>
      </w:r>
      <w:r w:rsidR="005F15B3">
        <w:rPr>
          <w:lang w:val="en-GB"/>
        </w:rPr>
        <w:t xml:space="preserve">or identification of bursty interference </w:t>
      </w:r>
      <w:r w:rsidR="007808AB">
        <w:rPr>
          <w:lang w:val="en-GB"/>
        </w:rPr>
        <w:t xml:space="preserve">at demodulation time </w:t>
      </w:r>
      <w:r w:rsidR="00434A69">
        <w:rPr>
          <w:lang w:val="en-GB"/>
        </w:rPr>
        <w:t xml:space="preserve">may help reduce the block error rates, which in turn can desirably improve the overall system throughput in bursty interference conditions. </w:t>
      </w:r>
      <w:r w:rsidR="0082242A">
        <w:rPr>
          <w:lang w:val="en-GB"/>
        </w:rPr>
        <w:t>However, u</w:t>
      </w:r>
      <w:r w:rsidR="00434A69">
        <w:rPr>
          <w:lang w:val="en-GB"/>
        </w:rPr>
        <w:t xml:space="preserve">sing the noise/interference measurement from the reference signals for channel estimation may not accurately capture the fine variation of the interference in symbol- or subband-level. As the DL demodulation performance is strongly rely on the accuracy of </w:t>
      </w:r>
      <w:r w:rsidR="00301D68">
        <w:rPr>
          <w:lang w:val="en-GB"/>
        </w:rPr>
        <w:t>symbol- and tone-level interference estimation, we propose to use dedicated resources (e.g. sparsely spaced null tones) to improve the accuracy of interference estimation and hence enhancing DL demodulation.</w:t>
      </w:r>
    </w:p>
    <w:p w14:paraId="26B0F463" w14:textId="7DA65AA5" w:rsidR="00467E5D" w:rsidRDefault="00467E5D" w:rsidP="0082242A">
      <w:pPr>
        <w:pStyle w:val="Caption"/>
        <w:jc w:val="both"/>
        <w:rPr>
          <w:i/>
        </w:rPr>
      </w:pPr>
      <w:bookmarkStart w:id="7" w:name="_Ref485219287"/>
      <w:r w:rsidRPr="00467E5D">
        <w:rPr>
          <w:i/>
        </w:rPr>
        <w:t xml:space="preserve">Proposal </w:t>
      </w:r>
      <w:r w:rsidRPr="009D0CBF">
        <w:rPr>
          <w:i/>
        </w:rPr>
        <w:fldChar w:fldCharType="begin"/>
      </w:r>
      <w:r w:rsidRPr="009D0CBF">
        <w:rPr>
          <w:i/>
        </w:rPr>
        <w:instrText xml:space="preserve"> SEQ Proposal \* ARABIC </w:instrText>
      </w:r>
      <w:r w:rsidRPr="009D0CBF">
        <w:rPr>
          <w:i/>
        </w:rPr>
        <w:fldChar w:fldCharType="separate"/>
      </w:r>
      <w:r w:rsidR="00EE11A6">
        <w:rPr>
          <w:i/>
          <w:noProof/>
        </w:rPr>
        <w:t>1</w:t>
      </w:r>
      <w:r w:rsidRPr="009D0CBF">
        <w:rPr>
          <w:i/>
        </w:rPr>
        <w:fldChar w:fldCharType="end"/>
      </w:r>
      <w:r w:rsidRPr="009D0CBF">
        <w:rPr>
          <w:i/>
        </w:rPr>
        <w:t>: NR UEs are provided with dedicated resources and signaling for bursty interference measurement</w:t>
      </w:r>
      <w:r w:rsidR="005F15B3">
        <w:rPr>
          <w:i/>
        </w:rPr>
        <w:t>/identification</w:t>
      </w:r>
      <w:r w:rsidRPr="009D0CBF">
        <w:rPr>
          <w:i/>
        </w:rPr>
        <w:t xml:space="preserve"> at demodulation time.</w:t>
      </w:r>
      <w:bookmarkEnd w:id="7"/>
    </w:p>
    <w:p w14:paraId="08A88A16" w14:textId="77777777" w:rsidR="0082242A" w:rsidRPr="0082242A" w:rsidRDefault="0082242A" w:rsidP="0082242A"/>
    <w:p w14:paraId="1257391C" w14:textId="3AD84E0D" w:rsidR="00F832EB" w:rsidRDefault="008C41D0" w:rsidP="008A5DC4">
      <w:pPr>
        <w:pStyle w:val="Heading1"/>
      </w:pPr>
      <w:r>
        <w:t>Bursty interference measurement (BIM)</w:t>
      </w:r>
    </w:p>
    <w:p w14:paraId="5E76DE82" w14:textId="02214477" w:rsidR="008C41D0" w:rsidRDefault="008C41D0" w:rsidP="008A5DC4">
      <w:pPr>
        <w:pStyle w:val="Heading2"/>
      </w:pPr>
      <w:bookmarkStart w:id="8" w:name="_Ref485201365"/>
      <w:r>
        <w:t>Baseline approaches</w:t>
      </w:r>
      <w:bookmarkEnd w:id="8"/>
    </w:p>
    <w:p w14:paraId="514C422D" w14:textId="71212237" w:rsidR="008C41D0" w:rsidRDefault="00C85073" w:rsidP="006929D7">
      <w:pPr>
        <w:spacing w:after="0"/>
        <w:jc w:val="both"/>
        <w:rPr>
          <w:lang w:val="en-GB"/>
        </w:rPr>
      </w:pPr>
      <w:r>
        <w:rPr>
          <w:lang w:val="en-GB"/>
        </w:rPr>
        <w:t>In NR, s</w:t>
      </w:r>
      <w:r w:rsidR="004B2175">
        <w:rPr>
          <w:lang w:val="en-GB"/>
        </w:rPr>
        <w:t xml:space="preserve">everal baseline approaches for interference estimation can be considered using resources that are currently available. For example, DMRS-based </w:t>
      </w:r>
      <w:r>
        <w:rPr>
          <w:lang w:val="en-GB"/>
        </w:rPr>
        <w:t>interference covariance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Pr>
          <w:lang w:val="en-GB"/>
        </w:rPr>
        <w:t>) estimation can be formulated as</w:t>
      </w:r>
    </w:p>
    <w:p w14:paraId="44C65A43" w14:textId="0BD0969F" w:rsidR="00C85073" w:rsidRPr="006929D7" w:rsidRDefault="00346D54"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r>
            <m:rPr>
              <m:sty m:val="p"/>
            </m:rPr>
            <w:rPr>
              <w:rFonts w:ascii="Cambria Math" w:hAnsi="Cambria Math"/>
              <w:szCs w:val="24"/>
            </w:rPr>
            <m:t>avg</m:t>
          </m:r>
          <m:d>
            <m:dPr>
              <m:begChr m:val="{"/>
              <m:endChr m:val="}"/>
              <m:ctrlPr>
                <w:rPr>
                  <w:rFonts w:ascii="Cambria Math" w:hAnsi="Cambria Math"/>
                  <w:i/>
                  <w:iCs/>
                  <w:szCs w:val="24"/>
                </w:rPr>
              </m:ctrlPr>
            </m:d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sSup>
                <m:sSupPr>
                  <m:ctrlPr>
                    <w:rPr>
                      <w:rFonts w:ascii="Cambria Math" w:hAnsi="Cambria Math"/>
                      <w:b/>
                      <w:bCs/>
                      <w:i/>
                      <w:iCs/>
                      <w:szCs w:val="24"/>
                    </w:rPr>
                  </m:ctrlPr>
                </m:sSup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e>
                <m:sup>
                  <m:r>
                    <w:rPr>
                      <w:rFonts w:ascii="Cambria Math" w:hAnsi="Cambria Math"/>
                      <w:szCs w:val="24"/>
                    </w:rPr>
                    <m:t>H</m:t>
                  </m:r>
                </m:sup>
              </m:sSup>
            </m:e>
          </m:d>
          <m:r>
            <w:rPr>
              <w:rFonts w:ascii="Cambria Math" w:hAnsi="Cambria Math"/>
              <w:szCs w:val="24"/>
            </w:rPr>
            <m:t>,</m:t>
          </m:r>
        </m:oMath>
      </m:oMathPara>
    </w:p>
    <w:p w14:paraId="3242FCF4" w14:textId="3C6E44A7" w:rsidR="00C85073" w:rsidRDefault="00C85073" w:rsidP="006929D7">
      <w:pPr>
        <w:spacing w:after="0"/>
        <w:jc w:val="both"/>
        <w:rPr>
          <w:lang w:val="en-GB"/>
        </w:rPr>
      </w:pPr>
      <w:r>
        <w:rPr>
          <w:lang w:val="en-GB"/>
        </w:rPr>
        <w:t xml:space="preserve">where </w:t>
      </w:r>
      <m:oMath>
        <m:r>
          <m:rPr>
            <m:sty m:val="b"/>
          </m:rPr>
          <w:rPr>
            <w:rFonts w:ascii="Cambria Math" w:hAnsi="Cambria Math"/>
            <w:lang w:val="en-GB"/>
          </w:rPr>
          <m:t>y</m:t>
        </m:r>
      </m:oMath>
      <w:r>
        <w:rPr>
          <w:lang w:val="en-GB"/>
        </w:rPr>
        <w:t xml:space="preserve"> is a received signal, </w:t>
      </w:r>
      <m:oMath>
        <m:r>
          <m:rPr>
            <m:sty m:val="b"/>
          </m:rPr>
          <w:rPr>
            <w:rFonts w:ascii="Cambria Math" w:hAnsi="Cambria Math"/>
            <w:lang w:val="en-GB"/>
          </w:rPr>
          <m:t>x</m:t>
        </m:r>
      </m:oMath>
      <w:r>
        <w:rPr>
          <w:lang w:val="en-GB"/>
        </w:rPr>
        <w:t xml:space="preserve"> is a DMRS sequence, and </w:t>
      </w:r>
      <m:oMath>
        <m:acc>
          <m:accPr>
            <m:ctrlPr>
              <w:rPr>
                <w:rFonts w:ascii="Cambria Math" w:hAnsi="Cambria Math"/>
                <w:i/>
                <w:lang w:val="en-GB"/>
              </w:rPr>
            </m:ctrlPr>
          </m:accPr>
          <m:e>
            <m:r>
              <m:rPr>
                <m:sty m:val="b"/>
              </m:rPr>
              <w:rPr>
                <w:rFonts w:ascii="Cambria Math" w:hAnsi="Cambria Math"/>
                <w:lang w:val="en-GB"/>
              </w:rPr>
              <m:t>H</m:t>
            </m:r>
          </m:e>
        </m:acc>
      </m:oMath>
      <w:r>
        <w:rPr>
          <w:lang w:val="en-GB"/>
        </w:rPr>
        <w:t xml:space="preserve"> is a channel estimate (possibly DMRS-based). Note that the average is taken only over the DMRS tones. Although this approach has relatively low complexity, the time-domain density of DMRS may not be high enough to capture symbol-by-symbol interference fluctuations</w:t>
      </w:r>
      <w:r w:rsidR="006628FC">
        <w:rPr>
          <w:lang w:val="en-GB"/>
        </w:rPr>
        <w:t xml:space="preserve">. Also, the DMRS-based approach </w:t>
      </w:r>
      <w:r w:rsidR="007E583C">
        <w:rPr>
          <w:lang w:val="en-GB"/>
        </w:rPr>
        <w:t>measures the interference on DMRS tones, which could be different from the actual</w:t>
      </w:r>
      <w:r w:rsidR="006628FC">
        <w:rPr>
          <w:lang w:val="en-GB"/>
        </w:rPr>
        <w:t xml:space="preserve"> interference </w:t>
      </w:r>
      <w:r w:rsidR="007E583C">
        <w:rPr>
          <w:lang w:val="en-GB"/>
        </w:rPr>
        <w:t xml:space="preserve">on </w:t>
      </w:r>
      <w:r w:rsidR="006628FC">
        <w:rPr>
          <w:lang w:val="en-GB"/>
        </w:rPr>
        <w:t>data tones.</w:t>
      </w:r>
    </w:p>
    <w:p w14:paraId="02467160" w14:textId="7DCFA320" w:rsidR="006628FC" w:rsidRDefault="006628FC" w:rsidP="006929D7">
      <w:pPr>
        <w:spacing w:after="0"/>
        <w:rPr>
          <w:lang w:val="en-GB"/>
        </w:rPr>
      </w:pPr>
      <w:r>
        <w:rPr>
          <w:lang w:val="en-GB"/>
        </w:rPr>
        <w:t>Another approach is based on the sample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yy</m:t>
            </m:r>
          </m:sub>
        </m:sSub>
      </m:oMath>
      <w:r>
        <w:rPr>
          <w:lang w:val="en-GB"/>
        </w:rPr>
        <w:t>) of data (NR-PDSCH) tones:</w:t>
      </w:r>
    </w:p>
    <w:p w14:paraId="21B1F0D9" w14:textId="1D33E0FE" w:rsidR="006628FC" w:rsidRPr="006929D7" w:rsidRDefault="00346D54"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yy</m:t>
              </m:r>
            </m:sub>
          </m:sSub>
          <m:r>
            <m:rPr>
              <m:sty m:val="bi"/>
            </m:rPr>
            <w:rPr>
              <w:rFonts w:ascii="Cambria Math" w:hAnsi="Cambria Math"/>
              <w:szCs w:val="24"/>
            </w:rPr>
            <m:t>-</m:t>
          </m:r>
          <m:acc>
            <m:accPr>
              <m:ctrlPr>
                <w:rPr>
                  <w:rFonts w:ascii="Cambria Math" w:hAnsi="Cambria Math"/>
                  <w:b/>
                  <w:bCs/>
                  <w:i/>
                  <w:iCs/>
                  <w:szCs w:val="24"/>
                </w:rPr>
              </m:ctrlPr>
            </m:accPr>
            <m:e>
              <m:r>
                <m:rPr>
                  <m:sty m:val="b"/>
                </m:rPr>
                <w:rPr>
                  <w:rFonts w:ascii="Cambria Math" w:hAnsi="Cambria Math"/>
                  <w:szCs w:val="24"/>
                </w:rPr>
                <m:t>H</m:t>
              </m:r>
            </m:e>
          </m:acc>
          <m:sSup>
            <m:sSupPr>
              <m:ctrlPr>
                <w:rPr>
                  <w:rFonts w:ascii="Cambria Math" w:hAnsi="Cambria Math"/>
                  <w:b/>
                  <w:bCs/>
                  <w:i/>
                  <w:iCs/>
                  <w:szCs w:val="24"/>
                </w:rPr>
              </m:ctrlPr>
            </m:sSupPr>
            <m:e>
              <m:acc>
                <m:accPr>
                  <m:ctrlPr>
                    <w:rPr>
                      <w:rFonts w:ascii="Cambria Math" w:hAnsi="Cambria Math"/>
                      <w:b/>
                      <w:bCs/>
                      <w:i/>
                      <w:iCs/>
                      <w:szCs w:val="24"/>
                    </w:rPr>
                  </m:ctrlPr>
                </m:accPr>
                <m:e>
                  <m:r>
                    <m:rPr>
                      <m:sty m:val="b"/>
                    </m:rPr>
                    <w:rPr>
                      <w:rFonts w:ascii="Cambria Math" w:hAnsi="Cambria Math"/>
                      <w:szCs w:val="24"/>
                    </w:rPr>
                    <m:t>H</m:t>
                  </m:r>
                </m:e>
              </m:acc>
            </m:e>
            <m:sup>
              <m:r>
                <w:rPr>
                  <w:rFonts w:ascii="Cambria Math" w:hAnsi="Cambria Math"/>
                  <w:szCs w:val="24"/>
                </w:rPr>
                <m:t>H</m:t>
              </m:r>
            </m:sup>
          </m:sSup>
          <m:r>
            <m:rPr>
              <m:sty m:val="bi"/>
            </m:rPr>
            <w:rPr>
              <w:rFonts w:ascii="Cambria Math" w:hAnsi="Cambria Math"/>
              <w:szCs w:val="24"/>
            </w:rPr>
            <m:t>,</m:t>
          </m:r>
        </m:oMath>
      </m:oMathPara>
    </w:p>
    <w:p w14:paraId="2E370262" w14:textId="69AE8EBE" w:rsidR="000173E1" w:rsidRPr="004D03AA" w:rsidRDefault="004D03AA" w:rsidP="006929D7">
      <w:pPr>
        <w:spacing w:after="0"/>
        <w:jc w:val="both"/>
      </w:pPr>
      <w:r w:rsidRPr="004D03AA">
        <w:t xml:space="preserve">where </w:t>
      </w:r>
      <m:oMath>
        <m:sSub>
          <m:sSubPr>
            <m:ctrlPr>
              <w:rPr>
                <w:rFonts w:ascii="Cambria Math" w:hAnsi="Cambria Math"/>
                <w:b/>
                <w:bCs/>
                <w:i/>
                <w:iCs/>
              </w:rPr>
            </m:ctrlPr>
          </m:sSubPr>
          <m:e>
            <m:acc>
              <m:accPr>
                <m:ctrlPr>
                  <w:rPr>
                    <w:rFonts w:ascii="Cambria Math" w:hAnsi="Cambria Math"/>
                    <w:b/>
                    <w:bCs/>
                    <w:i/>
                    <w:iCs/>
                  </w:rPr>
                </m:ctrlPr>
              </m:accPr>
              <m:e>
                <m:r>
                  <m:rPr>
                    <m:sty m:val="b"/>
                  </m:rPr>
                  <w:rPr>
                    <w:rFonts w:ascii="Cambria Math" w:hAnsi="Cambria Math"/>
                  </w:rPr>
                  <m:t>R</m:t>
                </m:r>
              </m:e>
            </m:acc>
          </m:e>
          <m:sub>
            <m:r>
              <w:rPr>
                <w:rFonts w:ascii="Cambria Math" w:hAnsi="Cambria Math"/>
              </w:rPr>
              <m:t>yy</m:t>
            </m:r>
          </m:sub>
        </m:sSub>
        <m:r>
          <m:rPr>
            <m:sty m:val="p"/>
          </m:rPr>
          <w:rPr>
            <w:rFonts w:ascii="Cambria Math" w:hAnsi="Cambria Math"/>
          </w:rPr>
          <m:t>=avg</m:t>
        </m:r>
        <m:d>
          <m:dPr>
            <m:begChr m:val="{"/>
            <m:endChr m:val="}"/>
            <m:ctrlPr>
              <w:rPr>
                <w:rFonts w:ascii="Cambria Math" w:hAnsi="Cambria Math"/>
                <w:i/>
                <w:iCs/>
              </w:rPr>
            </m:ctrlPr>
          </m:dPr>
          <m:e>
            <m:r>
              <m:rPr>
                <m:sty m:val="b"/>
              </m:rPr>
              <w:rPr>
                <w:rFonts w:ascii="Cambria Math" w:hAnsi="Cambria Math"/>
              </w:rPr>
              <m:t>y</m:t>
            </m:r>
            <m:sSup>
              <m:sSupPr>
                <m:ctrlPr>
                  <w:rPr>
                    <w:rFonts w:ascii="Cambria Math" w:hAnsi="Cambria Math"/>
                    <w:b/>
                    <w:bCs/>
                    <w:i/>
                    <w:iCs/>
                  </w:rPr>
                </m:ctrlPr>
              </m:sSupPr>
              <m:e>
                <m:r>
                  <m:rPr>
                    <m:sty m:val="b"/>
                  </m:rPr>
                  <w:rPr>
                    <w:rFonts w:ascii="Cambria Math" w:hAnsi="Cambria Math"/>
                  </w:rPr>
                  <m:t>y</m:t>
                </m:r>
              </m:e>
              <m:sup>
                <m:r>
                  <w:rPr>
                    <w:rFonts w:ascii="Cambria Math" w:hAnsi="Cambria Math"/>
                  </w:rPr>
                  <m:t>H</m:t>
                </m:r>
              </m:sup>
            </m:sSup>
          </m:e>
        </m:d>
      </m:oMath>
      <w:r w:rsidRPr="004D03AA">
        <w:rPr>
          <w:iCs/>
        </w:rPr>
        <w:t xml:space="preserve"> is a</w:t>
      </w:r>
      <w:r>
        <w:rPr>
          <w:iCs/>
        </w:rPr>
        <w:t xml:space="preserve"> Rx</w:t>
      </w:r>
      <w:r w:rsidRPr="004D03AA">
        <w:rPr>
          <w:iCs/>
        </w:rPr>
        <w:t xml:space="preserve"> covariance matrix estimate (symbol or subband-wise</w:t>
      </w:r>
      <w:r w:rsidR="00D47622">
        <w:rPr>
          <w:iCs/>
        </w:rPr>
        <w:t xml:space="preserve"> averaged over data tones</w:t>
      </w:r>
      <w:r w:rsidRPr="004D03AA">
        <w:rPr>
          <w:iCs/>
        </w:rPr>
        <w:t>)</w:t>
      </w:r>
      <w:r>
        <w:rPr>
          <w:iCs/>
        </w:rPr>
        <w:t xml:space="preserve">. Note that this approach does not guarantee the positive definitiveness of </w:t>
      </w:r>
      <m:oMath>
        <m:sSub>
          <m:sSubPr>
            <m:ctrlPr>
              <w:rPr>
                <w:rFonts w:ascii="Cambria Math" w:hAnsi="Cambria Math"/>
                <w:b/>
                <w:lang w:val="en-GB"/>
              </w:rPr>
            </m:ctrlPr>
          </m:sSubPr>
          <m:e>
            <m:acc>
              <m:accPr>
                <m:ctrlPr>
                  <w:rPr>
                    <w:rFonts w:ascii="Cambria Math" w:hAnsi="Cambria Math"/>
                    <w:b/>
                    <w:lang w:val="en-GB"/>
                  </w:rPr>
                </m:ctrlPr>
              </m:accPr>
              <m:e>
                <m:r>
                  <m:rPr>
                    <m:sty m:val="b"/>
                  </m:rPr>
                  <w:rPr>
                    <w:rFonts w:ascii="Cambria Math" w:hAnsi="Cambria Math"/>
                    <w:lang w:val="en-GB"/>
                  </w:rPr>
                  <m:t>R</m:t>
                </m:r>
              </m:e>
            </m:acc>
          </m:e>
          <m:sub>
            <m:r>
              <w:rPr>
                <w:rFonts w:ascii="Cambria Math" w:hAnsi="Cambria Math"/>
                <w:lang w:val="en-GB"/>
              </w:rPr>
              <m:t>nn</m:t>
            </m:r>
          </m:sub>
        </m:sSub>
      </m:oMath>
      <w:r w:rsidR="000173E1">
        <w:rPr>
          <w:lang w:val="en-GB"/>
        </w:rPr>
        <w:t xml:space="preserve">, so additional processing, such as regularization, may be required. </w:t>
      </w:r>
      <w:r w:rsidR="000173E1">
        <w:rPr>
          <w:iCs/>
        </w:rPr>
        <w:t>A</w:t>
      </w:r>
      <w:r w:rsidRPr="004D03AA">
        <w:t xml:space="preserve">lthough </w:t>
      </w:r>
      <w:r w:rsidR="000173E1">
        <w:t>this</w:t>
      </w:r>
      <w:r w:rsidRPr="004D03AA">
        <w:t xml:space="preserve"> approach does not require dedicated resources for bursty interference estimation</w:t>
      </w:r>
      <w:r w:rsidR="00D47622">
        <w:t xml:space="preserve"> and capture the true interference on data tones</w:t>
      </w:r>
      <w:r w:rsidRPr="004D03AA">
        <w:t>, this approach provides low estimation accuracy for small blocks (e.g.,</w:t>
      </w:r>
      <w:r w:rsidR="00D47622">
        <w:t xml:space="preserve"> due to</w:t>
      </w:r>
      <w:r w:rsidRPr="004D03AA">
        <w:t xml:space="preserve"> channel estimation error and R</w:t>
      </w:r>
      <w:r w:rsidRPr="004D03AA">
        <w:rPr>
          <w:i/>
          <w:vertAlign w:val="subscript"/>
        </w:rPr>
        <w:t>yy</w:t>
      </w:r>
      <w:r w:rsidRPr="004D03AA">
        <w:t xml:space="preserve"> estimation error)</w:t>
      </w:r>
      <w:r w:rsidR="00D47622">
        <w:t>, where the processing gain is not high enough</w:t>
      </w:r>
      <w:r w:rsidRPr="004D03AA">
        <w:t>.</w:t>
      </w:r>
    </w:p>
    <w:p w14:paraId="20A226E6" w14:textId="00192210" w:rsidR="000173E1" w:rsidRDefault="000173E1" w:rsidP="008A5DC4">
      <w:pPr>
        <w:pStyle w:val="Heading2"/>
      </w:pPr>
      <w:bookmarkStart w:id="9" w:name="_Ref485204921"/>
      <w:r>
        <w:t>Null tones for BIM</w:t>
      </w:r>
      <w:bookmarkEnd w:id="9"/>
    </w:p>
    <w:p w14:paraId="5F3C601B" w14:textId="112C2EBD" w:rsidR="000173E1" w:rsidRDefault="000173E1" w:rsidP="00E0601E">
      <w:pPr>
        <w:jc w:val="both"/>
        <w:rPr>
          <w:lang w:val="en-GB"/>
        </w:rPr>
      </w:pPr>
      <w:r>
        <w:rPr>
          <w:lang w:val="en-GB"/>
        </w:rPr>
        <w:t xml:space="preserve">As proposed in Section </w:t>
      </w:r>
      <w:r>
        <w:rPr>
          <w:lang w:val="en-GB"/>
        </w:rPr>
        <w:fldChar w:fldCharType="begin"/>
      </w:r>
      <w:r>
        <w:rPr>
          <w:lang w:val="en-GB"/>
        </w:rPr>
        <w:instrText xml:space="preserve"> REF _Ref485151100 \r \h </w:instrText>
      </w:r>
      <w:r>
        <w:rPr>
          <w:lang w:val="en-GB"/>
        </w:rPr>
      </w:r>
      <w:r>
        <w:rPr>
          <w:lang w:val="en-GB"/>
        </w:rPr>
        <w:fldChar w:fldCharType="separate"/>
      </w:r>
      <w:r w:rsidR="00EE11A6">
        <w:rPr>
          <w:lang w:val="en-GB"/>
        </w:rPr>
        <w:t>1</w:t>
      </w:r>
      <w:r>
        <w:rPr>
          <w:lang w:val="en-GB"/>
        </w:rPr>
        <w:fldChar w:fldCharType="end"/>
      </w:r>
      <w:r>
        <w:rPr>
          <w:lang w:val="en-GB"/>
        </w:rPr>
        <w:t>, we consider using dedicated resources for BIM in NR. In particular, null tone</w:t>
      </w:r>
      <w:r w:rsidR="007E583C">
        <w:rPr>
          <w:lang w:val="en-GB"/>
        </w:rPr>
        <w:t>s</w:t>
      </w:r>
      <w:r>
        <w:rPr>
          <w:lang w:val="en-GB"/>
        </w:rPr>
        <w:t xml:space="preserve"> embedded within each scheduled resource block and present on every DL symbol can be used as a BIM resource.</w:t>
      </w:r>
      <w:r w:rsidR="00E0601E">
        <w:rPr>
          <w:lang w:val="en-GB"/>
        </w:rPr>
        <w:t xml:space="preserve"> </w:t>
      </w:r>
      <w:r w:rsidR="008F3F24">
        <w:rPr>
          <w:lang w:val="en-GB"/>
        </w:rPr>
        <w:t xml:space="preserve">Compared to the previous baseline approaches using existing resources, the above approach based on dedicated BIM resource (i.e. null tones) may yield more accurate interference estimation for data tones. </w:t>
      </w:r>
      <w:r w:rsidR="00E0601E">
        <w:rPr>
          <w:lang w:val="en-GB"/>
        </w:rPr>
        <w:t xml:space="preserve">The null-tone-based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E0601E">
        <w:rPr>
          <w:lang w:val="en-GB"/>
        </w:rPr>
        <w:t xml:space="preserve"> estimation can be formulated as</w:t>
      </w:r>
    </w:p>
    <w:p w14:paraId="29A187F4" w14:textId="3A55C902" w:rsidR="007E583C" w:rsidRPr="007E583C" w:rsidRDefault="00346D54" w:rsidP="00E0601E">
      <w:pPr>
        <w:jc w:val="both"/>
        <w:rPr>
          <w:iCs/>
          <w:color w:val="404040" w:themeColor="text1" w:themeTint="BF"/>
          <w:kern w:val="24"/>
          <w:sz w:val="24"/>
          <w:szCs w:val="24"/>
        </w:rPr>
      </w:pPr>
      <m:oMathPara>
        <m:oMath>
          <m:sSub>
            <m:sSubPr>
              <m:ctrlPr>
                <w:rPr>
                  <w:rFonts w:ascii="Cambria Math" w:hAnsi="Cambria Math" w:cs="Arial"/>
                  <w:b/>
                  <w:bCs/>
                  <w:i/>
                  <w:iCs/>
                  <w:color w:val="404040" w:themeColor="text1" w:themeTint="BF"/>
                  <w:kern w:val="24"/>
                  <w:sz w:val="24"/>
                  <w:szCs w:val="24"/>
                </w:rPr>
              </m:ctrlPr>
            </m:sSubPr>
            <m:e>
              <m:acc>
                <m:accPr>
                  <m:ctrlPr>
                    <w:rPr>
                      <w:rFonts w:ascii="Cambria Math" w:hAnsi="Cambria Math" w:cs="Arial"/>
                      <w:b/>
                      <w:bCs/>
                      <w:i/>
                      <w:iCs/>
                      <w:color w:val="404040" w:themeColor="text1" w:themeTint="BF"/>
                      <w:kern w:val="24"/>
                      <w:sz w:val="24"/>
                      <w:szCs w:val="24"/>
                    </w:rPr>
                  </m:ctrlPr>
                </m:accPr>
                <m:e>
                  <m:r>
                    <m:rPr>
                      <m:sty m:val="b"/>
                    </m:rPr>
                    <w:rPr>
                      <w:rFonts w:ascii="Cambria Math" w:hAnsi="Cambria Math" w:cs="Arial"/>
                      <w:color w:val="404040" w:themeColor="text1" w:themeTint="BF"/>
                      <w:kern w:val="24"/>
                      <w:sz w:val="24"/>
                      <w:szCs w:val="24"/>
                    </w:rPr>
                    <m:t>R</m:t>
                  </m:r>
                </m:e>
              </m:acc>
            </m:e>
            <m:sub>
              <m:r>
                <w:rPr>
                  <w:rFonts w:ascii="Cambria Math" w:hAnsi="Cambria Math" w:cs="Arial"/>
                  <w:color w:val="404040" w:themeColor="text1" w:themeTint="BF"/>
                  <w:kern w:val="24"/>
                  <w:sz w:val="24"/>
                  <w:szCs w:val="24"/>
                </w:rPr>
                <m:t>nn</m:t>
              </m:r>
            </m:sub>
          </m:sSub>
          <m:r>
            <m:rPr>
              <m:sty m:val="b"/>
            </m:rPr>
            <w:rPr>
              <w:rFonts w:ascii="Cambria Math" w:hAnsi="Cambria Math" w:cs="Arial"/>
              <w:color w:val="404040" w:themeColor="text1" w:themeTint="BF"/>
              <w:kern w:val="24"/>
              <w:sz w:val="24"/>
              <w:szCs w:val="24"/>
            </w:rPr>
            <m:t>=</m:t>
          </m:r>
          <m:r>
            <m:rPr>
              <m:sty m:val="p"/>
            </m:rPr>
            <w:rPr>
              <w:rFonts w:ascii="Cambria Math" w:hAnsi="Cambria Math" w:cs="Arial"/>
              <w:color w:val="404040" w:themeColor="text1" w:themeTint="BF"/>
              <w:kern w:val="24"/>
              <w:sz w:val="24"/>
              <w:szCs w:val="24"/>
            </w:rPr>
            <m:t>avg</m:t>
          </m:r>
          <m:d>
            <m:dPr>
              <m:begChr m:val="{"/>
              <m:endChr m:val="}"/>
              <m:ctrlPr>
                <w:rPr>
                  <w:rFonts w:ascii="Cambria Math" w:hAnsi="Cambria Math" w:cs="Arial"/>
                  <w:i/>
                  <w:iCs/>
                  <w:color w:val="404040" w:themeColor="text1" w:themeTint="BF"/>
                  <w:kern w:val="24"/>
                  <w:sz w:val="24"/>
                  <w:szCs w:val="24"/>
                </w:rPr>
              </m:ctrlPr>
            </m:dPr>
            <m:e>
              <m:r>
                <m:rPr>
                  <m:sty m:val="b"/>
                </m:rPr>
                <w:rPr>
                  <w:rFonts w:ascii="Cambria Math" w:hAnsi="Cambria Math" w:cs="Arial"/>
                  <w:color w:val="404040" w:themeColor="text1" w:themeTint="BF"/>
                  <w:kern w:val="24"/>
                  <w:sz w:val="24"/>
                  <w:szCs w:val="24"/>
                </w:rPr>
                <m:t>y</m:t>
              </m:r>
              <m:sSup>
                <m:sSupPr>
                  <m:ctrlPr>
                    <w:rPr>
                      <w:rFonts w:ascii="Cambria Math" w:hAnsi="Cambria Math" w:cs="Arial"/>
                      <w:b/>
                      <w:bCs/>
                      <w:i/>
                      <w:iCs/>
                      <w:color w:val="404040" w:themeColor="text1" w:themeTint="BF"/>
                      <w:kern w:val="24"/>
                      <w:sz w:val="24"/>
                      <w:szCs w:val="24"/>
                    </w:rPr>
                  </m:ctrlPr>
                </m:sSupPr>
                <m:e>
                  <m:r>
                    <m:rPr>
                      <m:sty m:val="b"/>
                    </m:rPr>
                    <w:rPr>
                      <w:rFonts w:ascii="Cambria Math" w:hAnsi="Cambria Math" w:cs="Arial"/>
                      <w:color w:val="404040" w:themeColor="text1" w:themeTint="BF"/>
                      <w:kern w:val="24"/>
                      <w:sz w:val="24"/>
                      <w:szCs w:val="24"/>
                    </w:rPr>
                    <m:t>y</m:t>
                  </m:r>
                </m:e>
                <m:sup>
                  <m:r>
                    <w:rPr>
                      <w:rFonts w:ascii="Cambria Math" w:hAnsi="Cambria Math" w:cs="Arial"/>
                      <w:color w:val="404040" w:themeColor="text1" w:themeTint="BF"/>
                      <w:kern w:val="24"/>
                      <w:sz w:val="24"/>
                      <w:szCs w:val="24"/>
                    </w:rPr>
                    <m:t>H</m:t>
                  </m:r>
                </m:sup>
              </m:sSup>
            </m:e>
          </m:d>
          <m:r>
            <w:rPr>
              <w:rFonts w:ascii="Cambria Math" w:hAnsi="Cambria Math"/>
              <w:color w:val="404040" w:themeColor="text1" w:themeTint="BF"/>
              <w:kern w:val="24"/>
              <w:sz w:val="24"/>
              <w:szCs w:val="24"/>
            </w:rPr>
            <m:t>,</m:t>
          </m:r>
        </m:oMath>
      </m:oMathPara>
    </w:p>
    <w:p w14:paraId="0E1E81EC" w14:textId="12EEE631" w:rsidR="007E583C" w:rsidRDefault="007E583C" w:rsidP="00E0601E">
      <w:pPr>
        <w:jc w:val="both"/>
        <w:rPr>
          <w:lang w:val="en-GB"/>
        </w:rPr>
      </w:pPr>
      <w:r>
        <w:rPr>
          <w:lang w:val="en-GB"/>
        </w:rPr>
        <w:t>where the average is taken only over the dedicated null tones on each symbol. Additional regularization may be applied to take the channel estimation error into account.</w:t>
      </w:r>
    </w:p>
    <w:p w14:paraId="6D979BF6" w14:textId="7B389FBF" w:rsidR="0018309C" w:rsidRPr="0018309C" w:rsidRDefault="008F3F24" w:rsidP="00E0601E">
      <w:pPr>
        <w:jc w:val="both"/>
        <w:rPr>
          <w:lang w:val="en-GB"/>
        </w:rPr>
      </w:pPr>
      <w:r>
        <w:rPr>
          <w:lang w:val="en-GB"/>
        </w:rPr>
        <w:t xml:space="preserve">Note that the above formulation is </w:t>
      </w:r>
      <w:r w:rsidR="0032314D">
        <w:rPr>
          <w:lang w:val="en-GB"/>
        </w:rPr>
        <w:t xml:space="preserve">just for a brief explanation; </w:t>
      </w:r>
      <w:r w:rsidR="0018309C">
        <w:rPr>
          <w:lang w:val="en-GB"/>
        </w:rPr>
        <w:t xml:space="preserve">there can be more advanced null-tone-based schemes that can be chosen depending on applications and receiver capabilities. For example, the </w:t>
      </w:r>
      <w:r w:rsidR="0032314D">
        <w:rPr>
          <w:lang w:val="en-GB"/>
        </w:rPr>
        <w:t xml:space="preserve">dominant </w:t>
      </w:r>
      <w:r w:rsidR="0018309C">
        <w:rPr>
          <w:lang w:val="en-GB"/>
        </w:rPr>
        <w:t xml:space="preserve">types of bursty interference </w:t>
      </w:r>
      <w:r w:rsidR="0032314D">
        <w:rPr>
          <w:lang w:val="en-GB"/>
        </w:rPr>
        <w:t xml:space="preserve">sources </w:t>
      </w:r>
      <w:r w:rsidR="0018309C">
        <w:rPr>
          <w:lang w:val="en-GB"/>
        </w:rPr>
        <w:t xml:space="preserve">(mini-slot, cross-link interference, RS transmission, etc.) can be identified by hypothesis testing on the null tones, and a </w:t>
      </w:r>
      <w:r w:rsidR="0032314D">
        <w:rPr>
          <w:lang w:val="en-GB"/>
        </w:rPr>
        <w:t>specific</w:t>
      </w:r>
      <w:r w:rsidR="0018309C">
        <w:rPr>
          <w:lang w:val="en-GB"/>
        </w:rPr>
        <w:t xml:space="preserv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8309C">
        <w:rPr>
          <w:lang w:val="en-GB"/>
        </w:rPr>
        <w:t xml:space="preserve"> estimation or interference mitigation algorithm can be selected. </w:t>
      </w:r>
      <w:r>
        <w:rPr>
          <w:lang w:val="en-GB"/>
        </w:rPr>
        <w:t>Some hybrid schemes that use both existing (DMRS, data tones, etc) and dedicated BIM resources can also be considered.</w:t>
      </w:r>
    </w:p>
    <w:p w14:paraId="709E444A" w14:textId="52093DD4" w:rsidR="00312B68" w:rsidRPr="006929D7" w:rsidRDefault="00312B68" w:rsidP="006929D7">
      <w:pPr>
        <w:pStyle w:val="Caption"/>
        <w:jc w:val="both"/>
        <w:rPr>
          <w:i/>
          <w:lang w:val="en-GB"/>
        </w:rPr>
      </w:pPr>
      <w:bookmarkStart w:id="10" w:name="_Ref485219294"/>
      <w:bookmarkStart w:id="11" w:name="_Ref485219887"/>
      <w:r w:rsidRPr="00422672">
        <w:rPr>
          <w:i/>
        </w:rPr>
        <w:lastRenderedPageBreak/>
        <w:t xml:space="preserve">Proposal </w:t>
      </w:r>
      <w:r w:rsidRPr="00422672">
        <w:rPr>
          <w:i/>
        </w:rPr>
        <w:fldChar w:fldCharType="begin"/>
      </w:r>
      <w:r w:rsidRPr="00422672">
        <w:rPr>
          <w:i/>
        </w:rPr>
        <w:instrText xml:space="preserve"> SEQ Proposal \* ARABIC </w:instrText>
      </w:r>
      <w:r w:rsidRPr="00422672">
        <w:rPr>
          <w:i/>
        </w:rPr>
        <w:fldChar w:fldCharType="separate"/>
      </w:r>
      <w:r w:rsidR="00EE11A6">
        <w:rPr>
          <w:i/>
          <w:noProof/>
        </w:rPr>
        <w:t>2</w:t>
      </w:r>
      <w:r w:rsidRPr="00422672">
        <w:rPr>
          <w:i/>
        </w:rPr>
        <w:fldChar w:fldCharType="end"/>
      </w:r>
      <w:r w:rsidR="00A53243" w:rsidRPr="00422672">
        <w:rPr>
          <w:i/>
        </w:rPr>
        <w:t>:</w:t>
      </w:r>
      <w:r w:rsidRPr="00422672">
        <w:rPr>
          <w:i/>
        </w:rPr>
        <w:t xml:space="preserve"> </w:t>
      </w:r>
      <w:r w:rsidR="00A53243" w:rsidRPr="00422672">
        <w:rPr>
          <w:i/>
        </w:rPr>
        <w:t>Nul</w:t>
      </w:r>
      <w:r w:rsidRPr="00422672">
        <w:rPr>
          <w:i/>
        </w:rPr>
        <w:t xml:space="preserve">l tones </w:t>
      </w:r>
      <w:r w:rsidR="00A53243" w:rsidRPr="00422672">
        <w:rPr>
          <w:i/>
        </w:rPr>
        <w:t>embedded in the scheduled RBs can be used for BIM. The null tone is sparsely spaced in frequency but densely placed in time (possibly on every OFDM symbol)</w:t>
      </w:r>
      <w:bookmarkEnd w:id="10"/>
      <w:r w:rsidR="00A556D0">
        <w:rPr>
          <w:i/>
        </w:rPr>
        <w:t>.</w:t>
      </w:r>
      <w:bookmarkEnd w:id="11"/>
    </w:p>
    <w:p w14:paraId="4396D0EA" w14:textId="33957CFB" w:rsidR="000173E1" w:rsidRDefault="00156FB7" w:rsidP="008A5DC4">
      <w:pPr>
        <w:pStyle w:val="Heading2"/>
      </w:pPr>
      <w:r>
        <w:t>Configuration of BIM</w:t>
      </w:r>
    </w:p>
    <w:p w14:paraId="3279010E" w14:textId="0319DEFA" w:rsidR="00312B68" w:rsidRDefault="00312B68" w:rsidP="00D92DDF">
      <w:pPr>
        <w:jc w:val="both"/>
      </w:pPr>
      <w:r>
        <w:t>The configuration of BIM resources can depend on a plurality of factors. For instance, such factors may include:  long-term interference statistics (e.g., conventional interference measurement using CSI-RS and IMR); UE capability (e.g. receiver type (MMSE, MMSE-IRC, etc.), number of Rx antenna</w:t>
      </w:r>
      <w:r w:rsidR="00D92DDF">
        <w:t>s</w:t>
      </w:r>
      <w:r>
        <w:t>, etc.); transport block size (e.g., number of assigned resource blocks) or a modulation and coding scheme (MCS)</w:t>
      </w:r>
      <w:r w:rsidR="00A53243">
        <w:t xml:space="preserve">, etc. In other words, the configuration should be UE-specific, and </w:t>
      </w:r>
      <w:r w:rsidR="00D92DDF">
        <w:t xml:space="preserve">a </w:t>
      </w:r>
      <w:r w:rsidR="00A53243">
        <w:t xml:space="preserve">beam-specific configuration can further be considered for mmWave. Also, </w:t>
      </w:r>
      <w:r w:rsidR="00D47622">
        <w:t xml:space="preserve">since </w:t>
      </w:r>
      <w:r w:rsidR="00A53243">
        <w:t>the interference characteristic can be different for sub-6 and mmWave, the configuration needs to be band-specific.</w:t>
      </w:r>
    </w:p>
    <w:p w14:paraId="1D292448" w14:textId="048C2DE3" w:rsidR="00422672" w:rsidRDefault="00A6147C" w:rsidP="00422672">
      <w:pPr>
        <w:jc w:val="both"/>
      </w:pPr>
      <w:r>
        <w:t>BIM may not be needed in all cases, and hence t</w:t>
      </w:r>
      <w:r w:rsidR="00D92DDF">
        <w:t xml:space="preserve">riggering of BIM </w:t>
      </w:r>
      <w:r>
        <w:t xml:space="preserve">should be adaptively determined </w:t>
      </w:r>
      <w:r w:rsidR="00D92DDF">
        <w:t>depend</w:t>
      </w:r>
      <w:r>
        <w:t>ing</w:t>
      </w:r>
      <w:r w:rsidR="00D92DDF">
        <w:t xml:space="preserve"> on various factors.</w:t>
      </w:r>
      <w:r w:rsidR="00312B68">
        <w:t xml:space="preserve"> For instance, depending on the </w:t>
      </w:r>
      <w:r w:rsidR="00D92DDF">
        <w:t xml:space="preserve">burstiness of </w:t>
      </w:r>
      <w:r w:rsidR="00312B68">
        <w:t xml:space="preserve">interference, it is contemplated that BIM may be </w:t>
      </w:r>
      <w:r w:rsidR="00D92DDF">
        <w:t xml:space="preserve">enabled </w:t>
      </w:r>
      <w:r w:rsidR="00312B68">
        <w:t xml:space="preserve">on a per-symbol or, at least, per-slot basis. </w:t>
      </w:r>
      <w:r w:rsidR="00D92DDF">
        <w:t xml:space="preserve">The burstiness of interference in upcoming slots can be predicted at TRPs through backhaul signaling </w:t>
      </w:r>
      <w:r w:rsidR="00CA1420">
        <w:t>similar to ICIC in Rel. 8 LTE. Otherwise, the bursty interference can be detected at UEs by monitoring code block-wise error events, and reported to TRPs for reactive triggering of BIM or CBG-based transmission in subsequent slots.</w:t>
      </w:r>
    </w:p>
    <w:p w14:paraId="1C9287F1" w14:textId="78DD4DEB" w:rsidR="00B105CA" w:rsidRDefault="00CA1420" w:rsidP="00422672">
      <w:pPr>
        <w:pStyle w:val="Heading2"/>
      </w:pPr>
      <w:r>
        <w:t>BIM resources in NR</w:t>
      </w:r>
    </w:p>
    <w:p w14:paraId="2D21B8F4" w14:textId="0C84D285" w:rsidR="00D470B2" w:rsidRDefault="00D470B2" w:rsidP="00A05BB6">
      <w:pPr>
        <w:jc w:val="both"/>
        <w:rPr>
          <w:lang w:val="en-GB"/>
        </w:rPr>
      </w:pPr>
      <w:r>
        <w:rPr>
          <w:lang w:val="en-GB"/>
        </w:rPr>
        <w:t>In NR, for the sake of com</w:t>
      </w:r>
      <w:r w:rsidR="005B3403">
        <w:rPr>
          <w:lang w:val="en-GB"/>
        </w:rPr>
        <w:t>pact</w:t>
      </w:r>
      <w:r>
        <w:rPr>
          <w:lang w:val="en-GB"/>
        </w:rPr>
        <w:t xml:space="preserve"> and streamlined design, reusing existing RS configurations for BIM would be preferred instead of introducing a new type of resources for BIM. For instance, as discussed in Section </w:t>
      </w:r>
      <w:r>
        <w:rPr>
          <w:lang w:val="en-GB"/>
        </w:rPr>
        <w:fldChar w:fldCharType="begin"/>
      </w:r>
      <w:r>
        <w:rPr>
          <w:lang w:val="en-GB"/>
        </w:rPr>
        <w:instrText xml:space="preserve"> REF _Ref485201365 \r \h </w:instrText>
      </w:r>
      <w:r>
        <w:rPr>
          <w:lang w:val="en-GB"/>
        </w:rPr>
      </w:r>
      <w:r>
        <w:rPr>
          <w:lang w:val="en-GB"/>
        </w:rPr>
        <w:fldChar w:fldCharType="separate"/>
      </w:r>
      <w:r w:rsidR="00EE11A6">
        <w:rPr>
          <w:lang w:val="en-GB"/>
        </w:rPr>
        <w:t>2.1</w:t>
      </w:r>
      <w:r>
        <w:rPr>
          <w:lang w:val="en-GB"/>
        </w:rPr>
        <w:fldChar w:fldCharType="end"/>
      </w:r>
      <w:r>
        <w:rPr>
          <w:lang w:val="en-GB"/>
        </w:rPr>
        <w:t xml:space="preserve">, DMRS can be used for BIM. However, according to the NR agreements and WAs up to RAN1 #89, </w:t>
      </w:r>
      <w:r w:rsidR="00DD41AA">
        <w:rPr>
          <w:lang w:val="en-GB"/>
        </w:rPr>
        <w:t xml:space="preserve">DMRS has high tone density in frequency on several (front) symbols and may not have enough time-domain density for BIM. CSI-RS has similar issues; its density (RE/port/PRB) may not be high enough for BIM, and also it is not always assigned with </w:t>
      </w:r>
      <w:r w:rsidR="00A85A5C">
        <w:rPr>
          <w:lang w:val="en-GB"/>
        </w:rPr>
        <w:t>scheduled data.</w:t>
      </w:r>
    </w:p>
    <w:p w14:paraId="4ECFFA61" w14:textId="0FBFDEE3" w:rsidR="00A85A5C" w:rsidRDefault="00A85A5C" w:rsidP="00A05BB6">
      <w:pPr>
        <w:jc w:val="both"/>
        <w:rPr>
          <w:lang w:val="en-GB"/>
        </w:rPr>
      </w:pPr>
      <w:r>
        <w:rPr>
          <w:lang w:val="en-GB"/>
        </w:rPr>
        <w:t>PTRS, on the other hand, seems to be the best candidate whose configuration can be re</w:t>
      </w:r>
      <w:r w:rsidR="005B3403">
        <w:rPr>
          <w:lang w:val="en-GB"/>
        </w:rPr>
        <w:t>used</w:t>
      </w:r>
      <w:r>
        <w:rPr>
          <w:lang w:val="en-GB"/>
        </w:rPr>
        <w:t xml:space="preserve"> for BIM purpose. Indeed, the time-domain density of PTRS can be configured to be high enough for BIM, and also UE-specific (MCS/BW dependent) configuration is supported. </w:t>
      </w:r>
      <w:r w:rsidR="005B3403">
        <w:rPr>
          <w:lang w:val="en-GB"/>
        </w:rPr>
        <w:t>Moreover, in low-frequencies, such as in sub-6, bursty interference is more problematic than CPE. Since PTRS for CPE estimation is mainly targeting high-frequency systems such as mmWave, it would be desirable to repackage PTRS for BIM in sub-6.</w:t>
      </w:r>
    </w:p>
    <w:p w14:paraId="0A754A76" w14:textId="7B417438" w:rsidR="00D470B2" w:rsidRPr="00B63AED" w:rsidRDefault="00422672" w:rsidP="00B02728">
      <w:pPr>
        <w:pStyle w:val="Caption"/>
        <w:jc w:val="both"/>
        <w:rPr>
          <w:i/>
          <w:lang w:val="en-GB"/>
        </w:rPr>
      </w:pPr>
      <w:bookmarkStart w:id="12" w:name="_Ref485219301"/>
      <w:r w:rsidRPr="00B63AED">
        <w:rPr>
          <w:i/>
        </w:rPr>
        <w:t xml:space="preserve">Proposal </w:t>
      </w:r>
      <w:r w:rsidRPr="00B63AED">
        <w:rPr>
          <w:i/>
        </w:rPr>
        <w:fldChar w:fldCharType="begin"/>
      </w:r>
      <w:r w:rsidRPr="00B63AED">
        <w:rPr>
          <w:i/>
        </w:rPr>
        <w:instrText xml:space="preserve"> SEQ Proposal \* ARABIC </w:instrText>
      </w:r>
      <w:r w:rsidRPr="00B63AED">
        <w:rPr>
          <w:i/>
        </w:rPr>
        <w:fldChar w:fldCharType="separate"/>
      </w:r>
      <w:r w:rsidR="00EE11A6">
        <w:rPr>
          <w:i/>
          <w:noProof/>
        </w:rPr>
        <w:t>3</w:t>
      </w:r>
      <w:r w:rsidRPr="00B63AED">
        <w:rPr>
          <w:i/>
        </w:rPr>
        <w:fldChar w:fldCharType="end"/>
      </w:r>
      <w:r w:rsidRPr="00B63AED">
        <w:rPr>
          <w:i/>
        </w:rPr>
        <w:t>: In NR, PTRS configuration can be reused for BIM.</w:t>
      </w:r>
      <w:bookmarkEnd w:id="12"/>
    </w:p>
    <w:p w14:paraId="062681F6" w14:textId="25A13562" w:rsidR="001C7868" w:rsidRDefault="00B63AED" w:rsidP="00A05BB6">
      <w:pPr>
        <w:jc w:val="both"/>
        <w:rPr>
          <w:lang w:val="en-GB"/>
        </w:rPr>
      </w:pPr>
      <w:r>
        <w:rPr>
          <w:lang w:val="en-GB"/>
        </w:rPr>
        <w:t xml:space="preserve">If </w:t>
      </w:r>
      <w:r w:rsidR="00AB50D6">
        <w:rPr>
          <w:lang w:val="en-GB"/>
        </w:rPr>
        <w:t xml:space="preserve">a PTRS tone is assigned along with scheduled data, it can be used for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AB50D6">
        <w:rPr>
          <w:lang w:val="en-GB"/>
        </w:rPr>
        <w:t xml:space="preserve"> estimation in the same way as the DMRS-based method described in Section </w:t>
      </w:r>
      <w:r w:rsidR="00AB50D6">
        <w:rPr>
          <w:lang w:val="en-GB"/>
        </w:rPr>
        <w:fldChar w:fldCharType="begin"/>
      </w:r>
      <w:r w:rsidR="00AB50D6">
        <w:rPr>
          <w:lang w:val="en-GB"/>
        </w:rPr>
        <w:instrText xml:space="preserve"> REF _Ref485201365 \r \h </w:instrText>
      </w:r>
      <w:r w:rsidR="00AB50D6">
        <w:rPr>
          <w:lang w:val="en-GB"/>
        </w:rPr>
      </w:r>
      <w:r w:rsidR="00AB50D6">
        <w:rPr>
          <w:lang w:val="en-GB"/>
        </w:rPr>
        <w:fldChar w:fldCharType="separate"/>
      </w:r>
      <w:r w:rsidR="00EE11A6">
        <w:rPr>
          <w:lang w:val="en-GB"/>
        </w:rPr>
        <w:t>2.1</w:t>
      </w:r>
      <w:r w:rsidR="00AB50D6">
        <w:rPr>
          <w:lang w:val="en-GB"/>
        </w:rPr>
        <w:fldChar w:fldCharType="end"/>
      </w:r>
      <w:r w:rsidR="00AB50D6">
        <w:rPr>
          <w:lang w:val="en-GB"/>
        </w:rPr>
        <w:t xml:space="preserve">. However, for improved accuracy and reduced Rx processing loads, it is particularly desirable to have null tones instead of non-zero power RS tones, as discussed in Section </w:t>
      </w:r>
      <w:r w:rsidR="00AB50D6">
        <w:rPr>
          <w:lang w:val="en-GB"/>
        </w:rPr>
        <w:fldChar w:fldCharType="begin"/>
      </w:r>
      <w:r w:rsidR="00AB50D6">
        <w:rPr>
          <w:lang w:val="en-GB"/>
        </w:rPr>
        <w:instrText xml:space="preserve"> REF _Ref485204921 \r \h </w:instrText>
      </w:r>
      <w:r w:rsidR="00AB50D6">
        <w:rPr>
          <w:lang w:val="en-GB"/>
        </w:rPr>
      </w:r>
      <w:r w:rsidR="00AB50D6">
        <w:rPr>
          <w:lang w:val="en-GB"/>
        </w:rPr>
        <w:fldChar w:fldCharType="separate"/>
      </w:r>
      <w:r w:rsidR="00EE11A6">
        <w:rPr>
          <w:lang w:val="en-GB"/>
        </w:rPr>
        <w:t>2.2</w:t>
      </w:r>
      <w:r w:rsidR="00AB50D6">
        <w:rPr>
          <w:lang w:val="en-GB"/>
        </w:rPr>
        <w:fldChar w:fldCharType="end"/>
      </w:r>
      <w:r w:rsidR="00AB50D6">
        <w:rPr>
          <w:lang w:val="en-GB"/>
        </w:rPr>
        <w:t xml:space="preserve">. In this light, we propose to introduce </w:t>
      </w:r>
      <w:r w:rsidR="004C2166">
        <w:rPr>
          <w:lang w:val="en-GB"/>
        </w:rPr>
        <w:t>multiple puncturing patterns of PTRS tones. The puncturing patterns can also include entire puncturing, which corresponds to zero-power PTRS.</w:t>
      </w:r>
    </w:p>
    <w:p w14:paraId="660F5835" w14:textId="6B50A94D" w:rsidR="007303CF" w:rsidRDefault="001A47DB" w:rsidP="00A05BB6">
      <w:pPr>
        <w:jc w:val="both"/>
        <w:rPr>
          <w:lang w:val="en-GB"/>
        </w:rPr>
      </w:pPr>
      <w:r>
        <w:rPr>
          <w:lang w:val="en-GB"/>
        </w:rPr>
        <w:t xml:space="preserve">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some exemplary PTRS configuration for BIM are illustrated.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(a) and (b) show the ordinary PTRS configuration where the PTRS tones present on every and every 2</w:t>
      </w:r>
      <w:r w:rsidRPr="001A47DB">
        <w:rPr>
          <w:vertAlign w:val="superscript"/>
          <w:lang w:val="en-GB"/>
        </w:rPr>
        <w:t>nd</w:t>
      </w:r>
      <w:r>
        <w:rPr>
          <w:lang w:val="en-GB"/>
        </w:rPr>
        <w:t xml:space="preserve"> symbol, respectively. 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(c), every 2</w:t>
      </w:r>
      <w:r w:rsidRPr="001A47DB">
        <w:rPr>
          <w:vertAlign w:val="superscript"/>
          <w:lang w:val="en-GB"/>
        </w:rPr>
        <w:t>nd</w:t>
      </w:r>
      <w:r>
        <w:rPr>
          <w:lang w:val="en-GB"/>
        </w:rPr>
        <w:t xml:space="preserve"> PTRS symbol is punctured to place null tones for BIM</w:t>
      </w:r>
      <w:r w:rsidR="00C06AEE">
        <w:rPr>
          <w:lang w:val="en-GB"/>
        </w:rPr>
        <w:t xml:space="preserve">, while the un-punctured PTRS tones can still be used for CPE estimation. Similarly, in </w:t>
      </w:r>
      <w:r w:rsidR="00C06AEE">
        <w:rPr>
          <w:lang w:val="en-GB"/>
        </w:rPr>
        <w:fldChar w:fldCharType="begin"/>
      </w:r>
      <w:r w:rsidR="00C06AEE">
        <w:rPr>
          <w:lang w:val="en-GB"/>
        </w:rPr>
        <w:instrText xml:space="preserve"> REF _Ref485216143 \h </w:instrText>
      </w:r>
      <w:r w:rsidR="00C06AEE">
        <w:rPr>
          <w:lang w:val="en-GB"/>
        </w:rPr>
      </w:r>
      <w:r w:rsidR="00C06AEE">
        <w:rPr>
          <w:lang w:val="en-GB"/>
        </w:rPr>
        <w:fldChar w:fldCharType="separate"/>
      </w:r>
      <w:r w:rsidR="00EE11A6">
        <w:t xml:space="preserve">Figure </w:t>
      </w:r>
      <w:r w:rsidR="00EE11A6">
        <w:rPr>
          <w:noProof/>
        </w:rPr>
        <w:t>2</w:t>
      </w:r>
      <w:r w:rsidR="00C06AEE">
        <w:rPr>
          <w:lang w:val="en-GB"/>
        </w:rPr>
        <w:fldChar w:fldCharType="end"/>
      </w:r>
      <w:r w:rsidR="00C06AEE">
        <w:rPr>
          <w:lang w:val="en-GB"/>
        </w:rPr>
        <w:t xml:space="preserve"> (d), all PTRS symbols are punctured to form ZP-PTRS, which can solely be used for BIM.</w:t>
      </w:r>
    </w:p>
    <w:p w14:paraId="658CB216" w14:textId="2FA426A5" w:rsidR="00C06AEE" w:rsidRDefault="0094031D" w:rsidP="00A05BB6">
      <w:pPr>
        <w:jc w:val="both"/>
        <w:rPr>
          <w:lang w:val="en-GB"/>
        </w:rPr>
      </w:pPr>
      <w:r>
        <w:rPr>
          <w:lang w:val="en-GB"/>
        </w:rPr>
        <w:t>Besides PTRS puncturing, t</w:t>
      </w:r>
      <w:r w:rsidR="004C2166">
        <w:rPr>
          <w:lang w:val="en-GB"/>
        </w:rPr>
        <w:t xml:space="preserve">here are many other aspects in the current PTRS framework that need </w:t>
      </w:r>
      <w:r>
        <w:rPr>
          <w:lang w:val="en-GB"/>
        </w:rPr>
        <w:t>modification to support BIM. For instance, the PTRS/null-tone assignment should depend on the use cases, i.e., whether it is used for either CPE estimation or BIM, or for both. Also, flexible PTRS/null-tone placement within a PRB needs to be supported to capture the interference from data tones of neighboring cells</w:t>
      </w:r>
      <w:r w:rsidR="00B02728">
        <w:rPr>
          <w:lang w:val="en-GB"/>
        </w:rPr>
        <w:t xml:space="preserve">: </w:t>
      </w:r>
      <w:r w:rsidR="00C37EC8">
        <w:rPr>
          <w:lang w:val="en-GB"/>
        </w:rPr>
        <w:t xml:space="preserve">a </w:t>
      </w:r>
      <w:r>
        <w:rPr>
          <w:lang w:val="en-GB"/>
        </w:rPr>
        <w:t xml:space="preserve">fixed PTRS </w:t>
      </w:r>
      <w:r w:rsidR="00C37EC8">
        <w:rPr>
          <w:lang w:val="en-GB"/>
        </w:rPr>
        <w:t>subcarrier index</w:t>
      </w:r>
      <w:r>
        <w:rPr>
          <w:lang w:val="en-GB"/>
        </w:rPr>
        <w:t xml:space="preserve">, which collides with the other PTRS </w:t>
      </w:r>
      <w:r w:rsidR="00C37EC8">
        <w:rPr>
          <w:lang w:val="en-GB"/>
        </w:rPr>
        <w:t xml:space="preserve">subcarriers </w:t>
      </w:r>
      <w:r>
        <w:rPr>
          <w:lang w:val="en-GB"/>
        </w:rPr>
        <w:t xml:space="preserve">of neighboring cells would not capture the correct bursty </w:t>
      </w:r>
      <w:r w:rsidR="001C7868">
        <w:rPr>
          <w:lang w:val="en-GB"/>
        </w:rPr>
        <w:t xml:space="preserve">nature of </w:t>
      </w:r>
      <w:r>
        <w:rPr>
          <w:lang w:val="en-GB"/>
        </w:rPr>
        <w:t xml:space="preserve">interference. </w:t>
      </w:r>
      <w:r w:rsidR="00C06AEE">
        <w:rPr>
          <w:lang w:val="en-GB"/>
        </w:rPr>
        <w:t xml:space="preserve">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sidR="00C06AEE">
        <w:rPr>
          <w:lang w:val="en-GB"/>
        </w:rPr>
        <w:t>, there was a relevant agreement:</w:t>
      </w:r>
    </w:p>
    <w:p w14:paraId="5199AFC3" w14:textId="007C0EA8" w:rsidR="00C06AEE" w:rsidRDefault="00C06AEE" w:rsidP="00C06AEE">
      <w:pPr>
        <w:numPr>
          <w:ilvl w:val="0"/>
          <w:numId w:val="28"/>
        </w:numPr>
        <w:overflowPunct/>
        <w:autoSpaceDE/>
        <w:adjustRightInd/>
        <w:spacing w:after="0"/>
        <w:jc w:val="both"/>
        <w:textAlignment w:val="auto"/>
        <w:rPr>
          <w:rFonts w:eastAsia="MS Mincho"/>
          <w:lang w:eastAsia="ja-JP"/>
        </w:rPr>
      </w:pPr>
      <w:r w:rsidRPr="00C06AEE">
        <w:rPr>
          <w:rFonts w:eastAsia="MS Mincho"/>
          <w:lang w:eastAsia="ja-JP"/>
        </w:rPr>
        <w:t>For a given RB, if present, one PTRS port should be mapped on one subcarrier carrying one or more DMRS ports of the associated DMRS port group</w:t>
      </w:r>
    </w:p>
    <w:p w14:paraId="0FF8AE60" w14:textId="191AFD4E" w:rsidR="00C06AEE" w:rsidRDefault="00C06AEE" w:rsidP="00C06AEE">
      <w:pPr>
        <w:numPr>
          <w:ilvl w:val="1"/>
          <w:numId w:val="28"/>
        </w:numPr>
        <w:overflowPunct/>
        <w:autoSpaceDE/>
        <w:adjustRightInd/>
        <w:spacing w:after="0"/>
        <w:jc w:val="both"/>
        <w:textAlignment w:val="auto"/>
        <w:rPr>
          <w:rFonts w:eastAsia="MS Mincho"/>
          <w:lang w:eastAsia="ja-JP"/>
        </w:rPr>
      </w:pPr>
      <w:r w:rsidRPr="00C06AEE">
        <w:rPr>
          <w:rFonts w:eastAsia="MS Mincho"/>
          <w:lang w:eastAsia="ja-JP"/>
        </w:rPr>
        <w:t>FFS: to support different subcarriers by complementary option</w:t>
      </w:r>
    </w:p>
    <w:tbl>
      <w:tblPr>
        <w:tblStyle w:val="TableGrid"/>
        <w:tblpPr w:leftFromText="187" w:rightFromText="187" w:vertAnchor="page" w:horzAnchor="margin" w:tblpXSpec="center" w:tblpY="147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CA3B493" w14:textId="77777777" w:rsidTr="001C3DA6">
        <w:trPr>
          <w:cantSplit/>
          <w:jc w:val="center"/>
        </w:trPr>
        <w:tc>
          <w:tcPr>
            <w:tcW w:w="9962" w:type="dxa"/>
            <w:vAlign w:val="center"/>
          </w:tcPr>
          <w:p w14:paraId="3D1AEA85" w14:textId="77777777" w:rsidR="00FC791A" w:rsidRDefault="00FC791A" w:rsidP="001C3DA6">
            <w:pPr>
              <w:jc w:val="center"/>
              <w:rPr>
                <w:lang w:val="en-GB"/>
              </w:rPr>
            </w:pPr>
            <w:r>
              <w:object w:dxaOrig="6725" w:dyaOrig="6376" w14:anchorId="7222D38E">
                <v:shape id="_x0000_i1026" type="#_x0000_t75" style="width:335.8pt;height:318.55pt" o:ole="">
                  <v:imagedata r:id="rId14" o:title=""/>
                </v:shape>
                <o:OLEObject Type="Embed" ProgID="Visio.Drawing.11" ShapeID="_x0000_i1026" DrawAspect="Content" ObjectID="_1559151716" r:id="rId15"/>
              </w:object>
            </w:r>
          </w:p>
        </w:tc>
      </w:tr>
      <w:tr w:rsidR="00FC791A" w14:paraId="7B4EADC4" w14:textId="77777777" w:rsidTr="001C3DA6">
        <w:trPr>
          <w:cantSplit/>
          <w:jc w:val="center"/>
        </w:trPr>
        <w:tc>
          <w:tcPr>
            <w:tcW w:w="9962" w:type="dxa"/>
            <w:vAlign w:val="center"/>
          </w:tcPr>
          <w:p w14:paraId="3F535773" w14:textId="1E3FABCA" w:rsidR="00FC791A" w:rsidRPr="00FC791A" w:rsidRDefault="00FC791A" w:rsidP="006929D7">
            <w:pPr>
              <w:pStyle w:val="Caption"/>
              <w:jc w:val="center"/>
            </w:pPr>
            <w:bookmarkStart w:id="13" w:name="_Ref485216143"/>
            <w:r>
              <w:t xml:space="preserve">Figure </w:t>
            </w:r>
            <w:fldSimple w:instr=" SEQ Figure \* ARABIC ">
              <w:r w:rsidR="00EE11A6">
                <w:rPr>
                  <w:noProof/>
                </w:rPr>
                <w:t>2</w:t>
              </w:r>
            </w:fldSimple>
            <w:bookmarkEnd w:id="13"/>
            <w:r>
              <w:t>. (a) PTRS in every symbol, (b) PTRS in every 2</w:t>
            </w:r>
            <w:r w:rsidRPr="001A47DB">
              <w:rPr>
                <w:vertAlign w:val="superscript"/>
              </w:rPr>
              <w:t>nd</w:t>
            </w:r>
            <w:r>
              <w:t xml:space="preserve"> symbol, (c) punctured PTRS, (d) ZP-PTRS</w:t>
            </w:r>
          </w:p>
        </w:tc>
      </w:tr>
    </w:tbl>
    <w:p w14:paraId="50CE221B" w14:textId="44283B9B" w:rsidR="004C2166" w:rsidRDefault="00C06AEE" w:rsidP="00A05BB6">
      <w:pPr>
        <w:jc w:val="both"/>
        <w:rPr>
          <w:lang w:val="en-GB"/>
        </w:rPr>
      </w:pPr>
      <w:r>
        <w:rPr>
          <w:lang w:val="en-GB"/>
        </w:rPr>
        <w:t xml:space="preserve">It is FFS whether this is sufficient to support flexible PTRS </w:t>
      </w:r>
      <w:r w:rsidR="00C37EC8">
        <w:rPr>
          <w:lang w:val="en-GB"/>
        </w:rPr>
        <w:t>subcarrier placement</w:t>
      </w:r>
      <w:r w:rsidR="00B02728">
        <w:rPr>
          <w:lang w:val="en-GB"/>
        </w:rPr>
        <w:t xml:space="preserve"> for BIM</w:t>
      </w:r>
      <w:r w:rsidR="00C37EC8">
        <w:rPr>
          <w:lang w:val="en-GB"/>
        </w:rPr>
        <w:t>. However, as a complementary option, it would be desirable to have t</w:t>
      </w:r>
      <w:r w:rsidR="00F82DB5">
        <w:rPr>
          <w:lang w:val="en-GB"/>
        </w:rPr>
        <w:t xml:space="preserve">he PTRS/null-tone </w:t>
      </w:r>
      <w:r w:rsidR="00C37EC8">
        <w:rPr>
          <w:lang w:val="en-GB"/>
        </w:rPr>
        <w:t>subcarrier indices</w:t>
      </w:r>
      <w:r w:rsidR="00F82DB5">
        <w:rPr>
          <w:lang w:val="en-GB"/>
        </w:rPr>
        <w:t xml:space="preserve"> within a PRB be explicitly determined by higher layer</w:t>
      </w:r>
      <w:r w:rsidR="00AB136E">
        <w:rPr>
          <w:lang w:val="en-GB"/>
        </w:rPr>
        <w:t>s</w:t>
      </w:r>
      <w:r w:rsidR="00F82DB5">
        <w:rPr>
          <w:lang w:val="en-GB"/>
        </w:rPr>
        <w:t xml:space="preserve">, or </w:t>
      </w:r>
      <w:r w:rsidR="00AB136E">
        <w:rPr>
          <w:lang w:val="en-GB"/>
        </w:rPr>
        <w:t>implicitly determined by (virtual) cell-ID-based offset</w:t>
      </w:r>
      <w:r w:rsidR="007869F9">
        <w:rPr>
          <w:lang w:val="en-GB"/>
        </w:rPr>
        <w:t>/hopping pattern</w:t>
      </w:r>
      <w:r w:rsidR="00AB136E">
        <w:rPr>
          <w:lang w:val="en-GB"/>
        </w:rPr>
        <w:t>.</w:t>
      </w:r>
      <w:r w:rsidR="001C7868">
        <w:rPr>
          <w:lang w:val="en-GB"/>
        </w:rPr>
        <w:t xml:space="preserve"> </w:t>
      </w:r>
    </w:p>
    <w:p w14:paraId="52CDD754" w14:textId="6C4D6DAB" w:rsidR="004C2166" w:rsidRDefault="001C7868" w:rsidP="00083031">
      <w:pPr>
        <w:spacing w:after="0"/>
        <w:jc w:val="both"/>
        <w:rPr>
          <w:lang w:val="en-GB"/>
        </w:rPr>
      </w:pPr>
      <w:r>
        <w:rPr>
          <w:lang w:val="en-GB"/>
        </w:rPr>
        <w:t>In RAN1 #8</w:t>
      </w:r>
      <w:r w:rsidR="001E2FFB">
        <w:rPr>
          <w:lang w:val="en-GB"/>
        </w:rPr>
        <w:t>8</w:t>
      </w:r>
      <w:r>
        <w:rPr>
          <w:lang w:val="en-GB"/>
        </w:rPr>
        <w:t xml:space="preserve"> meeting </w:t>
      </w:r>
      <w:r w:rsidR="0096114E">
        <w:rPr>
          <w:lang w:val="en-GB"/>
        </w:rPr>
        <w:fldChar w:fldCharType="begin"/>
      </w:r>
      <w:r w:rsidR="0096114E">
        <w:rPr>
          <w:lang w:val="en-GB"/>
        </w:rPr>
        <w:instrText xml:space="preserve"> REF _Ref485219460 \r \h </w:instrText>
      </w:r>
      <w:r w:rsidR="0096114E">
        <w:rPr>
          <w:lang w:val="en-GB"/>
        </w:rPr>
      </w:r>
      <w:r w:rsidR="0096114E">
        <w:rPr>
          <w:lang w:val="en-GB"/>
        </w:rPr>
        <w:fldChar w:fldCharType="separate"/>
      </w:r>
      <w:r w:rsidR="00EE11A6">
        <w:rPr>
          <w:lang w:val="en-GB"/>
        </w:rPr>
        <w:t>[1]</w:t>
      </w:r>
      <w:r w:rsidR="0096114E">
        <w:rPr>
          <w:lang w:val="en-GB"/>
        </w:rPr>
        <w:fldChar w:fldCharType="end"/>
      </w:r>
      <w:r>
        <w:rPr>
          <w:lang w:val="en-GB"/>
        </w:rPr>
        <w:t>, the following was agreed:</w:t>
      </w:r>
    </w:p>
    <w:p w14:paraId="264B7F77" w14:textId="4903DFB5" w:rsidR="001E2FFB" w:rsidRPr="00B328AE" w:rsidRDefault="001E2FFB" w:rsidP="00083031">
      <w:pPr>
        <w:numPr>
          <w:ilvl w:val="0"/>
          <w:numId w:val="28"/>
        </w:numPr>
        <w:overflowPunct/>
        <w:autoSpaceDE/>
        <w:adjustRightInd/>
        <w:spacing w:after="0"/>
        <w:jc w:val="both"/>
        <w:textAlignment w:val="auto"/>
        <w:rPr>
          <w:rFonts w:eastAsia="MS Mincho"/>
          <w:i/>
          <w:lang w:eastAsia="ja-JP"/>
        </w:rPr>
      </w:pPr>
      <w:r w:rsidRPr="00B328AE">
        <w:rPr>
          <w:rFonts w:eastAsia="MS Mincho"/>
          <w:i/>
          <w:lang w:eastAsia="ja-JP"/>
        </w:rPr>
        <w:t>Presence/patterns of PT-RS are configured by a combination of RRC signaling and association with parameter(s) used for other purposes (e.g., MCS) which are</w:t>
      </w:r>
      <w:r w:rsidR="00375FFA" w:rsidRPr="00B328AE">
        <w:rPr>
          <w:rFonts w:eastAsia="MS Mincho"/>
          <w:i/>
          <w:lang w:eastAsia="ja-JP"/>
        </w:rPr>
        <w:t xml:space="preserve"> (dynamically) indicated by DCI</w:t>
      </w:r>
    </w:p>
    <w:p w14:paraId="3965B9F1" w14:textId="304165DA" w:rsidR="001E2FFB" w:rsidRPr="00B328AE" w:rsidRDefault="001E2FFB" w:rsidP="00083031">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Whether PT-RS can be present or n</w:t>
      </w:r>
      <w:r w:rsidR="00375FFA" w:rsidRPr="00B328AE">
        <w:rPr>
          <w:rFonts w:eastAsia="MS Mincho"/>
          <w:i/>
          <w:lang w:eastAsia="ja-JP"/>
        </w:rPr>
        <w:t>ot depends on RRC configuration</w:t>
      </w:r>
      <w:r w:rsidRPr="00B328AE">
        <w:rPr>
          <w:rFonts w:eastAsia="MS Mincho"/>
          <w:i/>
          <w:lang w:eastAsia="ja-JP"/>
        </w:rPr>
        <w:t xml:space="preserve"> </w:t>
      </w:r>
    </w:p>
    <w:p w14:paraId="0E9B37DB" w14:textId="77777777"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When configured, the dynamic presence is associated with DCI parameter(s) including at least MCS</w:t>
      </w:r>
    </w:p>
    <w:p w14:paraId="73BA9636" w14:textId="16FB5B2E"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FFS: Time domain density is associated wit</w:t>
      </w:r>
      <w:r w:rsidR="00375FFA" w:rsidRPr="00B328AE">
        <w:rPr>
          <w:rFonts w:eastAsia="MS Mincho"/>
          <w:i/>
          <w:lang w:eastAsia="ja-JP"/>
        </w:rPr>
        <w:t>h dynamic configuration by MCS</w:t>
      </w:r>
    </w:p>
    <w:p w14:paraId="582184A9" w14:textId="602EDB44"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When present, frequency domain density is associated with at least dynamic configuration </w:t>
      </w:r>
      <w:r w:rsidR="00375FFA" w:rsidRPr="00B328AE">
        <w:rPr>
          <w:rFonts w:eastAsia="MS Mincho"/>
          <w:i/>
          <w:lang w:eastAsia="ja-JP"/>
        </w:rPr>
        <w:t>of the scheduled BW</w:t>
      </w:r>
    </w:p>
    <w:p w14:paraId="18EB28BB" w14:textId="2E9D91A6"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FFS: Frequency domain density is associated wit</w:t>
      </w:r>
      <w:r w:rsidR="00375FFA" w:rsidRPr="00B328AE">
        <w:rPr>
          <w:rFonts w:eastAsia="MS Mincho"/>
          <w:i/>
          <w:lang w:eastAsia="ja-JP"/>
        </w:rPr>
        <w:t>h dynamic configuration by MCS</w:t>
      </w:r>
    </w:p>
    <w:p w14:paraId="10863F8A" w14:textId="07594C63"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FFS: Frequency-domain pattern design supports both frequency-localized and frequency-distributed </w:t>
      </w:r>
      <w:r w:rsidR="00375FFA" w:rsidRPr="00B328AE">
        <w:rPr>
          <w:rFonts w:eastAsia="MS Mincho"/>
          <w:i/>
          <w:lang w:eastAsia="ja-JP"/>
        </w:rPr>
        <w:t>allocation of PT-RS subcarriers</w:t>
      </w:r>
    </w:p>
    <w:p w14:paraId="09404E0E" w14:textId="3724593D"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Other association </w:t>
      </w:r>
      <w:r w:rsidR="00375FFA" w:rsidRPr="00B328AE">
        <w:rPr>
          <w:rFonts w:eastAsia="MS Mincho"/>
          <w:i/>
          <w:lang w:eastAsia="ja-JP"/>
        </w:rPr>
        <w:t>factors/rules are not precluded</w:t>
      </w:r>
    </w:p>
    <w:p w14:paraId="4E77F447" w14:textId="1BAFD7AC" w:rsidR="00CC15FB" w:rsidRDefault="001E2FFB" w:rsidP="00A05BB6">
      <w:pPr>
        <w:numPr>
          <w:ilvl w:val="1"/>
          <w:numId w:val="28"/>
        </w:numPr>
        <w:overflowPunct/>
        <w:autoSpaceDE/>
        <w:adjustRightInd/>
        <w:spacing w:after="0"/>
        <w:jc w:val="both"/>
        <w:textAlignment w:val="auto"/>
        <w:rPr>
          <w:rFonts w:eastAsia="MS Mincho"/>
          <w:i/>
          <w:lang w:eastAsia="ja-JP"/>
        </w:rPr>
      </w:pPr>
      <w:r w:rsidRPr="00684344">
        <w:rPr>
          <w:rFonts w:eastAsia="MS Mincho"/>
          <w:i/>
          <w:lang w:eastAsia="ja-JP"/>
        </w:rPr>
        <w:t>Usage of PT-RS, e.g. CFO/Doppler correction, is not precluded, pattern/signaling for this use case can be different</w:t>
      </w:r>
    </w:p>
    <w:p w14:paraId="44877567" w14:textId="77777777" w:rsidR="006929D7" w:rsidRPr="006929D7" w:rsidRDefault="006929D7" w:rsidP="006929D7">
      <w:pPr>
        <w:overflowPunct/>
        <w:autoSpaceDE/>
        <w:adjustRightInd/>
        <w:spacing w:after="0"/>
        <w:ind w:left="1440"/>
        <w:jc w:val="both"/>
        <w:textAlignment w:val="auto"/>
        <w:rPr>
          <w:rFonts w:eastAsia="MS Mincho"/>
          <w:i/>
          <w:lang w:eastAsia="ja-JP"/>
        </w:rPr>
      </w:pPr>
    </w:p>
    <w:p w14:paraId="6031A15E" w14:textId="3495EB68" w:rsidR="00FC791A" w:rsidRDefault="00CC15FB" w:rsidP="00A05BB6">
      <w:pPr>
        <w:jc w:val="both"/>
      </w:pPr>
      <w:r>
        <w:t>Also, in RAN1 #89 meeting</w:t>
      </w:r>
      <w:r w:rsidR="0096114E">
        <w:t xml:space="preserve"> </w:t>
      </w:r>
      <w:r w:rsidR="0096114E">
        <w:fldChar w:fldCharType="begin"/>
      </w:r>
      <w:r w:rsidR="0096114E">
        <w:instrText xml:space="preserve"> REF _Ref485219480 \r \h </w:instrText>
      </w:r>
      <w:r w:rsidR="0096114E">
        <w:fldChar w:fldCharType="separate"/>
      </w:r>
      <w:r w:rsidR="00EE11A6">
        <w:t>[2]</w:t>
      </w:r>
      <w:r w:rsidR="0096114E">
        <w:fldChar w:fldCharType="end"/>
      </w:r>
      <w:r>
        <w:t>, the following was agreed:</w:t>
      </w:r>
    </w:p>
    <w:tbl>
      <w:tblPr>
        <w:tblStyle w:val="TableGrid"/>
        <w:tblpPr w:leftFromText="187" w:rightFromText="187" w:vertAnchor="page" w:tblpXSpec="center" w:tblpY="141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182F7A7" w14:textId="77777777" w:rsidTr="001C3DA6">
        <w:tc>
          <w:tcPr>
            <w:tcW w:w="9962" w:type="dxa"/>
            <w:vAlign w:val="center"/>
          </w:tcPr>
          <w:p w14:paraId="407772FC" w14:textId="77777777" w:rsidR="00FC791A" w:rsidRDefault="00FC791A" w:rsidP="001C3DA6">
            <w:pPr>
              <w:jc w:val="center"/>
              <w:rPr>
                <w:lang w:val="en-GB"/>
              </w:rPr>
            </w:pPr>
            <w:r>
              <w:object w:dxaOrig="6725" w:dyaOrig="6915" w14:anchorId="6B088231">
                <v:shape id="_x0000_i1027" type="#_x0000_t75" style="width:335.8pt;height:345.6pt" o:ole="">
                  <v:imagedata r:id="rId16" o:title=""/>
                </v:shape>
                <o:OLEObject Type="Embed" ProgID="Visio.Drawing.11" ShapeID="_x0000_i1027" DrawAspect="Content" ObjectID="_1559151717" r:id="rId17"/>
              </w:object>
            </w:r>
          </w:p>
        </w:tc>
      </w:tr>
      <w:tr w:rsidR="00FC791A" w14:paraId="7E439390" w14:textId="77777777" w:rsidTr="001C3DA6">
        <w:tc>
          <w:tcPr>
            <w:tcW w:w="9962" w:type="dxa"/>
            <w:vAlign w:val="center"/>
          </w:tcPr>
          <w:p w14:paraId="58638DCB" w14:textId="022755D3" w:rsidR="00FC791A" w:rsidRPr="00FC791A" w:rsidRDefault="00FC791A" w:rsidP="006929D7">
            <w:pPr>
              <w:pStyle w:val="Caption"/>
              <w:jc w:val="center"/>
            </w:pPr>
            <w:bookmarkStart w:id="14" w:name="_Ref485218202"/>
            <w:r>
              <w:t xml:space="preserve">Figure </w:t>
            </w:r>
            <w:fldSimple w:instr=" SEQ Figure \* ARABIC ">
              <w:r w:rsidR="00EE11A6">
                <w:rPr>
                  <w:noProof/>
                </w:rPr>
                <w:t>3</w:t>
              </w:r>
            </w:fldSimple>
            <w:bookmarkEnd w:id="14"/>
            <w:r>
              <w:t>. (a) Multiplexing 2 NZP-PTRS ports, (b) multiplexing 2 ZP-PTRS ports for BIM</w:t>
            </w:r>
          </w:p>
        </w:tc>
      </w:tr>
    </w:tbl>
    <w:p w14:paraId="29F77AAE" w14:textId="2C3EB195" w:rsidR="00CC15FB" w:rsidRPr="00684344" w:rsidRDefault="00CC15FB" w:rsidP="00CC15FB">
      <w:pPr>
        <w:numPr>
          <w:ilvl w:val="0"/>
          <w:numId w:val="28"/>
        </w:numPr>
        <w:overflowPunct/>
        <w:autoSpaceDE/>
        <w:adjustRightInd/>
        <w:spacing w:after="0"/>
        <w:jc w:val="both"/>
        <w:textAlignment w:val="auto"/>
        <w:rPr>
          <w:rFonts w:eastAsia="MS Mincho"/>
          <w:i/>
          <w:lang w:eastAsia="ja-JP"/>
        </w:rPr>
      </w:pPr>
      <w:r w:rsidRPr="00684344">
        <w:rPr>
          <w:i/>
        </w:rPr>
        <w:t>For CP-OFDM,</w:t>
      </w:r>
    </w:p>
    <w:p w14:paraId="162A3862" w14:textId="091A652B" w:rsidR="00CC15FB" w:rsidRPr="00684344" w:rsidRDefault="00CC15FB" w:rsidP="00CC15FB">
      <w:pPr>
        <w:numPr>
          <w:ilvl w:val="1"/>
          <w:numId w:val="28"/>
        </w:numPr>
        <w:overflowPunct/>
        <w:autoSpaceDE/>
        <w:adjustRightInd/>
        <w:spacing w:after="0"/>
        <w:jc w:val="both"/>
        <w:textAlignment w:val="auto"/>
        <w:rPr>
          <w:rFonts w:eastAsia="MS Mincho"/>
          <w:i/>
          <w:lang w:eastAsia="ja-JP"/>
        </w:rPr>
      </w:pPr>
      <w:r w:rsidRPr="00684344">
        <w:rPr>
          <w:i/>
        </w:rPr>
        <w:t>For SU-MIMO, dynamic presence of PTRS is determined by allocated MCS, BW, and subcarrier spacing</w:t>
      </w:r>
    </w:p>
    <w:p w14:paraId="54A7DD37" w14:textId="5F79D77C" w:rsidR="00CC15FB" w:rsidRPr="00684344" w:rsidRDefault="00CC15FB" w:rsidP="00CC15FB">
      <w:pPr>
        <w:numPr>
          <w:ilvl w:val="2"/>
          <w:numId w:val="28"/>
        </w:numPr>
        <w:overflowPunct/>
        <w:autoSpaceDE/>
        <w:adjustRightInd/>
        <w:spacing w:after="0"/>
        <w:jc w:val="both"/>
        <w:textAlignment w:val="auto"/>
        <w:rPr>
          <w:rFonts w:eastAsia="MS Mincho"/>
          <w:i/>
          <w:lang w:eastAsia="ja-JP"/>
        </w:rPr>
      </w:pPr>
      <w:r w:rsidRPr="00684344">
        <w:rPr>
          <w:i/>
        </w:rPr>
        <w:t>FFS: For MU-MIMO case</w:t>
      </w:r>
    </w:p>
    <w:p w14:paraId="604C8A8F" w14:textId="38F58E3D" w:rsidR="00CC15FB" w:rsidRPr="00684344" w:rsidRDefault="00CC15FB" w:rsidP="00CC15FB">
      <w:pPr>
        <w:numPr>
          <w:ilvl w:val="1"/>
          <w:numId w:val="28"/>
        </w:numPr>
        <w:overflowPunct/>
        <w:autoSpaceDE/>
        <w:adjustRightInd/>
        <w:spacing w:after="0"/>
        <w:jc w:val="both"/>
        <w:textAlignment w:val="auto"/>
        <w:rPr>
          <w:rFonts w:eastAsia="MS Mincho"/>
          <w:i/>
          <w:lang w:eastAsia="ja-JP"/>
        </w:rPr>
      </w:pPr>
      <w:r w:rsidRPr="00684344">
        <w:rPr>
          <w:i/>
        </w:rPr>
        <w:t>For SU-MIMO, time pattern of PTRS is determined by allocated MCS, and subcarrier spacing</w:t>
      </w:r>
    </w:p>
    <w:p w14:paraId="4DFA3424" w14:textId="6E16F65E" w:rsidR="000838B0" w:rsidRDefault="00CC15FB" w:rsidP="00A05BB6">
      <w:pPr>
        <w:numPr>
          <w:ilvl w:val="2"/>
          <w:numId w:val="28"/>
        </w:numPr>
        <w:overflowPunct/>
        <w:autoSpaceDE/>
        <w:adjustRightInd/>
        <w:spacing w:after="0"/>
        <w:jc w:val="both"/>
        <w:textAlignment w:val="auto"/>
        <w:rPr>
          <w:rFonts w:eastAsia="MS Mincho"/>
          <w:i/>
          <w:lang w:eastAsia="ja-JP"/>
        </w:rPr>
      </w:pPr>
      <w:r w:rsidRPr="00684344">
        <w:rPr>
          <w:i/>
        </w:rPr>
        <w:t>FFS: For MU-MIMO case</w:t>
      </w:r>
    </w:p>
    <w:p w14:paraId="14893084" w14:textId="77777777" w:rsidR="006929D7" w:rsidRPr="006929D7" w:rsidRDefault="006929D7" w:rsidP="006929D7">
      <w:pPr>
        <w:overflowPunct/>
        <w:autoSpaceDE/>
        <w:adjustRightInd/>
        <w:spacing w:after="0"/>
        <w:ind w:left="2160"/>
        <w:jc w:val="both"/>
        <w:textAlignment w:val="auto"/>
        <w:rPr>
          <w:rFonts w:eastAsia="MS Mincho"/>
          <w:i/>
          <w:lang w:eastAsia="ja-JP"/>
        </w:rPr>
      </w:pPr>
    </w:p>
    <w:p w14:paraId="4424826F" w14:textId="0F0310E9" w:rsidR="007D5812" w:rsidRDefault="001E2FFB" w:rsidP="00A05BB6">
      <w:pPr>
        <w:jc w:val="both"/>
        <w:rPr>
          <w:lang w:val="en-GB"/>
        </w:rPr>
      </w:pPr>
      <w:r>
        <w:rPr>
          <w:lang w:val="en-GB"/>
        </w:rPr>
        <w:t>According to the above agreements</w:t>
      </w:r>
      <w:r w:rsidR="007D5812">
        <w:rPr>
          <w:lang w:val="en-GB"/>
        </w:rPr>
        <w:t>, once PTRS is configured to be present, the dynamic presence and time/frequency-domain densities are implicitly determined associated with other parameters, such as MCS and scheduled BW. However, this may not be sufficient when the PTRS</w:t>
      </w:r>
      <w:r w:rsidR="00B02728">
        <w:rPr>
          <w:lang w:val="en-GB"/>
        </w:rPr>
        <w:t>/null-tone</w:t>
      </w:r>
      <w:r w:rsidR="007D5812">
        <w:rPr>
          <w:lang w:val="en-GB"/>
        </w:rPr>
        <w:t xml:space="preserve"> is used for BIM, because the configuration depends on many other factors as discussed above. Therefore, we propose that explicit signalling to indicate dynamic presence and a specific PTRS/null-tone pattern should be supported for BIM.</w:t>
      </w:r>
    </w:p>
    <w:p w14:paraId="5DF46DB5" w14:textId="683A30F8" w:rsidR="006F7834" w:rsidRDefault="00CC15FB" w:rsidP="00083031">
      <w:pPr>
        <w:spacing w:after="0"/>
        <w:jc w:val="both"/>
        <w:rPr>
          <w:lang w:val="en-GB"/>
        </w:rPr>
      </w:pPr>
      <w:r>
        <w:rPr>
          <w:lang w:val="en-GB"/>
        </w:rPr>
        <w:t xml:space="preserve">Finally, 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Pr>
          <w:lang w:val="en-GB"/>
        </w:rPr>
        <w:t>, the following was agreed regarding multi-port PTRS assignment:</w:t>
      </w:r>
    </w:p>
    <w:p w14:paraId="2213F45F" w14:textId="7BBD5B75" w:rsidR="00011FF0" w:rsidRPr="00083031" w:rsidRDefault="00011FF0" w:rsidP="00083031">
      <w:pPr>
        <w:numPr>
          <w:ilvl w:val="0"/>
          <w:numId w:val="28"/>
        </w:numPr>
        <w:overflowPunct/>
        <w:autoSpaceDE/>
        <w:adjustRightInd/>
        <w:spacing w:after="0"/>
        <w:jc w:val="both"/>
        <w:textAlignment w:val="auto"/>
        <w:rPr>
          <w:rFonts w:eastAsia="MS Mincho"/>
          <w:i/>
          <w:lang w:eastAsia="ja-JP"/>
        </w:rPr>
      </w:pPr>
      <w:bookmarkStart w:id="15" w:name="OLE_LINK3"/>
      <w:bookmarkStart w:id="16" w:name="OLE_LINK4"/>
      <w:r w:rsidRPr="00083031">
        <w:rPr>
          <w:i/>
        </w:rPr>
        <w:t>Support association between one PTRS port and one DMRS port per DMRS port group</w:t>
      </w:r>
    </w:p>
    <w:p w14:paraId="7CE51B56" w14:textId="3C89E035" w:rsidR="00011FF0" w:rsidRPr="00083031" w:rsidRDefault="00011FF0" w:rsidP="00083031">
      <w:pPr>
        <w:numPr>
          <w:ilvl w:val="1"/>
          <w:numId w:val="28"/>
        </w:numPr>
        <w:overflowPunct/>
        <w:autoSpaceDE/>
        <w:adjustRightInd/>
        <w:spacing w:after="0"/>
        <w:jc w:val="both"/>
        <w:textAlignment w:val="auto"/>
        <w:rPr>
          <w:rFonts w:eastAsia="MS Mincho"/>
          <w:i/>
          <w:lang w:eastAsia="ja-JP"/>
        </w:rPr>
      </w:pPr>
      <w:r w:rsidRPr="00083031">
        <w:rPr>
          <w:i/>
        </w:rPr>
        <w:t>FFS</w:t>
      </w:r>
      <w:bookmarkEnd w:id="15"/>
      <w:bookmarkEnd w:id="16"/>
      <w:r w:rsidRPr="00083031">
        <w:rPr>
          <w:i/>
        </w:rPr>
        <w:t>: Configurable or fixed association</w:t>
      </w:r>
    </w:p>
    <w:p w14:paraId="29879364" w14:textId="72C0C2EC" w:rsidR="000838B0" w:rsidRDefault="00011FF0" w:rsidP="000838B0">
      <w:pPr>
        <w:numPr>
          <w:ilvl w:val="1"/>
          <w:numId w:val="28"/>
        </w:numPr>
        <w:overflowPunct/>
        <w:autoSpaceDE/>
        <w:adjustRightInd/>
        <w:spacing w:after="0"/>
        <w:jc w:val="both"/>
        <w:textAlignment w:val="auto"/>
        <w:rPr>
          <w:rFonts w:eastAsia="MS Mincho"/>
          <w:i/>
          <w:lang w:eastAsia="ja-JP"/>
        </w:rPr>
      </w:pPr>
      <w:r w:rsidRPr="00083031">
        <w:rPr>
          <w:i/>
        </w:rPr>
        <w:t>Signalling methods, e.g., RRC, MAC-CE, DCI</w:t>
      </w:r>
    </w:p>
    <w:p w14:paraId="519F9916" w14:textId="77777777" w:rsidR="00083031" w:rsidRPr="00083031" w:rsidRDefault="00083031" w:rsidP="00083031">
      <w:pPr>
        <w:overflowPunct/>
        <w:autoSpaceDE/>
        <w:adjustRightInd/>
        <w:spacing w:after="0"/>
        <w:ind w:left="1440"/>
        <w:jc w:val="both"/>
        <w:textAlignment w:val="auto"/>
        <w:rPr>
          <w:rFonts w:eastAsia="MS Mincho"/>
          <w:i/>
          <w:lang w:eastAsia="ja-JP"/>
        </w:rPr>
      </w:pPr>
    </w:p>
    <w:p w14:paraId="58D914F1" w14:textId="028289A7" w:rsidR="00011FF0" w:rsidRDefault="00011FF0" w:rsidP="000838B0">
      <w:pPr>
        <w:jc w:val="both"/>
        <w:rPr>
          <w:lang w:val="en-GB"/>
        </w:rPr>
      </w:pPr>
      <w:r>
        <w:t xml:space="preserve">Although the association between one PTRS port and one DMRS port per QCLed DMRS port group is desirable for CPE estimation, it is definitely not the case for BIM. To estimate </w:t>
      </w:r>
      <w:r w:rsidR="00145B43">
        <w:t xml:space="preserve">the interference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45B43">
        <w:rPr>
          <w:lang w:val="en-GB"/>
        </w:rPr>
        <w:t xml:space="preserve"> for MIMO, at least the same number of PTRS ports as the number of DMRS ports is required. Therefore, to support BIM with PTRS configuration, the association between PTRS and DMRS ports should be more flexible. </w:t>
      </w:r>
      <w:r w:rsidR="00502CCA">
        <w:rPr>
          <w:lang w:val="en-GB"/>
        </w:rPr>
        <w:t xml:space="preserve">It is noteworthy that, when multiple PTRS/null-tone ports are multiplexed, the multiplexing pattern could be different depending on the use cases.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examples of PTRS/null-tone multiplexing are provided. As shown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(a), </w:t>
      </w:r>
      <w:r w:rsidR="00741103">
        <w:rPr>
          <w:lang w:val="en-GB"/>
        </w:rPr>
        <w:t xml:space="preserve">orthogonal multiplexing, such as TDM or FDM, is preferred for </w:t>
      </w:r>
      <w:r w:rsidR="00502CCA">
        <w:rPr>
          <w:lang w:val="en-GB"/>
        </w:rPr>
        <w:t>ordinary non-zero-power PTRS ports</w:t>
      </w:r>
      <w:r w:rsidR="00741103">
        <w:rPr>
          <w:lang w:val="en-GB"/>
        </w:rPr>
        <w:t xml:space="preserve">. However, when multiple ZP-PRTS ports are configured for MIMO BIM </w:t>
      </w:r>
      <w:r w:rsidR="00741103">
        <w:rPr>
          <w:lang w:val="en-GB"/>
        </w:rPr>
        <w:lastRenderedPageBreak/>
        <w:t xml:space="preserve">(interference covariance matrix estimation), they could simply occupy the same subcarrier index as shown in </w:t>
      </w:r>
      <w:r w:rsidR="00741103">
        <w:rPr>
          <w:lang w:val="en-GB"/>
        </w:rPr>
        <w:fldChar w:fldCharType="begin"/>
      </w:r>
      <w:r w:rsidR="00741103">
        <w:rPr>
          <w:lang w:val="en-GB"/>
        </w:rPr>
        <w:instrText xml:space="preserve"> REF _Ref485218202 \h </w:instrText>
      </w:r>
      <w:r w:rsidR="00741103">
        <w:rPr>
          <w:lang w:val="en-GB"/>
        </w:rPr>
      </w:r>
      <w:r w:rsidR="00741103">
        <w:rPr>
          <w:lang w:val="en-GB"/>
        </w:rPr>
        <w:fldChar w:fldCharType="separate"/>
      </w:r>
      <w:r w:rsidR="00EE11A6">
        <w:t xml:space="preserve">Figure </w:t>
      </w:r>
      <w:r w:rsidR="00EE11A6">
        <w:rPr>
          <w:noProof/>
        </w:rPr>
        <w:t>3</w:t>
      </w:r>
      <w:r w:rsidR="00741103">
        <w:rPr>
          <w:lang w:val="en-GB"/>
        </w:rPr>
        <w:fldChar w:fldCharType="end"/>
      </w:r>
      <w:r w:rsidR="00741103">
        <w:rPr>
          <w:lang w:val="en-GB"/>
        </w:rPr>
        <w:t xml:space="preserve"> (b).</w:t>
      </w:r>
      <w:r w:rsidR="008A15C0">
        <w:rPr>
          <w:lang w:val="en-GB"/>
        </w:rPr>
        <w:t xml:space="preserve"> Therefore, compared to NZP-PTRS for CPE estimation, ZP-PTRS (null tones) for BIM could have lower overhead in multi-port scenarios.</w:t>
      </w:r>
    </w:p>
    <w:p w14:paraId="2809189E" w14:textId="4C3F2695" w:rsidR="00145B43" w:rsidRPr="00FC791A" w:rsidRDefault="00145B43" w:rsidP="008A15C0">
      <w:pPr>
        <w:pStyle w:val="Caption"/>
        <w:jc w:val="both"/>
        <w:rPr>
          <w:i/>
        </w:rPr>
      </w:pPr>
      <w:bookmarkStart w:id="17" w:name="_Ref485219314"/>
      <w:r w:rsidRPr="00FC791A">
        <w:rPr>
          <w:i/>
        </w:rPr>
        <w:t xml:space="preserve">Proposal </w:t>
      </w:r>
      <w:r w:rsidRPr="00FC791A">
        <w:rPr>
          <w:i/>
        </w:rPr>
        <w:fldChar w:fldCharType="begin"/>
      </w:r>
      <w:r w:rsidRPr="00FC791A">
        <w:rPr>
          <w:i/>
        </w:rPr>
        <w:instrText xml:space="preserve"> SEQ Proposal \* ARABIC </w:instrText>
      </w:r>
      <w:r w:rsidRPr="00FC791A">
        <w:rPr>
          <w:i/>
        </w:rPr>
        <w:fldChar w:fldCharType="separate"/>
      </w:r>
      <w:r w:rsidR="00EE11A6">
        <w:rPr>
          <w:i/>
          <w:noProof/>
        </w:rPr>
        <w:t>4</w:t>
      </w:r>
      <w:r w:rsidRPr="00FC791A">
        <w:rPr>
          <w:i/>
        </w:rPr>
        <w:fldChar w:fldCharType="end"/>
      </w:r>
      <w:r w:rsidRPr="00FC791A">
        <w:rPr>
          <w:i/>
        </w:rPr>
        <w:t>: To support BIM with PTRS configuration, the following features need to be added to the existing PTRS framework:</w:t>
      </w:r>
      <w:bookmarkEnd w:id="17"/>
    </w:p>
    <w:p w14:paraId="33AD0DF3" w14:textId="6E0F02F9"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Support for puncturing patterns for PTRS</w:t>
      </w:r>
    </w:p>
    <w:p w14:paraId="50F1F60E" w14:textId="25E6CF9B" w:rsidR="000838B0" w:rsidRPr="00FC791A" w:rsidRDefault="000838B0" w:rsidP="000838B0">
      <w:pPr>
        <w:numPr>
          <w:ilvl w:val="1"/>
          <w:numId w:val="28"/>
        </w:numPr>
        <w:overflowPunct/>
        <w:autoSpaceDE/>
        <w:adjustRightInd/>
        <w:spacing w:after="0"/>
        <w:jc w:val="both"/>
        <w:textAlignment w:val="auto"/>
        <w:rPr>
          <w:rFonts w:eastAsia="MS Mincho"/>
          <w:b/>
          <w:i/>
          <w:lang w:eastAsia="ja-JP"/>
        </w:rPr>
      </w:pPr>
      <w:r w:rsidRPr="00FC791A">
        <w:rPr>
          <w:rFonts w:eastAsia="MS Mincho"/>
          <w:b/>
          <w:i/>
          <w:lang w:eastAsia="ja-JP"/>
        </w:rPr>
        <w:t>Zero-power PTRS as a special case</w:t>
      </w:r>
    </w:p>
    <w:p w14:paraId="22B726DB" w14:textId="69416D70"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Flexible PTRS subcarrier placement within a PRB</w:t>
      </w:r>
    </w:p>
    <w:p w14:paraId="0E105FB8" w14:textId="07C486E7"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Explicit signaling of PTRS puncturing pattern</w:t>
      </w:r>
      <w:r w:rsidR="00C73D88" w:rsidRPr="00FC791A">
        <w:rPr>
          <w:rFonts w:eastAsia="MS Mincho"/>
          <w:b/>
          <w:i/>
          <w:lang w:eastAsia="ja-JP"/>
        </w:rPr>
        <w:t>s</w:t>
      </w:r>
      <w:r w:rsidRPr="00FC791A">
        <w:rPr>
          <w:rFonts w:eastAsia="MS Mincho"/>
          <w:b/>
          <w:i/>
          <w:lang w:eastAsia="ja-JP"/>
        </w:rPr>
        <w:t xml:space="preserve">, time/frequency densities, </w:t>
      </w:r>
      <w:r w:rsidR="00C73D88" w:rsidRPr="00FC791A">
        <w:rPr>
          <w:rFonts w:eastAsia="MS Mincho"/>
          <w:b/>
          <w:i/>
          <w:lang w:eastAsia="ja-JP"/>
        </w:rPr>
        <w:t>subcarrier indices, etc.</w:t>
      </w:r>
    </w:p>
    <w:p w14:paraId="3678ED0D" w14:textId="478DECEB" w:rsidR="000838B0" w:rsidRPr="00FC791A" w:rsidRDefault="000838B0" w:rsidP="000838B0">
      <w:pPr>
        <w:numPr>
          <w:ilvl w:val="1"/>
          <w:numId w:val="28"/>
        </w:numPr>
        <w:overflowPunct/>
        <w:autoSpaceDE/>
        <w:adjustRightInd/>
        <w:spacing w:after="0"/>
        <w:jc w:val="both"/>
        <w:textAlignment w:val="auto"/>
        <w:rPr>
          <w:rFonts w:eastAsia="MS Mincho"/>
          <w:b/>
          <w:i/>
          <w:lang w:eastAsia="ja-JP"/>
        </w:rPr>
      </w:pPr>
      <w:r w:rsidRPr="00FC791A">
        <w:rPr>
          <w:rFonts w:eastAsia="MS Mincho"/>
          <w:b/>
          <w:i/>
          <w:lang w:eastAsia="ja-JP"/>
        </w:rPr>
        <w:t>Possibly via MAC-CE or DCI signaling</w:t>
      </w:r>
    </w:p>
    <w:p w14:paraId="6E843841" w14:textId="7864EB84" w:rsidR="00C73D88" w:rsidRPr="00083031" w:rsidRDefault="00C73D88" w:rsidP="00083031">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Flexible association between multiple PTRS ports and multiple DMRS ports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3F9902B8" w14:textId="019516E4" w:rsidR="006B7DE3" w:rsidRDefault="00A556D0" w:rsidP="008A15C0">
      <w:pPr>
        <w:overflowPunct/>
        <w:autoSpaceDE/>
        <w:autoSpaceDN/>
        <w:adjustRightInd/>
        <w:spacing w:after="0" w:line="259" w:lineRule="auto"/>
        <w:jc w:val="both"/>
        <w:textAlignment w:val="auto"/>
        <w:rPr>
          <w:b/>
        </w:rPr>
      </w:pPr>
      <w:r w:rsidRPr="00A556D0">
        <w:rPr>
          <w:b/>
        </w:rPr>
        <w:fldChar w:fldCharType="begin"/>
      </w:r>
      <w:r w:rsidRPr="00A556D0">
        <w:rPr>
          <w:b/>
        </w:rPr>
        <w:instrText xml:space="preserve"> REF _Ref485219287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1</w:t>
      </w:r>
      <w:r w:rsidR="00EE11A6" w:rsidRPr="00EE11A6">
        <w:rPr>
          <w:b/>
          <w:i/>
        </w:rPr>
        <w:t>: NR UEs are provided with dedicated resources and signaling for bursty interference measurement at demodulation time.</w:t>
      </w:r>
      <w:r w:rsidRPr="00A556D0">
        <w:rPr>
          <w:b/>
        </w:rPr>
        <w:fldChar w:fldCharType="end"/>
      </w:r>
    </w:p>
    <w:p w14:paraId="0C42C028" w14:textId="77777777" w:rsidR="00A556D0" w:rsidRPr="00A556D0" w:rsidRDefault="00A556D0" w:rsidP="007D6755">
      <w:pPr>
        <w:overflowPunct/>
        <w:autoSpaceDE/>
        <w:autoSpaceDN/>
        <w:adjustRightInd/>
        <w:spacing w:after="0" w:line="259" w:lineRule="auto"/>
        <w:textAlignment w:val="auto"/>
        <w:rPr>
          <w:b/>
        </w:rPr>
      </w:pPr>
    </w:p>
    <w:p w14:paraId="75EF89C3" w14:textId="0837EE1F" w:rsidR="009511B9"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_Ref485219887 \h  \* MERGEFORMAT </w:instrText>
      </w:r>
      <w:r w:rsidRPr="009511B9">
        <w:rPr>
          <w:b/>
        </w:rPr>
      </w:r>
      <w:r w:rsidRPr="009511B9">
        <w:rPr>
          <w:b/>
        </w:rPr>
        <w:fldChar w:fldCharType="separate"/>
      </w:r>
      <w:r w:rsidRPr="009511B9">
        <w:rPr>
          <w:b/>
          <w:i/>
        </w:rPr>
        <w:t xml:space="preserve">Proposal </w:t>
      </w:r>
      <w:r w:rsidRPr="009511B9">
        <w:rPr>
          <w:b/>
          <w:i/>
          <w:noProof/>
        </w:rPr>
        <w:t>2</w:t>
      </w:r>
      <w:r w:rsidRPr="009511B9">
        <w:rPr>
          <w:b/>
          <w:i/>
        </w:rPr>
        <w:t>: Null tones embedded in the scheduled RBs can be used for BIM. The null tone is sparsely spaced in frequency but densely placed in time (possibly on every OFDM symbol).</w:t>
      </w:r>
      <w:r w:rsidRPr="009511B9">
        <w:rPr>
          <w:b/>
        </w:rPr>
        <w:fldChar w:fldCharType="end"/>
      </w:r>
    </w:p>
    <w:p w14:paraId="09350A73" w14:textId="77777777" w:rsidR="00A556D0" w:rsidRPr="00A556D0" w:rsidRDefault="00A556D0" w:rsidP="007D6755">
      <w:pPr>
        <w:overflowPunct/>
        <w:autoSpaceDE/>
        <w:autoSpaceDN/>
        <w:adjustRightInd/>
        <w:spacing w:after="0" w:line="259" w:lineRule="auto"/>
        <w:textAlignment w:val="auto"/>
        <w:rPr>
          <w:b/>
        </w:rPr>
      </w:pPr>
    </w:p>
    <w:p w14:paraId="14D294F3" w14:textId="5F8311E2" w:rsidR="00A556D0" w:rsidRDefault="00A556D0" w:rsidP="007D6755">
      <w:pPr>
        <w:overflowPunct/>
        <w:autoSpaceDE/>
        <w:autoSpaceDN/>
        <w:adjustRightInd/>
        <w:spacing w:after="0" w:line="259" w:lineRule="auto"/>
        <w:textAlignment w:val="auto"/>
        <w:rPr>
          <w:b/>
        </w:rPr>
      </w:pPr>
      <w:r w:rsidRPr="00A556D0">
        <w:rPr>
          <w:b/>
        </w:rPr>
        <w:fldChar w:fldCharType="begin"/>
      </w:r>
      <w:r w:rsidRPr="00A556D0">
        <w:rPr>
          <w:b/>
        </w:rPr>
        <w:instrText xml:space="preserve"> REF _Ref485219301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3</w:t>
      </w:r>
      <w:r w:rsidR="00EE11A6" w:rsidRPr="00EE11A6">
        <w:rPr>
          <w:b/>
          <w:i/>
        </w:rPr>
        <w:t>: In NR, PTRS configuration can be reused for BIM.</w:t>
      </w:r>
      <w:r w:rsidRPr="00A556D0">
        <w:rPr>
          <w:b/>
        </w:rPr>
        <w:fldChar w:fldCharType="end"/>
      </w:r>
    </w:p>
    <w:p w14:paraId="228A7BBC" w14:textId="77777777" w:rsidR="00A556D0" w:rsidRPr="00A556D0" w:rsidRDefault="00A556D0" w:rsidP="007D6755">
      <w:pPr>
        <w:overflowPunct/>
        <w:autoSpaceDE/>
        <w:autoSpaceDN/>
        <w:adjustRightInd/>
        <w:spacing w:after="0" w:line="259" w:lineRule="auto"/>
        <w:textAlignment w:val="auto"/>
        <w:rPr>
          <w:b/>
        </w:rPr>
      </w:pPr>
    </w:p>
    <w:p w14:paraId="11F79883" w14:textId="57B8EB60" w:rsidR="00A556D0"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_Ref485219314 \h  \* MERGEFORMAT </w:instrText>
      </w:r>
      <w:r w:rsidRPr="009511B9">
        <w:rPr>
          <w:b/>
        </w:rPr>
      </w:r>
      <w:r w:rsidRPr="009511B9">
        <w:rPr>
          <w:b/>
        </w:rPr>
        <w:fldChar w:fldCharType="separate"/>
      </w:r>
      <w:r w:rsidRPr="009511B9">
        <w:rPr>
          <w:b/>
          <w:i/>
        </w:rPr>
        <w:t xml:space="preserve">Proposal </w:t>
      </w:r>
      <w:r w:rsidRPr="009511B9">
        <w:rPr>
          <w:b/>
          <w:i/>
          <w:noProof/>
        </w:rPr>
        <w:t>4</w:t>
      </w:r>
      <w:r w:rsidRPr="009511B9">
        <w:rPr>
          <w:b/>
          <w:i/>
        </w:rPr>
        <w:t>: To support BIM with PTRS configuration, the following features need to be added to the existing PTRS framework:</w:t>
      </w:r>
      <w:r w:rsidRPr="009511B9">
        <w:rPr>
          <w:b/>
        </w:rPr>
        <w:fldChar w:fldCharType="end"/>
      </w:r>
    </w:p>
    <w:p w14:paraId="6D0C233A"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Support for puncturing patterns for PTRS</w:t>
      </w:r>
    </w:p>
    <w:p w14:paraId="05B06907" w14:textId="77777777" w:rsidR="00A556D0" w:rsidRPr="009511B9" w:rsidRDefault="00A556D0" w:rsidP="00A556D0">
      <w:pPr>
        <w:numPr>
          <w:ilvl w:val="1"/>
          <w:numId w:val="28"/>
        </w:numPr>
        <w:overflowPunct/>
        <w:autoSpaceDE/>
        <w:adjustRightInd/>
        <w:spacing w:after="0"/>
        <w:jc w:val="both"/>
        <w:textAlignment w:val="auto"/>
        <w:rPr>
          <w:rFonts w:eastAsia="MS Mincho"/>
          <w:b/>
          <w:i/>
          <w:lang w:eastAsia="ja-JP"/>
        </w:rPr>
      </w:pPr>
      <w:r w:rsidRPr="009511B9">
        <w:rPr>
          <w:rFonts w:eastAsia="MS Mincho"/>
          <w:b/>
          <w:i/>
          <w:lang w:eastAsia="ja-JP"/>
        </w:rPr>
        <w:t>Zero-power PTRS as a special case</w:t>
      </w:r>
    </w:p>
    <w:p w14:paraId="5BB9D5E2"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Flexible PTRS subcarrier placement within a PRB</w:t>
      </w:r>
    </w:p>
    <w:p w14:paraId="034F1C9E"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Explicit signaling of PTRS puncturing patterns, time/frequency densities, subcarrier indices, etc.</w:t>
      </w:r>
    </w:p>
    <w:p w14:paraId="0D0980E4" w14:textId="77777777" w:rsidR="00A556D0" w:rsidRPr="009511B9" w:rsidRDefault="00A556D0" w:rsidP="00A556D0">
      <w:pPr>
        <w:numPr>
          <w:ilvl w:val="1"/>
          <w:numId w:val="28"/>
        </w:numPr>
        <w:overflowPunct/>
        <w:autoSpaceDE/>
        <w:adjustRightInd/>
        <w:spacing w:after="0"/>
        <w:jc w:val="both"/>
        <w:textAlignment w:val="auto"/>
        <w:rPr>
          <w:rFonts w:eastAsia="MS Mincho"/>
          <w:b/>
          <w:i/>
          <w:lang w:eastAsia="ja-JP"/>
        </w:rPr>
      </w:pPr>
      <w:r w:rsidRPr="009511B9">
        <w:rPr>
          <w:rFonts w:eastAsia="MS Mincho"/>
          <w:b/>
          <w:i/>
          <w:lang w:eastAsia="ja-JP"/>
        </w:rPr>
        <w:t>Possibly via MAC-CE or DCI signaling</w:t>
      </w:r>
    </w:p>
    <w:p w14:paraId="6571A2F4" w14:textId="5042D344" w:rsidR="00A556D0" w:rsidRPr="00083031" w:rsidRDefault="00A556D0" w:rsidP="00083031">
      <w:pPr>
        <w:numPr>
          <w:ilvl w:val="0"/>
          <w:numId w:val="28"/>
        </w:numPr>
        <w:overflowPunct/>
        <w:autoSpaceDE/>
        <w:adjustRightInd/>
        <w:spacing w:after="0"/>
        <w:jc w:val="both"/>
        <w:textAlignment w:val="auto"/>
        <w:rPr>
          <w:rFonts w:eastAsia="MS Mincho"/>
          <w:b/>
          <w:lang w:eastAsia="ja-JP"/>
        </w:rPr>
      </w:pPr>
      <w:r w:rsidRPr="009511B9">
        <w:rPr>
          <w:rFonts w:eastAsia="MS Mincho"/>
          <w:b/>
          <w:i/>
          <w:lang w:eastAsia="ja-JP"/>
        </w:rPr>
        <w:t>Flexible association between multiple PTRS ports and multiple DMRS ports</w:t>
      </w:r>
    </w:p>
    <w:p w14:paraId="46F1334D" w14:textId="77777777" w:rsidR="00E3066B" w:rsidRDefault="00E3066B" w:rsidP="00AC4496">
      <w:pPr>
        <w:pStyle w:val="Heading1"/>
        <w:jc w:val="both"/>
        <w:textAlignment w:val="auto"/>
        <w:rPr>
          <w:lang w:val="en-US"/>
        </w:rPr>
      </w:pPr>
      <w:r>
        <w:rPr>
          <w:lang w:val="en-US"/>
        </w:rPr>
        <w:t>References</w:t>
      </w:r>
    </w:p>
    <w:p w14:paraId="69655512" w14:textId="05DC12CD" w:rsidR="00A51EA6" w:rsidRDefault="00A51EA6" w:rsidP="00A51EA6">
      <w:pPr>
        <w:numPr>
          <w:ilvl w:val="0"/>
          <w:numId w:val="6"/>
        </w:numPr>
        <w:spacing w:before="100" w:beforeAutospacing="1" w:after="0"/>
        <w:rPr>
          <w:rFonts w:eastAsia="Calibri"/>
          <w:szCs w:val="22"/>
          <w:lang w:val="en-GB"/>
        </w:rPr>
      </w:pPr>
      <w:bookmarkStart w:id="18" w:name="_Ref485219460"/>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bookmarkEnd w:id="18"/>
    </w:p>
    <w:p w14:paraId="703AE79C" w14:textId="63039D92" w:rsidR="006D295B" w:rsidRPr="0096114E" w:rsidRDefault="00F876E4" w:rsidP="00373D93">
      <w:pPr>
        <w:numPr>
          <w:ilvl w:val="0"/>
          <w:numId w:val="6"/>
        </w:numPr>
        <w:spacing w:before="100" w:beforeAutospacing="1" w:after="0"/>
        <w:rPr>
          <w:rFonts w:eastAsia="Calibri"/>
          <w:szCs w:val="22"/>
          <w:lang w:val="en-GB"/>
        </w:rPr>
      </w:pPr>
      <w:bookmarkStart w:id="19" w:name="_Ref485219480"/>
      <w:r w:rsidRPr="0096114E">
        <w:rPr>
          <w:rFonts w:eastAsia="Calibri"/>
          <w:szCs w:val="22"/>
          <w:lang w:val="en-GB"/>
        </w:rPr>
        <w:t>RAN1-8</w:t>
      </w:r>
      <w:r w:rsidR="0096114E" w:rsidRPr="0096114E">
        <w:rPr>
          <w:rFonts w:eastAsia="Calibri"/>
          <w:szCs w:val="22"/>
          <w:lang w:val="en-GB"/>
        </w:rPr>
        <w:t>9</w:t>
      </w:r>
      <w:r w:rsidRPr="0096114E">
        <w:rPr>
          <w:rFonts w:eastAsia="Calibri"/>
          <w:szCs w:val="22"/>
          <w:lang w:val="en-GB"/>
        </w:rPr>
        <w:t xml:space="preserve"> Chairman’s notes</w:t>
      </w:r>
      <w:bookmarkEnd w:id="19"/>
    </w:p>
    <w:sectPr w:rsidR="006D295B" w:rsidRPr="0096114E"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2C1C5" w14:textId="77777777" w:rsidR="00346D54" w:rsidRDefault="00346D54">
      <w:r>
        <w:separator/>
      </w:r>
    </w:p>
  </w:endnote>
  <w:endnote w:type="continuationSeparator" w:id="0">
    <w:p w14:paraId="3055B3A8" w14:textId="77777777" w:rsidR="00346D54" w:rsidRDefault="00346D54">
      <w:r>
        <w:continuationSeparator/>
      </w:r>
    </w:p>
  </w:endnote>
  <w:endnote w:type="continuationNotice" w:id="1">
    <w:p w14:paraId="60CEE724" w14:textId="77777777" w:rsidR="00346D54" w:rsidRDefault="00346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4D03AA" w:rsidRDefault="004D03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4D03AA" w:rsidRDefault="004D03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57E24F40" w:rsidR="004D03AA" w:rsidRDefault="004D03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940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08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9E8DA" w14:textId="77777777" w:rsidR="00346D54" w:rsidRDefault="00346D54">
      <w:r>
        <w:separator/>
      </w:r>
    </w:p>
  </w:footnote>
  <w:footnote w:type="continuationSeparator" w:id="0">
    <w:p w14:paraId="7B985D5C" w14:textId="77777777" w:rsidR="00346D54" w:rsidRDefault="00346D54">
      <w:r>
        <w:continuationSeparator/>
      </w:r>
    </w:p>
  </w:footnote>
  <w:footnote w:type="continuationNotice" w:id="1">
    <w:p w14:paraId="562E2AD2" w14:textId="77777777" w:rsidR="00346D54" w:rsidRDefault="00346D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4D03AA" w:rsidRDefault="004D03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A7C1A"/>
    <w:multiLevelType w:val="hybridMultilevel"/>
    <w:tmpl w:val="8A98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cs="Times New Roman" w:hint="default"/>
      </w:rPr>
    </w:lvl>
    <w:lvl w:ilvl="1" w:tplc="2B328E3C">
      <w:start w:val="1373"/>
      <w:numFmt w:val="bullet"/>
      <w:lvlText w:val="•"/>
      <w:lvlJc w:val="left"/>
      <w:pPr>
        <w:tabs>
          <w:tab w:val="num" w:pos="1440"/>
        </w:tabs>
        <w:ind w:left="1440" w:hanging="360"/>
      </w:pPr>
      <w:rPr>
        <w:rFonts w:ascii="Arial" w:hAnsi="Arial" w:cs="Times New Roman" w:hint="default"/>
      </w:rPr>
    </w:lvl>
    <w:lvl w:ilvl="2" w:tplc="014E4790">
      <w:start w:val="1373"/>
      <w:numFmt w:val="bullet"/>
      <w:lvlText w:val="•"/>
      <w:lvlJc w:val="left"/>
      <w:pPr>
        <w:tabs>
          <w:tab w:val="num" w:pos="2160"/>
        </w:tabs>
        <w:ind w:left="2160" w:hanging="360"/>
      </w:pPr>
      <w:rPr>
        <w:rFonts w:ascii="Arial" w:hAnsi="Arial" w:cs="Times New Roman" w:hint="default"/>
      </w:rPr>
    </w:lvl>
    <w:lvl w:ilvl="3" w:tplc="D966A17A">
      <w:start w:val="1"/>
      <w:numFmt w:val="bullet"/>
      <w:lvlText w:val="•"/>
      <w:lvlJc w:val="left"/>
      <w:pPr>
        <w:tabs>
          <w:tab w:val="num" w:pos="2880"/>
        </w:tabs>
        <w:ind w:left="2880" w:hanging="360"/>
      </w:pPr>
      <w:rPr>
        <w:rFonts w:ascii="Arial" w:hAnsi="Arial" w:cs="Times New Roman" w:hint="default"/>
      </w:rPr>
    </w:lvl>
    <w:lvl w:ilvl="4" w:tplc="561CDCB2">
      <w:start w:val="1"/>
      <w:numFmt w:val="bullet"/>
      <w:lvlText w:val="•"/>
      <w:lvlJc w:val="left"/>
      <w:pPr>
        <w:tabs>
          <w:tab w:val="num" w:pos="3600"/>
        </w:tabs>
        <w:ind w:left="3600" w:hanging="360"/>
      </w:pPr>
      <w:rPr>
        <w:rFonts w:ascii="Arial" w:hAnsi="Arial" w:cs="Times New Roman" w:hint="default"/>
      </w:rPr>
    </w:lvl>
    <w:lvl w:ilvl="5" w:tplc="31563210">
      <w:start w:val="1"/>
      <w:numFmt w:val="bullet"/>
      <w:lvlText w:val="•"/>
      <w:lvlJc w:val="left"/>
      <w:pPr>
        <w:tabs>
          <w:tab w:val="num" w:pos="4320"/>
        </w:tabs>
        <w:ind w:left="4320" w:hanging="360"/>
      </w:pPr>
      <w:rPr>
        <w:rFonts w:ascii="Arial" w:hAnsi="Arial" w:cs="Times New Roman" w:hint="default"/>
      </w:rPr>
    </w:lvl>
    <w:lvl w:ilvl="6" w:tplc="14B0264E">
      <w:start w:val="1"/>
      <w:numFmt w:val="bullet"/>
      <w:lvlText w:val="•"/>
      <w:lvlJc w:val="left"/>
      <w:pPr>
        <w:tabs>
          <w:tab w:val="num" w:pos="5040"/>
        </w:tabs>
        <w:ind w:left="5040" w:hanging="360"/>
      </w:pPr>
      <w:rPr>
        <w:rFonts w:ascii="Arial" w:hAnsi="Arial" w:cs="Times New Roman" w:hint="default"/>
      </w:rPr>
    </w:lvl>
    <w:lvl w:ilvl="7" w:tplc="F2AE96C2">
      <w:start w:val="1"/>
      <w:numFmt w:val="bullet"/>
      <w:lvlText w:val="•"/>
      <w:lvlJc w:val="left"/>
      <w:pPr>
        <w:tabs>
          <w:tab w:val="num" w:pos="5760"/>
        </w:tabs>
        <w:ind w:left="5760" w:hanging="360"/>
      </w:pPr>
      <w:rPr>
        <w:rFonts w:ascii="Arial" w:hAnsi="Arial" w:cs="Times New Roman" w:hint="default"/>
      </w:rPr>
    </w:lvl>
    <w:lvl w:ilvl="8" w:tplc="262CB0A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162146"/>
    <w:multiLevelType w:val="hybridMultilevel"/>
    <w:tmpl w:val="0E04F31C"/>
    <w:lvl w:ilvl="0" w:tplc="0166E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22"/>
    <w:lvlOverride w:ilvl="0">
      <w:startOverride w:val="1"/>
    </w:lvlOverride>
  </w:num>
  <w:num w:numId="5">
    <w:abstractNumId w:val="8"/>
  </w:num>
  <w:num w:numId="6">
    <w:abstractNumId w:val="0"/>
  </w:num>
  <w:num w:numId="7">
    <w:abstractNumId w:val="24"/>
  </w:num>
  <w:num w:numId="8">
    <w:abstractNumId w:val="3"/>
  </w:num>
  <w:num w:numId="9">
    <w:abstractNumId w:val="4"/>
  </w:num>
  <w:num w:numId="10">
    <w:abstractNumId w:val="21"/>
  </w:num>
  <w:num w:numId="11">
    <w:abstractNumId w:val="1"/>
  </w:num>
  <w:num w:numId="12">
    <w:abstractNumId w:val="19"/>
  </w:num>
  <w:num w:numId="13">
    <w:abstractNumId w:val="16"/>
  </w:num>
  <w:num w:numId="14">
    <w:abstractNumId w:val="6"/>
  </w:num>
  <w:num w:numId="15">
    <w:abstractNumId w:val="20"/>
  </w:num>
  <w:num w:numId="16">
    <w:abstractNumId w:val="9"/>
  </w:num>
  <w:num w:numId="17">
    <w:abstractNumId w:val="2"/>
  </w:num>
  <w:num w:numId="18">
    <w:abstractNumId w:val="15"/>
  </w:num>
  <w:num w:numId="19">
    <w:abstractNumId w:val="13"/>
  </w:num>
  <w:num w:numId="20">
    <w:abstractNumId w:val="11"/>
  </w:num>
  <w:num w:numId="21">
    <w:abstractNumId w:val="18"/>
  </w:num>
  <w:num w:numId="22">
    <w:abstractNumId w:val="7"/>
  </w:num>
  <w:num w:numId="23">
    <w:abstractNumId w:val="10"/>
  </w:num>
  <w:num w:numId="24">
    <w:abstractNumId w:val="11"/>
  </w:num>
  <w:num w:numId="25">
    <w:abstractNumId w:val="20"/>
  </w:num>
  <w:num w:numId="26">
    <w:abstractNumId w:val="16"/>
  </w:num>
  <w:num w:numId="27">
    <w:abstractNumId w:val="1"/>
  </w:num>
  <w:num w:numId="28">
    <w:abstractNumId w:val="23"/>
  </w:num>
  <w:num w:numId="29">
    <w:abstractNumId w:val="17"/>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1FF0"/>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3E1"/>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4EF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38FC"/>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031"/>
    <w:rsid w:val="000832D0"/>
    <w:rsid w:val="00083322"/>
    <w:rsid w:val="000838B0"/>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3B7"/>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B43"/>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6FB7"/>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09C"/>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7DB"/>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868"/>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2FFB"/>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96E"/>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68"/>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B68"/>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14D"/>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6D54"/>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A"/>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672"/>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A69"/>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584"/>
    <w:rsid w:val="00465EB3"/>
    <w:rsid w:val="00467E5D"/>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175"/>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66"/>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3AA"/>
    <w:rsid w:val="004D0A8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CA"/>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467"/>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08C"/>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403"/>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5B3"/>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8F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344"/>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D7"/>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834"/>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0D6E"/>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3C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59F"/>
    <w:rsid w:val="007406A2"/>
    <w:rsid w:val="007406C0"/>
    <w:rsid w:val="00740AC1"/>
    <w:rsid w:val="00740B5C"/>
    <w:rsid w:val="00740BF9"/>
    <w:rsid w:val="0074108B"/>
    <w:rsid w:val="00741103"/>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8AB"/>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9F9"/>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A86"/>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5E83"/>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812"/>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83C"/>
    <w:rsid w:val="007E5D16"/>
    <w:rsid w:val="007E5FFD"/>
    <w:rsid w:val="007E6239"/>
    <w:rsid w:val="007E6735"/>
    <w:rsid w:val="007E67F4"/>
    <w:rsid w:val="007E6D7A"/>
    <w:rsid w:val="007E732E"/>
    <w:rsid w:val="007E741E"/>
    <w:rsid w:val="007E7529"/>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42A"/>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5C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1D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F24"/>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5D"/>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9C0"/>
    <w:rsid w:val="00935B52"/>
    <w:rsid w:val="009360F7"/>
    <w:rsid w:val="0093634D"/>
    <w:rsid w:val="00936D07"/>
    <w:rsid w:val="009370A6"/>
    <w:rsid w:val="00937382"/>
    <w:rsid w:val="00937AC7"/>
    <w:rsid w:val="00937D15"/>
    <w:rsid w:val="0094031D"/>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1B9"/>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14E"/>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CBF"/>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3243"/>
    <w:rsid w:val="00A54A90"/>
    <w:rsid w:val="00A54B0B"/>
    <w:rsid w:val="00A54D16"/>
    <w:rsid w:val="00A553DF"/>
    <w:rsid w:val="00A556D0"/>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47C"/>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A5C"/>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36E"/>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0D6"/>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728"/>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8AE"/>
    <w:rsid w:val="00B32F7F"/>
    <w:rsid w:val="00B33126"/>
    <w:rsid w:val="00B338CE"/>
    <w:rsid w:val="00B3396B"/>
    <w:rsid w:val="00B33BE6"/>
    <w:rsid w:val="00B33F7C"/>
    <w:rsid w:val="00B34390"/>
    <w:rsid w:val="00B346C7"/>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3AE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0F9"/>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AE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EC8"/>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3D88"/>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073"/>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53B"/>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420"/>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5F60"/>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5FB"/>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05"/>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0B2"/>
    <w:rsid w:val="00D471EF"/>
    <w:rsid w:val="00D47569"/>
    <w:rsid w:val="00D475CC"/>
    <w:rsid w:val="00D47622"/>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DDF"/>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C65"/>
    <w:rsid w:val="00DD1E75"/>
    <w:rsid w:val="00DD1ED7"/>
    <w:rsid w:val="00DD242B"/>
    <w:rsid w:val="00DD2FE5"/>
    <w:rsid w:val="00DD32DF"/>
    <w:rsid w:val="00DD3401"/>
    <w:rsid w:val="00DD3430"/>
    <w:rsid w:val="00DD3480"/>
    <w:rsid w:val="00DD3565"/>
    <w:rsid w:val="00DD4094"/>
    <w:rsid w:val="00DD41AA"/>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01E"/>
    <w:rsid w:val="00E06977"/>
    <w:rsid w:val="00E06AF4"/>
    <w:rsid w:val="00E0722D"/>
    <w:rsid w:val="00E073C8"/>
    <w:rsid w:val="00E075B8"/>
    <w:rsid w:val="00E07686"/>
    <w:rsid w:val="00E07B48"/>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1A6"/>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0F35"/>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528"/>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47F7C"/>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B5"/>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A"/>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3309"/>
  <w15:docId w15:val="{8929BE98-EE14-49BC-9F51-BB6B1A2B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3615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8925">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0695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95449">
      <w:bodyDiv w:val="1"/>
      <w:marLeft w:val="0"/>
      <w:marRight w:val="0"/>
      <w:marTop w:val="0"/>
      <w:marBottom w:val="0"/>
      <w:divBdr>
        <w:top w:val="none" w:sz="0" w:space="0" w:color="auto"/>
        <w:left w:val="none" w:sz="0" w:space="0" w:color="auto"/>
        <w:bottom w:val="none" w:sz="0" w:space="0" w:color="auto"/>
        <w:right w:val="none" w:sz="0" w:space="0" w:color="auto"/>
      </w:divBdr>
    </w:div>
    <w:div w:id="1075858711">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691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2077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70470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HR33RHYHUWRF-4-4967</_dlc_DocId>
    <_dlc_DocIdUrl xmlns="c06861ca-3f08-4d07-bff7-bb15bac121f4">
      <Url>https://projects.qualcomm.com/sites/pentari/_layouts/15/DocIdRedir.aspx?ID=HR33RHYHUWRF-4-4967</Url>
      <Description>HR33RHYHUWRF-4-4967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CACB24E7-367C-4CDC-B3F7-D16C83E4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6</Pages>
  <Words>2535</Words>
  <Characters>14455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15</cp:revision>
  <cp:lastPrinted>2017-01-02T07:16:00Z</cp:lastPrinted>
  <dcterms:created xsi:type="dcterms:W3CDTF">2017-06-15T04:47:00Z</dcterms:created>
  <dcterms:modified xsi:type="dcterms:W3CDTF">2017-06-17T03:55:00Z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55857849-7baa-4668-af65-ffdd6a69e046</vt:lpwstr>
  </property>
  <property fmtid="{D5CDD505-2E9C-101B-9397-08002B2CF9AE}" pid="4" name="_NewReviewCycle">
    <vt:lpwstr/>
  </property>
  <property fmtid="{D5CDD505-2E9C-101B-9397-08002B2CF9AE}" pid="5" name="_AdHocReviewCycleID">
    <vt:i4>-122186666</vt:i4>
  </property>
  <property fmtid="{D5CDD505-2E9C-101B-9397-08002B2CF9AE}" pid="6" name="_EmailSubject">
    <vt:lpwstr>Draft contribution: null tone</vt:lpwstr>
  </property>
  <property fmtid="{D5CDD505-2E9C-101B-9397-08002B2CF9AE}" pid="7" name="_AuthorEmail">
    <vt:lpwstr>wnam@qti.qualcomm.com</vt:lpwstr>
  </property>
  <property fmtid="{D5CDD505-2E9C-101B-9397-08002B2CF9AE}" pid="8" name="_AuthorEmailDisplayName">
    <vt:lpwstr>Wooseok Nam</vt:lpwstr>
  </property>
  <property fmtid="{D5CDD505-2E9C-101B-9397-08002B2CF9AE}" pid="9" name="_ReviewingToolsShownOnce">
    <vt:lpwstr/>
  </property>
</Properties>
</file>