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B7F878" w14:textId="4CAC0753" w:rsidR="00D42D5D" w:rsidRPr="000A64D8" w:rsidRDefault="00F01D01" w:rsidP="00D42D5D">
      <w:pPr>
        <w:tabs>
          <w:tab w:val="right" w:pos="10000"/>
        </w:tabs>
        <w:spacing w:after="0"/>
        <w:rPr>
          <w:rFonts w:ascii="Arial" w:hAnsi="Arial" w:cs="Arial"/>
          <w:b/>
          <w:sz w:val="24"/>
          <w:szCs w:val="24"/>
        </w:rPr>
      </w:pPr>
      <w:r w:rsidRPr="00F01D01">
        <w:rPr>
          <w:rFonts w:ascii="Arial" w:hAnsi="Arial" w:cs="Arial"/>
          <w:b/>
          <w:sz w:val="24"/>
          <w:szCs w:val="24"/>
        </w:rPr>
        <w:t>3GPP TSG RAN WG1 NR Ad-Hoc#2</w:t>
      </w:r>
      <w:r w:rsidR="00D42D5D" w:rsidRPr="000A64D8">
        <w:rPr>
          <w:rFonts w:ascii="Arial" w:hAnsi="Arial" w:cs="Arial"/>
          <w:b/>
          <w:sz w:val="24"/>
          <w:szCs w:val="24"/>
        </w:rPr>
        <w:t xml:space="preserve"> </w:t>
      </w:r>
      <w:r w:rsidR="00D42D5D" w:rsidRPr="000A64D8">
        <w:rPr>
          <w:rFonts w:ascii="Arial" w:hAnsi="Arial" w:cs="Arial"/>
          <w:b/>
          <w:sz w:val="24"/>
          <w:szCs w:val="24"/>
        </w:rPr>
        <w:tab/>
      </w:r>
      <w:r w:rsidR="00961A61" w:rsidRPr="00961A61">
        <w:rPr>
          <w:rFonts w:ascii="Arial" w:hAnsi="Arial" w:cs="Arial"/>
          <w:b/>
          <w:sz w:val="24"/>
          <w:szCs w:val="24"/>
        </w:rPr>
        <w:t>R1-</w:t>
      </w:r>
      <w:r w:rsidR="00044631" w:rsidRPr="00044631">
        <w:t xml:space="preserve"> </w:t>
      </w:r>
      <w:r w:rsidR="00044631" w:rsidRPr="00044631">
        <w:rPr>
          <w:rFonts w:ascii="Arial" w:hAnsi="Arial" w:cs="Arial"/>
          <w:b/>
          <w:sz w:val="24"/>
          <w:szCs w:val="24"/>
        </w:rPr>
        <w:t>1711187</w:t>
      </w:r>
    </w:p>
    <w:p w14:paraId="43B7F879" w14:textId="6926C59F" w:rsidR="00D1303E" w:rsidRPr="00FD021C" w:rsidRDefault="00F01D01" w:rsidP="00D1303E">
      <w:pPr>
        <w:tabs>
          <w:tab w:val="right" w:pos="9630"/>
        </w:tabs>
        <w:spacing w:after="0"/>
        <w:jc w:val="both"/>
        <w:rPr>
          <w:rFonts w:ascii="Arial" w:hAnsi="Arial" w:cs="Arial"/>
          <w:b/>
          <w:sz w:val="24"/>
          <w:szCs w:val="24"/>
        </w:rPr>
      </w:pPr>
      <w:r w:rsidRPr="00F01D01">
        <w:rPr>
          <w:rFonts w:ascii="Arial" w:hAnsi="Arial" w:cs="Arial"/>
          <w:b/>
          <w:sz w:val="24"/>
          <w:szCs w:val="24"/>
        </w:rPr>
        <w:t>27th – 30th June 2017</w:t>
      </w:r>
    </w:p>
    <w:p w14:paraId="43B7F87A" w14:textId="5C6B884B" w:rsidR="00D1303E" w:rsidRPr="00FD021C" w:rsidRDefault="00F01D01" w:rsidP="00D1303E">
      <w:pPr>
        <w:spacing w:after="0"/>
        <w:jc w:val="both"/>
        <w:rPr>
          <w:rFonts w:ascii="Arial" w:hAnsi="Arial" w:cs="Arial"/>
          <w:b/>
          <w:sz w:val="24"/>
          <w:szCs w:val="24"/>
        </w:rPr>
      </w:pPr>
      <w:r w:rsidRPr="00F01D01">
        <w:rPr>
          <w:rFonts w:ascii="Arial" w:hAnsi="Arial" w:cs="Arial"/>
          <w:b/>
          <w:sz w:val="24"/>
          <w:szCs w:val="24"/>
        </w:rPr>
        <w:t>Qingdao, P.R. China</w:t>
      </w:r>
    </w:p>
    <w:p w14:paraId="43B7F87B" w14:textId="77777777" w:rsidR="0068226B" w:rsidRPr="000A64D8" w:rsidRDefault="0068226B" w:rsidP="00480B03">
      <w:pPr>
        <w:pStyle w:val="Footer"/>
        <w:jc w:val="both"/>
        <w:rPr>
          <w:noProof w:val="0"/>
        </w:rPr>
      </w:pPr>
    </w:p>
    <w:p w14:paraId="43B7F87C" w14:textId="49C5685A"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87634B">
        <w:rPr>
          <w:rFonts w:ascii="Arial" w:hAnsi="Arial"/>
          <w:sz w:val="24"/>
        </w:rPr>
        <w:t>5.1.3.1.6</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0AF53636" w:rsidR="00C10599" w:rsidRPr="00736C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91CF3">
        <w:rPr>
          <w:rFonts w:ascii="Arial" w:hAnsi="Arial"/>
          <w:sz w:val="24"/>
          <w:szCs w:val="24"/>
        </w:rPr>
        <w:t>Advanced Grant Indication for UE Power Saving</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586E038F" w14:textId="0EC964E0" w:rsidR="00F83CD8" w:rsidRPr="00D020AF" w:rsidRDefault="00F83CD8" w:rsidP="00585C83">
      <w:pPr>
        <w:jc w:val="both"/>
      </w:pPr>
      <w:r w:rsidRPr="00D020AF">
        <w:rPr>
          <w:szCs w:val="22"/>
        </w:rPr>
        <w:t xml:space="preserve">In many cases, UE can </w:t>
      </w:r>
      <w:r w:rsidR="003B2B8F">
        <w:rPr>
          <w:szCs w:val="22"/>
        </w:rPr>
        <w:t xml:space="preserve">be more </w:t>
      </w:r>
      <w:r w:rsidRPr="00D020AF">
        <w:rPr>
          <w:szCs w:val="22"/>
        </w:rPr>
        <w:t xml:space="preserve">power </w:t>
      </w:r>
      <w:r w:rsidR="003B2B8F">
        <w:rPr>
          <w:szCs w:val="22"/>
        </w:rPr>
        <w:t xml:space="preserve">efficient in connected mode </w:t>
      </w:r>
      <w:r w:rsidRPr="00D020AF">
        <w:rPr>
          <w:szCs w:val="22"/>
        </w:rPr>
        <w:t xml:space="preserve">if it </w:t>
      </w:r>
      <w:r w:rsidR="00D020AF">
        <w:rPr>
          <w:szCs w:val="22"/>
        </w:rPr>
        <w:t xml:space="preserve">receives </w:t>
      </w:r>
      <w:r w:rsidR="003B2B8F">
        <w:rPr>
          <w:szCs w:val="22"/>
        </w:rPr>
        <w:t xml:space="preserve">some </w:t>
      </w:r>
      <w:r w:rsidR="00D020AF">
        <w:rPr>
          <w:szCs w:val="22"/>
        </w:rPr>
        <w:t xml:space="preserve">scheduling information in </w:t>
      </w:r>
      <w:r w:rsidRPr="00D020AF">
        <w:rPr>
          <w:szCs w:val="22"/>
        </w:rPr>
        <w:t xml:space="preserve">advance from the gNB. Such information </w:t>
      </w:r>
      <w:r w:rsidR="003B2B8F">
        <w:rPr>
          <w:szCs w:val="22"/>
        </w:rPr>
        <w:t>includes</w:t>
      </w:r>
      <w:r w:rsidRPr="00D020AF">
        <w:rPr>
          <w:szCs w:val="22"/>
        </w:rPr>
        <w:t xml:space="preserve"> at least </w:t>
      </w:r>
      <w:r w:rsidR="003B2B8F">
        <w:rPr>
          <w:szCs w:val="22"/>
        </w:rPr>
        <w:t xml:space="preserve">an indication of </w:t>
      </w:r>
      <w:r w:rsidRPr="00D020AF">
        <w:rPr>
          <w:szCs w:val="22"/>
        </w:rPr>
        <w:t xml:space="preserve">whether a grant should be expected. We propose the term Advanced Grant Indication (AGI) to refer to this information. AGI could be </w:t>
      </w:r>
      <w:r w:rsidR="00B9090A">
        <w:rPr>
          <w:szCs w:val="22"/>
        </w:rPr>
        <w:t>useful</w:t>
      </w:r>
      <w:r w:rsidRPr="00D020AF">
        <w:rPr>
          <w:szCs w:val="22"/>
        </w:rPr>
        <w:t xml:space="preserve"> for two power saving scenarios: (i) DRX with wake-up signaling (WUS), (ii) cross-slot scheduling in PDCCH-monitoring mode</w:t>
      </w:r>
      <w:r w:rsidR="00B9090A">
        <w:rPr>
          <w:szCs w:val="22"/>
        </w:rPr>
        <w:t xml:space="preserve">, which has been introduced in </w:t>
      </w:r>
      <w:r w:rsidR="00B9090A">
        <w:rPr>
          <w:szCs w:val="22"/>
        </w:rPr>
        <w:fldChar w:fldCharType="begin"/>
      </w:r>
      <w:r w:rsidR="00B9090A">
        <w:rPr>
          <w:szCs w:val="22"/>
        </w:rPr>
        <w:instrText xml:space="preserve"> REF _Ref485333421 \r \h </w:instrText>
      </w:r>
      <w:r w:rsidR="00B9090A">
        <w:rPr>
          <w:szCs w:val="22"/>
        </w:rPr>
      </w:r>
      <w:r w:rsidR="00B9090A">
        <w:rPr>
          <w:szCs w:val="22"/>
        </w:rPr>
        <w:fldChar w:fldCharType="separate"/>
      </w:r>
      <w:r w:rsidR="009F7FEF">
        <w:rPr>
          <w:szCs w:val="22"/>
        </w:rPr>
        <w:t>[5]</w:t>
      </w:r>
      <w:r w:rsidR="00B9090A">
        <w:rPr>
          <w:szCs w:val="22"/>
        </w:rPr>
        <w:fldChar w:fldCharType="end"/>
      </w:r>
      <w:r w:rsidRPr="00D020AF">
        <w:rPr>
          <w:szCs w:val="22"/>
        </w:rPr>
        <w:t xml:space="preserve">. </w:t>
      </w:r>
    </w:p>
    <w:p w14:paraId="02E804D2" w14:textId="7DE09642" w:rsidR="00261DBC" w:rsidRPr="003B2B8F" w:rsidRDefault="00261DBC" w:rsidP="00585C83">
      <w:pPr>
        <w:jc w:val="both"/>
      </w:pPr>
      <w:r w:rsidRPr="003B2B8F">
        <w:t xml:space="preserve">Concept of </w:t>
      </w:r>
      <w:r w:rsidR="002C4211">
        <w:t>wake-up signaling (</w:t>
      </w:r>
      <w:r w:rsidRPr="003B2B8F">
        <w:t>WUS</w:t>
      </w:r>
      <w:r w:rsidR="002C4211">
        <w:t>)</w:t>
      </w:r>
      <w:r w:rsidRPr="003B2B8F">
        <w:t xml:space="preserve"> </w:t>
      </w:r>
      <w:r w:rsidR="00CC29FF">
        <w:t xml:space="preserve">for DRX in NR </w:t>
      </w:r>
      <w:r w:rsidR="00044631">
        <w:t>was</w:t>
      </w:r>
      <w:r w:rsidRPr="003B2B8F">
        <w:t xml:space="preserve"> introduce</w:t>
      </w:r>
      <w:r w:rsidR="003459FE" w:rsidRPr="003B2B8F">
        <w:t>d</w:t>
      </w:r>
      <w:r w:rsidRPr="003B2B8F">
        <w:t xml:space="preserve"> in </w:t>
      </w:r>
      <w:r w:rsidR="00B9090A">
        <w:fldChar w:fldCharType="begin"/>
      </w:r>
      <w:r w:rsidR="00B9090A">
        <w:instrText xml:space="preserve"> REF _Ref485327893 \r \h </w:instrText>
      </w:r>
      <w:r w:rsidR="00B9090A">
        <w:fldChar w:fldCharType="separate"/>
      </w:r>
      <w:r w:rsidR="009F7FEF">
        <w:t>[1]</w:t>
      </w:r>
      <w:r w:rsidR="00B9090A">
        <w:fldChar w:fldCharType="end"/>
      </w:r>
      <w:r w:rsidR="00B9090A">
        <w:fldChar w:fldCharType="begin"/>
      </w:r>
      <w:r w:rsidR="00B9090A">
        <w:instrText xml:space="preserve"> REF _Ref485327895 \r \h </w:instrText>
      </w:r>
      <w:r w:rsidR="00B9090A">
        <w:fldChar w:fldCharType="separate"/>
      </w:r>
      <w:r w:rsidR="009F7FEF">
        <w:t>[3]</w:t>
      </w:r>
      <w:r w:rsidR="00B9090A">
        <w:fldChar w:fldCharType="end"/>
      </w:r>
      <w:r w:rsidR="00B11E13">
        <w:t xml:space="preserve"> and multiple companies also</w:t>
      </w:r>
      <w:r w:rsidR="00B9090A">
        <w:t xml:space="preserve"> contributed</w:t>
      </w:r>
      <w:r w:rsidR="009F7FEF">
        <w:t xml:space="preserve"> </w:t>
      </w:r>
      <w:r w:rsidR="009F7FEF">
        <w:fldChar w:fldCharType="begin"/>
      </w:r>
      <w:r w:rsidR="009F7FEF">
        <w:instrText xml:space="preserve"> REF _Ref485345100 \r \h </w:instrText>
      </w:r>
      <w:r w:rsidR="009F7FEF">
        <w:fldChar w:fldCharType="separate"/>
      </w:r>
      <w:r w:rsidR="009F7FEF">
        <w:t>[4]</w:t>
      </w:r>
      <w:r w:rsidR="009F7FEF">
        <w:fldChar w:fldCharType="end"/>
      </w:r>
      <w:r w:rsidR="006F74D2" w:rsidRPr="003B2B8F">
        <w:t xml:space="preserve">. </w:t>
      </w:r>
      <w:r w:rsidR="002C4211">
        <w:t>WUS</w:t>
      </w:r>
      <w:r w:rsidR="001E606C">
        <w:t xml:space="preserve"> is a system level concept spanning</w:t>
      </w:r>
      <w:r w:rsidR="002C4211">
        <w:t xml:space="preserve"> physical layer and MAC layer. For physical layer design</w:t>
      </w:r>
      <w:r w:rsidR="00B11E13">
        <w:t>, w</w:t>
      </w:r>
      <w:r w:rsidR="00F83CD8" w:rsidRPr="003B2B8F">
        <w:t xml:space="preserve">e propose using AGI </w:t>
      </w:r>
      <w:r w:rsidR="00B11E13">
        <w:t xml:space="preserve">(instead of “wake-up signal”) </w:t>
      </w:r>
      <w:r w:rsidR="00F83CD8" w:rsidRPr="003B2B8F">
        <w:t xml:space="preserve">to refer to the </w:t>
      </w:r>
      <w:r w:rsidR="003B2B8F">
        <w:t xml:space="preserve">control information carried in a </w:t>
      </w:r>
      <w:r w:rsidR="00F83CD8" w:rsidRPr="003B2B8F">
        <w:t>physical channel.</w:t>
      </w:r>
    </w:p>
    <w:p w14:paraId="588B4823" w14:textId="55260F6B" w:rsidR="00F91CF3" w:rsidRPr="003B2B8F" w:rsidRDefault="002C4211" w:rsidP="00585C83">
      <w:pPr>
        <w:jc w:val="both"/>
      </w:pPr>
      <w:r>
        <w:t xml:space="preserve">In </w:t>
      </w:r>
      <w:r>
        <w:fldChar w:fldCharType="begin"/>
      </w:r>
      <w:r>
        <w:instrText xml:space="preserve"> REF _Ref485333421 \r \h </w:instrText>
      </w:r>
      <w:r>
        <w:fldChar w:fldCharType="separate"/>
      </w:r>
      <w:r w:rsidR="009F7FEF">
        <w:t>[5]</w:t>
      </w:r>
      <w:r>
        <w:fldChar w:fldCharType="end"/>
      </w:r>
      <w:r>
        <w:t xml:space="preserve">, </w:t>
      </w:r>
      <w:r w:rsidR="00212CD8" w:rsidRPr="003B2B8F">
        <w:t>AGI</w:t>
      </w:r>
      <w:r w:rsidR="00F91CF3" w:rsidRPr="003B2B8F">
        <w:t xml:space="preserve"> is proposed</w:t>
      </w:r>
      <w:r w:rsidR="00CC7373" w:rsidRPr="003B2B8F">
        <w:t xml:space="preserve"> </w:t>
      </w:r>
      <w:r>
        <w:t xml:space="preserve">as an alternate approach to </w:t>
      </w:r>
      <w:r w:rsidR="00CC7373" w:rsidRPr="003B2B8F">
        <w:t>cross-slot scheduling</w:t>
      </w:r>
      <w:r w:rsidR="00F91CF3" w:rsidRPr="003B2B8F">
        <w:t xml:space="preserve">. It allows the UE to know </w:t>
      </w:r>
      <w:r w:rsidR="003B2B8F">
        <w:t xml:space="preserve">in advance </w:t>
      </w:r>
      <w:r w:rsidR="00F91CF3" w:rsidRPr="003B2B8F">
        <w:t xml:space="preserve">whether a grant will be scheduled </w:t>
      </w:r>
      <w:r w:rsidR="00CC7373" w:rsidRPr="003B2B8F">
        <w:t>to help with power saving</w:t>
      </w:r>
      <w:r w:rsidR="00F91CF3" w:rsidRPr="003B2B8F">
        <w:t xml:space="preserve">. The </w:t>
      </w:r>
      <w:r w:rsidR="00B11E13">
        <w:t>content</w:t>
      </w:r>
      <w:r w:rsidR="00F91CF3" w:rsidRPr="003B2B8F">
        <w:t xml:space="preserve"> of this indication is very similar to WUS; It is envisioned that the same physical channel can be used.</w:t>
      </w:r>
    </w:p>
    <w:p w14:paraId="77AD4991" w14:textId="339C5E38" w:rsidR="00F91CF3" w:rsidRDefault="002C4211" w:rsidP="00585C83">
      <w:pPr>
        <w:jc w:val="both"/>
        <w:rPr>
          <w:i/>
        </w:rPr>
      </w:pPr>
      <w:r>
        <w:t>In this contribution, to set the context, the applications and need for AGI will be discussed</w:t>
      </w:r>
      <w:r w:rsidR="00044631">
        <w:t xml:space="preserve"> first</w:t>
      </w:r>
      <w:r>
        <w:t>. Design consideration for AGI will be discussed next.</w:t>
      </w:r>
    </w:p>
    <w:p w14:paraId="5ADE699D" w14:textId="27B4C318" w:rsidR="0044173B" w:rsidRPr="0044173B" w:rsidRDefault="0044173B" w:rsidP="004503F9">
      <w:pPr>
        <w:jc w:val="both"/>
        <w:rPr>
          <w:szCs w:val="22"/>
        </w:rPr>
      </w:pPr>
    </w:p>
    <w:p w14:paraId="7331FB65" w14:textId="77777777" w:rsidR="00F91CF3" w:rsidRDefault="00F91CF3" w:rsidP="0044173B">
      <w:pPr>
        <w:pStyle w:val="Heading1"/>
      </w:pPr>
      <w:r>
        <w:t>Discussion</w:t>
      </w:r>
    </w:p>
    <w:p w14:paraId="0B3BE98D" w14:textId="48EB01D2" w:rsidR="0044173B" w:rsidRDefault="00212CD8" w:rsidP="00F91CF3">
      <w:pPr>
        <w:pStyle w:val="Heading2"/>
      </w:pPr>
      <w:r>
        <w:t xml:space="preserve">Applications of </w:t>
      </w:r>
      <w:r w:rsidR="00C6436F">
        <w:t>Advanced Grant Indication (AGI)</w:t>
      </w:r>
    </w:p>
    <w:p w14:paraId="0D161239" w14:textId="54C38533" w:rsidR="008005BF" w:rsidRDefault="00212CD8" w:rsidP="00F91CF3">
      <w:pPr>
        <w:pStyle w:val="Heading3"/>
      </w:pPr>
      <w:r>
        <w:t>For Wake-up Signaling</w:t>
      </w:r>
      <w:r w:rsidR="00C6436F">
        <w:t xml:space="preserve"> in </w:t>
      </w:r>
      <w:r w:rsidR="00A67B72">
        <w:t>C-</w:t>
      </w:r>
      <w:r w:rsidR="00C6436F">
        <w:t>DRX</w:t>
      </w:r>
    </w:p>
    <w:p w14:paraId="4943D73D" w14:textId="076E1767" w:rsidR="00F44EE8" w:rsidRDefault="00F44EE8" w:rsidP="00031CF0">
      <w:r>
        <w:rPr>
          <w:lang w:val="en-GB"/>
        </w:rPr>
        <w:t xml:space="preserve">High level operation for wake-up signalling has been described in </w:t>
      </w:r>
      <w:r>
        <w:rPr>
          <w:lang w:val="en-GB"/>
        </w:rPr>
        <w:fldChar w:fldCharType="begin"/>
      </w:r>
      <w:r>
        <w:rPr>
          <w:lang w:val="en-GB"/>
        </w:rPr>
        <w:instrText xml:space="preserve"> REF _Ref485327893 \r \h </w:instrText>
      </w:r>
      <w:r>
        <w:rPr>
          <w:lang w:val="en-GB"/>
        </w:rPr>
      </w:r>
      <w:r>
        <w:rPr>
          <w:lang w:val="en-GB"/>
        </w:rPr>
        <w:fldChar w:fldCharType="separate"/>
      </w:r>
      <w:r w:rsidR="009F7FEF">
        <w:rPr>
          <w:lang w:val="en-GB"/>
        </w:rPr>
        <w:t>[1]</w:t>
      </w:r>
      <w:r>
        <w:rPr>
          <w:lang w:val="en-GB"/>
        </w:rPr>
        <w:fldChar w:fldCharType="end"/>
      </w:r>
      <w:r>
        <w:rPr>
          <w:lang w:val="en-GB"/>
        </w:rPr>
        <w:fldChar w:fldCharType="begin"/>
      </w:r>
      <w:r>
        <w:rPr>
          <w:lang w:val="en-GB"/>
        </w:rPr>
        <w:instrText xml:space="preserve"> REF _Ref485327895 \r \h </w:instrText>
      </w:r>
      <w:r>
        <w:rPr>
          <w:lang w:val="en-GB"/>
        </w:rPr>
      </w:r>
      <w:r>
        <w:rPr>
          <w:lang w:val="en-GB"/>
        </w:rPr>
        <w:fldChar w:fldCharType="separate"/>
      </w:r>
      <w:r w:rsidR="009F7FEF">
        <w:rPr>
          <w:lang w:val="en-GB"/>
        </w:rPr>
        <w:t>[3]</w:t>
      </w:r>
      <w:r>
        <w:rPr>
          <w:lang w:val="en-GB"/>
        </w:rPr>
        <w:fldChar w:fldCharType="end"/>
      </w:r>
      <w:r>
        <w:rPr>
          <w:lang w:val="en-GB"/>
        </w:rPr>
        <w:t>.</w:t>
      </w:r>
      <w:r w:rsidRPr="00F44EE8">
        <w:t xml:space="preserve"> </w:t>
      </w:r>
      <w:r w:rsidR="000A6B84">
        <w:t>Below is a recap.</w:t>
      </w:r>
    </w:p>
    <w:p w14:paraId="3598DE62" w14:textId="45F1F49C" w:rsidR="00391A2B" w:rsidRDefault="000A6B84" w:rsidP="00F44EE8">
      <w:pPr>
        <w:rPr>
          <w:lang w:val="en-GB"/>
        </w:rPr>
      </w:pPr>
      <w:r>
        <w:rPr>
          <w:lang w:val="en-GB"/>
        </w:rPr>
        <w:t>For UE in C-DRX</w:t>
      </w:r>
      <w:r w:rsidR="00044631">
        <w:rPr>
          <w:lang w:val="en-GB"/>
        </w:rPr>
        <w:t xml:space="preserve"> that supports WUS</w:t>
      </w:r>
      <w:r>
        <w:rPr>
          <w:lang w:val="en-GB"/>
        </w:rPr>
        <w:t>, before each ON duration, there is a WUS occasion. The time offset between the WUS occasion and ON duration is the WUS offset which should be a configurable parameter. The main purpose of WUS offset</w:t>
      </w:r>
      <w:r w:rsidR="00C1497C">
        <w:rPr>
          <w:lang w:val="en-GB"/>
        </w:rPr>
        <w:t>, which can be multiple slots</w:t>
      </w:r>
      <w:r w:rsidR="008A0D85">
        <w:rPr>
          <w:lang w:val="en-GB"/>
        </w:rPr>
        <w:t xml:space="preserve"> long,</w:t>
      </w:r>
      <w:r>
        <w:rPr>
          <w:lang w:val="en-GB"/>
        </w:rPr>
        <w:t xml:space="preserve"> is to give enough time for the main modem to wake-up from deep sleep and get ready for monitoring </w:t>
      </w:r>
      <w:r w:rsidR="00044631">
        <w:rPr>
          <w:lang w:val="en-GB"/>
        </w:rPr>
        <w:t>PDCCH</w:t>
      </w:r>
      <w:r>
        <w:rPr>
          <w:lang w:val="en-GB"/>
        </w:rPr>
        <w:t>, receiving DL data and transmitting feedback such as HARQ acknowledgement. During the WUS occasion, UE detects for AGI. If the result indicates “grant unexpected”</w:t>
      </w:r>
      <w:r w:rsidR="0044386C">
        <w:rPr>
          <w:lang w:val="en-GB"/>
        </w:rPr>
        <w:t xml:space="preserve"> (</w:t>
      </w:r>
      <w:r w:rsidR="00136B8B">
        <w:rPr>
          <w:lang w:val="en-GB"/>
        </w:rPr>
        <w:t>which applies to</w:t>
      </w:r>
      <w:r w:rsidR="0044386C">
        <w:rPr>
          <w:lang w:val="en-GB"/>
        </w:rPr>
        <w:t xml:space="preserve"> the entire ON duration)</w:t>
      </w:r>
      <w:r>
        <w:rPr>
          <w:lang w:val="en-GB"/>
        </w:rPr>
        <w:t xml:space="preserve">, the UE is allowed to go back to sleep and skip the ON duration. If the result indicates “grant expected”, the main modem wakes up and start monitoring for grants during the ON duration. Whenever a grant is decoded, the inactivity timer restarts and UE is expected to keep monitoring for grant until the timer expires, after which UE may go back to sleep. This process repeats for </w:t>
      </w:r>
      <w:r w:rsidR="002529C2">
        <w:rPr>
          <w:lang w:val="en-GB"/>
        </w:rPr>
        <w:t xml:space="preserve">the next </w:t>
      </w:r>
      <w:r>
        <w:rPr>
          <w:lang w:val="en-GB"/>
        </w:rPr>
        <w:t>DRX cycle.</w:t>
      </w:r>
    </w:p>
    <w:tbl>
      <w:tblPr>
        <w:tblStyle w:val="TableGrid"/>
        <w:tblW w:w="0" w:type="auto"/>
        <w:tblLook w:val="04A0" w:firstRow="1" w:lastRow="0" w:firstColumn="1" w:lastColumn="0" w:noHBand="0" w:noVBand="1"/>
      </w:tblPr>
      <w:tblGrid>
        <w:gridCol w:w="7586"/>
        <w:gridCol w:w="2376"/>
      </w:tblGrid>
      <w:tr w:rsidR="000A6B84" w14:paraId="7C24B526" w14:textId="77777777" w:rsidTr="000A6B84">
        <w:tc>
          <w:tcPr>
            <w:tcW w:w="8005" w:type="dxa"/>
          </w:tcPr>
          <w:p w14:paraId="5B0FFE3B" w14:textId="15735BE8" w:rsidR="000A6B84" w:rsidRDefault="000A6B84" w:rsidP="00F44EE8">
            <w:pPr>
              <w:rPr>
                <w:lang w:val="en-GB"/>
              </w:rPr>
            </w:pPr>
            <w:r>
              <w:object w:dxaOrig="10799" w:dyaOrig="4336" w14:anchorId="1B7A1F1B">
                <v:shape id="_x0000_i1026" type="#_x0000_t75" style="width:370.5pt;height:149.25pt" o:ole="">
                  <v:imagedata r:id="rId12" o:title=""/>
                </v:shape>
                <o:OLEObject Type="Embed" ProgID="Visio.Drawing.11" ShapeID="_x0000_i1026" DrawAspect="Content" ObjectID="_1559158057" r:id="rId13"/>
              </w:object>
            </w:r>
          </w:p>
        </w:tc>
        <w:tc>
          <w:tcPr>
            <w:tcW w:w="1957" w:type="dxa"/>
          </w:tcPr>
          <w:p w14:paraId="5D297322" w14:textId="23C254FB" w:rsidR="000A6B84" w:rsidRDefault="00044631" w:rsidP="00F44EE8">
            <w:r>
              <w:object w:dxaOrig="3430" w:dyaOrig="2530" w14:anchorId="753951C8">
                <v:shape id="_x0000_i1027" type="#_x0000_t75" style="width:108.75pt;height:80.25pt" o:ole="">
                  <v:imagedata r:id="rId14" o:title=""/>
                </v:shape>
                <o:OLEObject Type="Embed" ProgID="Visio.Drawing.11" ShapeID="_x0000_i1027" DrawAspect="Content" ObjectID="_1559158058" r:id="rId15"/>
              </w:object>
            </w:r>
          </w:p>
          <w:p w14:paraId="50EB112E" w14:textId="77777777" w:rsidR="00A87C0A" w:rsidRPr="00A87C0A" w:rsidRDefault="00A87C0A" w:rsidP="00A87C0A">
            <w:pPr>
              <w:jc w:val="left"/>
              <w:rPr>
                <w:rFonts w:asciiTheme="minorHAnsi" w:hAnsiTheme="minorHAnsi"/>
                <w:sz w:val="16"/>
              </w:rPr>
            </w:pPr>
            <w:r w:rsidRPr="00A87C0A">
              <w:rPr>
                <w:rFonts w:asciiTheme="minorHAnsi" w:hAnsiTheme="minorHAnsi"/>
                <w:sz w:val="16"/>
              </w:rPr>
              <w:t>y-axis is proportional to instantaneous power consumption</w:t>
            </w:r>
          </w:p>
          <w:p w14:paraId="0F99036A" w14:textId="7E2AF44C" w:rsidR="00A87C0A" w:rsidRDefault="00A87C0A" w:rsidP="00A87C0A">
            <w:pPr>
              <w:jc w:val="left"/>
              <w:rPr>
                <w:lang w:val="en-GB"/>
              </w:rPr>
            </w:pPr>
            <w:r w:rsidRPr="00A87C0A">
              <w:rPr>
                <w:rFonts w:asciiTheme="minorHAnsi" w:hAnsiTheme="minorHAnsi"/>
                <w:sz w:val="16"/>
              </w:rPr>
              <w:t>x-axis represents time.</w:t>
            </w:r>
          </w:p>
        </w:tc>
        <w:bookmarkStart w:id="2" w:name="_GoBack"/>
        <w:bookmarkEnd w:id="2"/>
      </w:tr>
    </w:tbl>
    <w:p w14:paraId="1335B9D1" w14:textId="77777777" w:rsidR="000A6B84" w:rsidRPr="00F44EE8" w:rsidRDefault="000A6B84" w:rsidP="00F44EE8">
      <w:pPr>
        <w:rPr>
          <w:lang w:val="en-GB"/>
        </w:rPr>
      </w:pPr>
    </w:p>
    <w:p w14:paraId="1204A8D0" w14:textId="4F9ED5CC" w:rsidR="000A6B84" w:rsidRDefault="000A6B84" w:rsidP="000A6B84">
      <w:pPr>
        <w:rPr>
          <w:lang w:val="en-GB"/>
        </w:rPr>
      </w:pPr>
      <w:r w:rsidRPr="000A6B84">
        <w:rPr>
          <w:u w:val="single"/>
          <w:lang w:val="en-GB"/>
        </w:rPr>
        <w:t>Sources of Power Saving</w:t>
      </w:r>
      <w:r>
        <w:rPr>
          <w:lang w:val="en-GB"/>
        </w:rPr>
        <w:t>:</w:t>
      </w:r>
    </w:p>
    <w:p w14:paraId="28DAD569" w14:textId="77777777" w:rsidR="000A6B84" w:rsidRPr="00AE77FD" w:rsidRDefault="000A6B84" w:rsidP="00AE77FD">
      <w:pPr>
        <w:pStyle w:val="ListParagraph"/>
        <w:numPr>
          <w:ilvl w:val="0"/>
          <w:numId w:val="40"/>
        </w:numPr>
        <w:rPr>
          <w:lang w:val="en-GB"/>
        </w:rPr>
      </w:pPr>
      <w:r w:rsidRPr="00AE77FD">
        <w:rPr>
          <w:lang w:val="en-GB"/>
        </w:rPr>
        <w:t>Opportunistic wake-up for the main modem</w:t>
      </w:r>
    </w:p>
    <w:p w14:paraId="6E39DAF5" w14:textId="110F0C13" w:rsidR="000A6B84" w:rsidRPr="00AE77FD" w:rsidRDefault="000A6B84" w:rsidP="00AE77FD">
      <w:pPr>
        <w:pStyle w:val="ListParagraph"/>
        <w:numPr>
          <w:ilvl w:val="0"/>
          <w:numId w:val="41"/>
        </w:numPr>
        <w:rPr>
          <w:lang w:val="en-GB"/>
        </w:rPr>
      </w:pPr>
      <w:r w:rsidRPr="00AE77FD">
        <w:rPr>
          <w:lang w:val="en-GB"/>
        </w:rPr>
        <w:t>Essentially two-stage wake-up: First the minimum functio</w:t>
      </w:r>
      <w:r w:rsidR="002C2EE0">
        <w:rPr>
          <w:lang w:val="en-GB"/>
        </w:rPr>
        <w:t>nality to receive and decode AGI</w:t>
      </w:r>
      <w:r w:rsidRPr="00AE77FD">
        <w:rPr>
          <w:lang w:val="en-GB"/>
        </w:rPr>
        <w:t xml:space="preserve">. Then, conditionally </w:t>
      </w:r>
      <w:r w:rsidR="002C2EE0">
        <w:rPr>
          <w:lang w:val="en-GB"/>
        </w:rPr>
        <w:t>enable</w:t>
      </w:r>
      <w:r w:rsidRPr="00AE77FD">
        <w:rPr>
          <w:lang w:val="en-GB"/>
        </w:rPr>
        <w:t xml:space="preserve"> the full functionality </w:t>
      </w:r>
      <w:r w:rsidR="002C2EE0">
        <w:rPr>
          <w:lang w:val="en-GB"/>
        </w:rPr>
        <w:t xml:space="preserve">of the modem </w:t>
      </w:r>
      <w:r w:rsidRPr="00AE77FD">
        <w:rPr>
          <w:lang w:val="en-GB"/>
        </w:rPr>
        <w:t>for data reception (and feedbacks).</w:t>
      </w:r>
    </w:p>
    <w:p w14:paraId="43D4D1A0" w14:textId="77777777" w:rsidR="000A6B84" w:rsidRPr="00AE77FD" w:rsidRDefault="000A6B84" w:rsidP="00AE77FD">
      <w:pPr>
        <w:pStyle w:val="ListParagraph"/>
        <w:numPr>
          <w:ilvl w:val="0"/>
          <w:numId w:val="40"/>
        </w:numPr>
        <w:rPr>
          <w:lang w:val="en-GB"/>
        </w:rPr>
      </w:pPr>
      <w:r w:rsidRPr="00AE77FD">
        <w:rPr>
          <w:lang w:val="en-GB"/>
        </w:rPr>
        <w:t>Facilitates further DRX parameter optimizations</w:t>
      </w:r>
    </w:p>
    <w:p w14:paraId="552E6615" w14:textId="7F4A9811" w:rsidR="00585C83" w:rsidRPr="00AE77FD" w:rsidRDefault="000A6B84" w:rsidP="00AE77FD">
      <w:pPr>
        <w:pStyle w:val="ListParagraph"/>
        <w:numPr>
          <w:ilvl w:val="0"/>
          <w:numId w:val="41"/>
        </w:numPr>
        <w:rPr>
          <w:lang w:val="en-GB"/>
        </w:rPr>
      </w:pPr>
      <w:r w:rsidRPr="00AE77FD">
        <w:rPr>
          <w:lang w:val="en-GB"/>
        </w:rPr>
        <w:t xml:space="preserve">If the power overhead for waking up to monitor </w:t>
      </w:r>
      <w:r w:rsidR="00044631">
        <w:rPr>
          <w:lang w:val="en-GB"/>
        </w:rPr>
        <w:t xml:space="preserve">for data assignment in each DRX cycle </w:t>
      </w:r>
      <w:r w:rsidRPr="00AE77FD">
        <w:rPr>
          <w:lang w:val="en-GB"/>
        </w:rPr>
        <w:t xml:space="preserve">is reduced, shorter DRX cycle can be power efficient. This allows shortening of the inactivity timer while maintaining the same latency target, and </w:t>
      </w:r>
      <w:r w:rsidR="00660B77">
        <w:rPr>
          <w:lang w:val="en-GB"/>
        </w:rPr>
        <w:t xml:space="preserve">tends to </w:t>
      </w:r>
      <w:r w:rsidR="002C2EE0">
        <w:rPr>
          <w:lang w:val="en-GB"/>
        </w:rPr>
        <w:t>reduce</w:t>
      </w:r>
      <w:r w:rsidRPr="00AE77FD">
        <w:rPr>
          <w:lang w:val="en-GB"/>
        </w:rPr>
        <w:t xml:space="preserve"> the duration of time UE spends monitoring PDCCH (during inactivity timer unexpired state).</w:t>
      </w:r>
    </w:p>
    <w:p w14:paraId="61D99352" w14:textId="77777777" w:rsidR="000A6B84" w:rsidRPr="000A6B84" w:rsidRDefault="000A6B84" w:rsidP="000A6B84">
      <w:pPr>
        <w:rPr>
          <w:lang w:val="en-GB"/>
        </w:rPr>
      </w:pPr>
    </w:p>
    <w:p w14:paraId="26949F75" w14:textId="0176C74D" w:rsidR="00212CD8" w:rsidRDefault="00212CD8" w:rsidP="00585C83">
      <w:pPr>
        <w:pStyle w:val="Heading3"/>
      </w:pPr>
      <w:r>
        <w:t xml:space="preserve">For </w:t>
      </w:r>
      <w:r w:rsidR="00CA432E">
        <w:t>PDCCH Monitoring Mode</w:t>
      </w:r>
    </w:p>
    <w:p w14:paraId="664F32E8" w14:textId="3020C26B" w:rsidR="00212CD8" w:rsidRDefault="001D6508" w:rsidP="00212CD8">
      <w:pPr>
        <w:rPr>
          <w:lang w:val="en-GB"/>
        </w:rPr>
      </w:pPr>
      <w:r>
        <w:rPr>
          <w:lang w:val="en-GB"/>
        </w:rPr>
        <w:t xml:space="preserve">The idea of a power-optimized PDCCH monitoring mode has been </w:t>
      </w:r>
      <w:r w:rsidR="001C36E8">
        <w:rPr>
          <w:lang w:val="en-GB"/>
        </w:rPr>
        <w:t xml:space="preserve">first </w:t>
      </w:r>
      <w:r>
        <w:rPr>
          <w:lang w:val="en-GB"/>
        </w:rPr>
        <w:t xml:space="preserve">introduced in </w:t>
      </w:r>
      <w:r w:rsidR="001C36E8">
        <w:rPr>
          <w:lang w:val="en-GB"/>
        </w:rPr>
        <w:fldChar w:fldCharType="begin"/>
      </w:r>
      <w:r w:rsidR="001C36E8">
        <w:rPr>
          <w:lang w:val="en-GB"/>
        </w:rPr>
        <w:instrText xml:space="preserve"> REF _Ref485343911 \r \h </w:instrText>
      </w:r>
      <w:r w:rsidR="001C36E8">
        <w:rPr>
          <w:lang w:val="en-GB"/>
        </w:rPr>
      </w:r>
      <w:r w:rsidR="001C36E8">
        <w:rPr>
          <w:lang w:val="en-GB"/>
        </w:rPr>
        <w:fldChar w:fldCharType="separate"/>
      </w:r>
      <w:r w:rsidR="009F7FEF">
        <w:rPr>
          <w:lang w:val="en-GB"/>
        </w:rPr>
        <w:t>[2]</w:t>
      </w:r>
      <w:r w:rsidR="001C36E8">
        <w:rPr>
          <w:lang w:val="en-GB"/>
        </w:rPr>
        <w:fldChar w:fldCharType="end"/>
      </w:r>
      <w:r w:rsidR="001C36E8">
        <w:rPr>
          <w:lang w:val="en-GB"/>
        </w:rPr>
        <w:t xml:space="preserve"> and further developed in </w:t>
      </w:r>
      <w:r>
        <w:rPr>
          <w:lang w:val="en-GB"/>
        </w:rPr>
        <w:fldChar w:fldCharType="begin"/>
      </w:r>
      <w:r>
        <w:rPr>
          <w:lang w:val="en-GB"/>
        </w:rPr>
        <w:instrText xml:space="preserve"> REF _Ref485333421 \r \h </w:instrText>
      </w:r>
      <w:r>
        <w:rPr>
          <w:lang w:val="en-GB"/>
        </w:rPr>
      </w:r>
      <w:r>
        <w:rPr>
          <w:lang w:val="en-GB"/>
        </w:rPr>
        <w:fldChar w:fldCharType="separate"/>
      </w:r>
      <w:r w:rsidR="009F7FEF">
        <w:rPr>
          <w:lang w:val="en-GB"/>
        </w:rPr>
        <w:t>[5]</w:t>
      </w:r>
      <w:r>
        <w:rPr>
          <w:lang w:val="en-GB"/>
        </w:rPr>
        <w:fldChar w:fldCharType="end"/>
      </w:r>
      <w:r>
        <w:rPr>
          <w:lang w:val="en-GB"/>
        </w:rPr>
        <w:t>. In this mode, cross-slot scheduling is employed to support the power saving features, such as maximizing microsleep duration and allowing time for RF transition late</w:t>
      </w:r>
      <w:r w:rsidR="006B4D29">
        <w:rPr>
          <w:lang w:val="en-GB"/>
        </w:rPr>
        <w:t>ncy for bandwidth adaptation. An alternate approach to</w:t>
      </w:r>
      <w:r>
        <w:rPr>
          <w:lang w:val="en-GB"/>
        </w:rPr>
        <w:t xml:space="preserve"> cross-slot scheduling is for gNB to signal in AGI that the UE will be scheduled in </w:t>
      </w:r>
      <w:r w:rsidR="003B3C45">
        <w:rPr>
          <w:lang w:val="en-GB"/>
        </w:rPr>
        <w:t>a subsequent</w:t>
      </w:r>
      <w:r>
        <w:rPr>
          <w:lang w:val="en-GB"/>
        </w:rPr>
        <w:t xml:space="preserve"> slot. The full grant will be transmitted </w:t>
      </w:r>
      <w:r w:rsidR="00A979C6">
        <w:rPr>
          <w:lang w:val="en-GB"/>
        </w:rPr>
        <w:t>in the same slot as the DL data. Below is an illustration.</w:t>
      </w:r>
    </w:p>
    <w:p w14:paraId="0750D5D2" w14:textId="0E11B572" w:rsidR="00A979C6" w:rsidRDefault="00A979C6" w:rsidP="00212CD8">
      <w:pPr>
        <w:rPr>
          <w:lang w:val="en-GB"/>
        </w:rPr>
      </w:pPr>
      <w:r>
        <w:object w:dxaOrig="12535" w:dyaOrig="3072" w14:anchorId="629ACC1A">
          <v:shape id="_x0000_i1028" type="#_x0000_t75" style="width:498pt;height:122.25pt" o:ole="">
            <v:imagedata r:id="rId16" o:title=""/>
          </v:shape>
          <o:OLEObject Type="Embed" ProgID="Visio.Drawing.11" ShapeID="_x0000_i1028" DrawAspect="Content" ObjectID="_1559158059" r:id="rId17"/>
        </w:object>
      </w:r>
    </w:p>
    <w:p w14:paraId="2968D1AD" w14:textId="651042CF" w:rsidR="00A979C6" w:rsidRDefault="001D0F99" w:rsidP="00212CD8">
      <w:pPr>
        <w:rPr>
          <w:lang w:val="en-GB"/>
        </w:rPr>
      </w:pPr>
      <w:r>
        <w:rPr>
          <w:lang w:val="en-GB"/>
        </w:rPr>
        <w:t xml:space="preserve">In the above illustration example, it can be seen that if “grant expected” is decoded based on AGI, UE transitions from narrower BW (optimized for PDCCH monitoring) to wider BW (for data reception). In this particular example, transition back to narrower BW </w:t>
      </w:r>
      <w:r w:rsidR="00932C2A">
        <w:rPr>
          <w:lang w:val="en-GB"/>
        </w:rPr>
        <w:t>for</w:t>
      </w:r>
      <w:r>
        <w:rPr>
          <w:lang w:val="en-GB"/>
        </w:rPr>
        <w:t xml:space="preserve"> PDCCH monitoring mode happens after </w:t>
      </w:r>
      <w:r w:rsidR="00932C2A">
        <w:rPr>
          <w:lang w:val="en-GB"/>
        </w:rPr>
        <w:t>not receiving</w:t>
      </w:r>
      <w:r>
        <w:rPr>
          <w:lang w:val="en-GB"/>
        </w:rPr>
        <w:t xml:space="preserve"> </w:t>
      </w:r>
      <w:r w:rsidR="00932C2A">
        <w:rPr>
          <w:lang w:val="en-GB"/>
        </w:rPr>
        <w:t xml:space="preserve">any </w:t>
      </w:r>
      <w:r>
        <w:rPr>
          <w:lang w:val="en-GB"/>
        </w:rPr>
        <w:t>grant</w:t>
      </w:r>
      <w:r w:rsidR="003B3C45">
        <w:rPr>
          <w:lang w:val="en-GB"/>
        </w:rPr>
        <w:t xml:space="preserve"> (in Slot n+x+3)</w:t>
      </w:r>
      <w:r>
        <w:rPr>
          <w:lang w:val="en-GB"/>
        </w:rPr>
        <w:t xml:space="preserve">; Other rules such as not receiving grant for a threshold number of consecutive </w:t>
      </w:r>
      <w:r w:rsidR="00044631">
        <w:rPr>
          <w:lang w:val="en-GB"/>
        </w:rPr>
        <w:t>slots can be used; Explicit L1 signalling can also be considered.</w:t>
      </w:r>
    </w:p>
    <w:p w14:paraId="798AEBF0" w14:textId="2573D095" w:rsidR="001D6508" w:rsidRDefault="00A979C6" w:rsidP="00212CD8">
      <w:pPr>
        <w:rPr>
          <w:lang w:val="en-GB"/>
        </w:rPr>
      </w:pPr>
      <w:r>
        <w:rPr>
          <w:lang w:val="en-GB"/>
        </w:rPr>
        <w:t xml:space="preserve">Compared to </w:t>
      </w:r>
      <w:r w:rsidR="001D0F99">
        <w:rPr>
          <w:lang w:val="en-GB"/>
        </w:rPr>
        <w:t xml:space="preserve">the </w:t>
      </w:r>
      <w:r>
        <w:rPr>
          <w:lang w:val="en-GB"/>
        </w:rPr>
        <w:t>baseline scheme for</w:t>
      </w:r>
      <w:r w:rsidR="001D6508">
        <w:rPr>
          <w:lang w:val="en-GB"/>
        </w:rPr>
        <w:t xml:space="preserve"> cross-slot scheduling where the full grant is transmitted one slot</w:t>
      </w:r>
      <w:r w:rsidR="003B3C45">
        <w:rPr>
          <w:lang w:val="en-GB"/>
        </w:rPr>
        <w:t xml:space="preserve"> (or more)</w:t>
      </w:r>
      <w:r w:rsidR="001D6508">
        <w:rPr>
          <w:lang w:val="en-GB"/>
        </w:rPr>
        <w:t xml:space="preserve"> in advance of the DL data, use of AGI achieves the same objective </w:t>
      </w:r>
      <w:r w:rsidR="00D93D40">
        <w:rPr>
          <w:lang w:val="en-GB"/>
        </w:rPr>
        <w:t>as</w:t>
      </w:r>
      <w:r w:rsidR="001D6508">
        <w:rPr>
          <w:lang w:val="en-GB"/>
        </w:rPr>
        <w:t xml:space="preserve"> cross-slot scheduling in terms of enabling the power saving feature</w:t>
      </w:r>
      <w:r>
        <w:rPr>
          <w:lang w:val="en-GB"/>
        </w:rPr>
        <w:t>s, meanwhile giving the gNB scheduler more flexibility as it can defer construct</w:t>
      </w:r>
      <w:r w:rsidR="00CB2B08">
        <w:rPr>
          <w:lang w:val="en-GB"/>
        </w:rPr>
        <w:t>ion of</w:t>
      </w:r>
      <w:r>
        <w:rPr>
          <w:lang w:val="en-GB"/>
        </w:rPr>
        <w:t xml:space="preserve"> the grant. Essentially, </w:t>
      </w:r>
      <w:r w:rsidRPr="00A979C6">
        <w:rPr>
          <w:lang w:val="en-GB"/>
        </w:rPr>
        <w:t xml:space="preserve">gNB scheduler </w:t>
      </w:r>
      <w:r>
        <w:rPr>
          <w:lang w:val="en-GB"/>
        </w:rPr>
        <w:t xml:space="preserve">only needs to decide </w:t>
      </w:r>
      <w:r w:rsidRPr="00A979C6">
        <w:rPr>
          <w:lang w:val="en-GB"/>
        </w:rPr>
        <w:t>one slot (or more) in advance</w:t>
      </w:r>
      <w:r>
        <w:rPr>
          <w:lang w:val="en-GB"/>
        </w:rPr>
        <w:t xml:space="preserve"> that it will schedule the UE, but the </w:t>
      </w:r>
      <w:r w:rsidR="00FD5985">
        <w:rPr>
          <w:lang w:val="en-GB"/>
        </w:rPr>
        <w:t xml:space="preserve">main </w:t>
      </w:r>
      <w:r>
        <w:rPr>
          <w:lang w:val="en-GB"/>
        </w:rPr>
        <w:t xml:space="preserve">effort </w:t>
      </w:r>
      <w:r w:rsidR="00FD5985">
        <w:rPr>
          <w:lang w:val="en-GB"/>
        </w:rPr>
        <w:t xml:space="preserve">in </w:t>
      </w:r>
      <w:r>
        <w:rPr>
          <w:lang w:val="en-GB"/>
        </w:rPr>
        <w:t xml:space="preserve">data scheduling and grant construction can be performed in </w:t>
      </w:r>
      <w:r w:rsidR="00044631">
        <w:rPr>
          <w:lang w:val="en-GB"/>
        </w:rPr>
        <w:t xml:space="preserve">a similar </w:t>
      </w:r>
      <w:r w:rsidR="00FD5985">
        <w:rPr>
          <w:lang w:val="en-GB"/>
        </w:rPr>
        <w:t>timeline</w:t>
      </w:r>
      <w:r>
        <w:rPr>
          <w:lang w:val="en-GB"/>
        </w:rPr>
        <w:t xml:space="preserve"> as same slot scheduling.</w:t>
      </w:r>
      <w:r w:rsidRPr="00A979C6">
        <w:rPr>
          <w:lang w:val="en-GB"/>
        </w:rPr>
        <w:t xml:space="preserve"> </w:t>
      </w:r>
      <w:r>
        <w:rPr>
          <w:lang w:val="en-GB"/>
        </w:rPr>
        <w:t xml:space="preserve">In the </w:t>
      </w:r>
      <w:r w:rsidR="00923163">
        <w:rPr>
          <w:lang w:val="en-GB"/>
        </w:rPr>
        <w:t xml:space="preserve">rare </w:t>
      </w:r>
      <w:r>
        <w:rPr>
          <w:lang w:val="en-GB"/>
        </w:rPr>
        <w:t>case gNB fails to actually schedule the data and/or the grant, i</w:t>
      </w:r>
      <w:r w:rsidRPr="00A979C6">
        <w:rPr>
          <w:lang w:val="en-GB"/>
        </w:rPr>
        <w:t>t may revert the grant indication by not following through with an actual grant transmission in the subsequent slot.</w:t>
      </w:r>
    </w:p>
    <w:p w14:paraId="4FE650C1" w14:textId="45266F29" w:rsidR="00CB2B08" w:rsidRDefault="00CB2B08" w:rsidP="00212CD8">
      <w:pPr>
        <w:rPr>
          <w:lang w:val="en-GB"/>
        </w:rPr>
      </w:pPr>
      <w:r w:rsidRPr="00CB2B08">
        <w:rPr>
          <w:b/>
          <w:lang w:val="en-GB"/>
        </w:rPr>
        <w:t>Observation:</w:t>
      </w:r>
      <w:r>
        <w:rPr>
          <w:lang w:val="en-GB"/>
        </w:rPr>
        <w:t xml:space="preserve"> The need for advance grant information (AGI) is similar between two applications: wake-up signalling and cross-slot scheduling in PDCCH-monitoring mode.</w:t>
      </w:r>
    </w:p>
    <w:p w14:paraId="00E36C56" w14:textId="3DAEB3EC" w:rsidR="00CB2B08" w:rsidRDefault="00CB2B08" w:rsidP="00212CD8">
      <w:pPr>
        <w:rPr>
          <w:lang w:val="en-GB"/>
        </w:rPr>
      </w:pPr>
      <w:r w:rsidRPr="00CB2B08">
        <w:rPr>
          <w:b/>
          <w:lang w:val="en-GB"/>
        </w:rPr>
        <w:t>Proposal</w:t>
      </w:r>
      <w:r w:rsidR="007C48E7">
        <w:rPr>
          <w:b/>
          <w:lang w:val="en-GB"/>
        </w:rPr>
        <w:t xml:space="preserve"> 1</w:t>
      </w:r>
      <w:r w:rsidRPr="00CB2B08">
        <w:rPr>
          <w:b/>
          <w:lang w:val="en-GB"/>
        </w:rPr>
        <w:t>:</w:t>
      </w:r>
      <w:r>
        <w:rPr>
          <w:lang w:val="en-GB"/>
        </w:rPr>
        <w:t xml:space="preserve"> </w:t>
      </w:r>
      <w:r w:rsidR="00EA39DD">
        <w:rPr>
          <w:lang w:val="en-GB"/>
        </w:rPr>
        <w:t>NR considers introduction of AGI for C-DRX wake-up and/or PDCCH monitoring for power saving.</w:t>
      </w:r>
    </w:p>
    <w:p w14:paraId="2A7A115E" w14:textId="77777777" w:rsidR="001D6508" w:rsidRPr="00212CD8" w:rsidRDefault="001D6508" w:rsidP="00212CD8">
      <w:pPr>
        <w:rPr>
          <w:lang w:val="en-GB"/>
        </w:rPr>
      </w:pPr>
    </w:p>
    <w:p w14:paraId="0D3564CD" w14:textId="70FB0420" w:rsidR="008005BF" w:rsidRDefault="00C6436F" w:rsidP="00F91CF3">
      <w:pPr>
        <w:pStyle w:val="Heading2"/>
      </w:pPr>
      <w:r>
        <w:t xml:space="preserve">Design Considerations for </w:t>
      </w:r>
      <w:r w:rsidR="0016613A">
        <w:t>AGI</w:t>
      </w:r>
    </w:p>
    <w:p w14:paraId="4713DF7C" w14:textId="1BE9D7AF" w:rsidR="00A323B2" w:rsidRDefault="00A323B2" w:rsidP="00F91CF3">
      <w:pPr>
        <w:pStyle w:val="Heading3"/>
      </w:pPr>
      <w:r>
        <w:t>Signaling Scheme</w:t>
      </w:r>
    </w:p>
    <w:p w14:paraId="3E052AF8" w14:textId="51D9F6B8" w:rsidR="00E9046F" w:rsidRPr="0086677F" w:rsidRDefault="00B11E13" w:rsidP="008005BF">
      <w:pPr>
        <w:rPr>
          <w:lang w:val="en-GB"/>
        </w:rPr>
      </w:pPr>
      <w:r>
        <w:rPr>
          <w:lang w:val="en-GB"/>
        </w:rPr>
        <w:t xml:space="preserve">At the minimum, </w:t>
      </w:r>
      <w:r w:rsidR="00212CD8" w:rsidRPr="0086677F">
        <w:rPr>
          <w:lang w:val="en-GB"/>
        </w:rPr>
        <w:t>AGI</w:t>
      </w:r>
      <w:r w:rsidR="003850F6" w:rsidRPr="0086677F">
        <w:rPr>
          <w:lang w:val="en-GB"/>
        </w:rPr>
        <w:t xml:space="preserve"> only needs</w:t>
      </w:r>
      <w:r w:rsidR="00D25312" w:rsidRPr="0086677F">
        <w:rPr>
          <w:lang w:val="en-GB"/>
        </w:rPr>
        <w:t xml:space="preserve"> to convey</w:t>
      </w:r>
      <w:r w:rsidR="00E9046F" w:rsidRPr="0086677F">
        <w:rPr>
          <w:lang w:val="en-GB"/>
        </w:rPr>
        <w:t xml:space="preserve"> one bit </w:t>
      </w:r>
      <w:r w:rsidR="0086677F">
        <w:rPr>
          <w:lang w:val="en-GB"/>
        </w:rPr>
        <w:t xml:space="preserve">of information </w:t>
      </w:r>
      <w:r w:rsidR="00E9046F" w:rsidRPr="0086677F">
        <w:rPr>
          <w:lang w:val="en-GB"/>
        </w:rPr>
        <w:t xml:space="preserve">– whether a </w:t>
      </w:r>
      <w:r w:rsidR="00E12ADE">
        <w:rPr>
          <w:lang w:val="en-GB"/>
        </w:rPr>
        <w:t xml:space="preserve">DL </w:t>
      </w:r>
      <w:r w:rsidR="00E9046F" w:rsidRPr="0086677F">
        <w:rPr>
          <w:lang w:val="en-GB"/>
        </w:rPr>
        <w:t>grant shall be expected for a target  slot (</w:t>
      </w:r>
      <w:r w:rsidR="007E0142">
        <w:rPr>
          <w:lang w:val="en-GB"/>
        </w:rPr>
        <w:t>for</w:t>
      </w:r>
      <w:r w:rsidR="00E9046F" w:rsidRPr="0086677F">
        <w:rPr>
          <w:lang w:val="en-GB"/>
        </w:rPr>
        <w:t xml:space="preserve"> cross-slot scheduling) or series of slots (</w:t>
      </w:r>
      <w:r w:rsidR="0086677F" w:rsidRPr="0086677F">
        <w:rPr>
          <w:lang w:val="en-GB"/>
        </w:rPr>
        <w:t xml:space="preserve">i.e., the ON duration, </w:t>
      </w:r>
      <w:r w:rsidR="007E0142">
        <w:rPr>
          <w:lang w:val="en-GB"/>
        </w:rPr>
        <w:t>for</w:t>
      </w:r>
      <w:r w:rsidR="00E9046F" w:rsidRPr="0086677F">
        <w:rPr>
          <w:lang w:val="en-GB"/>
        </w:rPr>
        <w:t xml:space="preserve"> WUS). </w:t>
      </w:r>
      <w:r w:rsidR="0086677F">
        <w:rPr>
          <w:lang w:val="en-GB"/>
        </w:rPr>
        <w:t xml:space="preserve">The state of the UE determines whether a </w:t>
      </w:r>
      <w:r w:rsidR="00E9046F" w:rsidRPr="0086677F">
        <w:rPr>
          <w:lang w:val="en-GB"/>
        </w:rPr>
        <w:t xml:space="preserve">target slot or series of slots </w:t>
      </w:r>
      <w:r w:rsidR="0086677F">
        <w:rPr>
          <w:lang w:val="en-GB"/>
        </w:rPr>
        <w:t>is used for the interpretation of the AGI</w:t>
      </w:r>
      <w:r w:rsidR="00E9046F" w:rsidRPr="0086677F">
        <w:rPr>
          <w:lang w:val="en-GB"/>
        </w:rPr>
        <w:t xml:space="preserve">. If the UE is detecting for AGI during a WUS </w:t>
      </w:r>
      <w:r w:rsidR="000A6B84">
        <w:rPr>
          <w:lang w:val="en-GB"/>
        </w:rPr>
        <w:t>occasion</w:t>
      </w:r>
      <w:r w:rsidR="0086677F" w:rsidRPr="0086677F">
        <w:rPr>
          <w:lang w:val="en-GB"/>
        </w:rPr>
        <w:t xml:space="preserve">, AGI </w:t>
      </w:r>
      <w:r w:rsidR="0086677F">
        <w:rPr>
          <w:lang w:val="en-GB"/>
        </w:rPr>
        <w:t>signals</w:t>
      </w:r>
      <w:r w:rsidR="0086677F" w:rsidRPr="0086677F">
        <w:rPr>
          <w:lang w:val="en-GB"/>
        </w:rPr>
        <w:t xml:space="preserve"> whether the UE may skip monitoring PDCCH during the ON duration. If the UE is detecting for AGI during PDCCH monitoring mode with as proposed in </w:t>
      </w:r>
      <w:r w:rsidR="007E0142">
        <w:rPr>
          <w:lang w:val="en-GB"/>
        </w:rPr>
        <w:fldChar w:fldCharType="begin"/>
      </w:r>
      <w:r w:rsidR="007E0142">
        <w:rPr>
          <w:lang w:val="en-GB"/>
        </w:rPr>
        <w:instrText xml:space="preserve"> REF _Ref485333421 \r \h </w:instrText>
      </w:r>
      <w:r w:rsidR="007E0142">
        <w:rPr>
          <w:lang w:val="en-GB"/>
        </w:rPr>
      </w:r>
      <w:r w:rsidR="007E0142">
        <w:rPr>
          <w:lang w:val="en-GB"/>
        </w:rPr>
        <w:fldChar w:fldCharType="separate"/>
      </w:r>
      <w:r w:rsidR="009F7FEF">
        <w:rPr>
          <w:lang w:val="en-GB"/>
        </w:rPr>
        <w:t>[5]</w:t>
      </w:r>
      <w:r w:rsidR="007E0142">
        <w:rPr>
          <w:lang w:val="en-GB"/>
        </w:rPr>
        <w:fldChar w:fldCharType="end"/>
      </w:r>
      <w:r w:rsidR="0086677F" w:rsidRPr="0086677F">
        <w:rPr>
          <w:lang w:val="en-GB"/>
        </w:rPr>
        <w:t xml:space="preserve">, AGI </w:t>
      </w:r>
      <w:r w:rsidR="0086677F">
        <w:rPr>
          <w:lang w:val="en-GB"/>
        </w:rPr>
        <w:t xml:space="preserve">signals </w:t>
      </w:r>
      <w:r w:rsidR="0086677F" w:rsidRPr="0086677F">
        <w:rPr>
          <w:lang w:val="en-GB"/>
        </w:rPr>
        <w:t xml:space="preserve">whether UE needs to </w:t>
      </w:r>
      <w:r>
        <w:rPr>
          <w:lang w:val="en-GB"/>
        </w:rPr>
        <w:t>prepare for DL data reception and decode the full grant in the target slot</w:t>
      </w:r>
      <w:r w:rsidR="0086677F" w:rsidRPr="0086677F">
        <w:rPr>
          <w:lang w:val="en-GB"/>
        </w:rPr>
        <w:t>.</w:t>
      </w:r>
    </w:p>
    <w:p w14:paraId="54A365C5" w14:textId="36A2F67D" w:rsidR="003850F6" w:rsidRDefault="0086677F" w:rsidP="008005BF">
      <w:pPr>
        <w:rPr>
          <w:lang w:val="en-GB"/>
        </w:rPr>
      </w:pPr>
      <w:r w:rsidRPr="0086677F">
        <w:rPr>
          <w:lang w:val="en-GB"/>
        </w:rPr>
        <w:t xml:space="preserve">Typical PDCCH payload contains 60~70 bits. AGI payload is much smaller if only one bit of information needs to be conveyed. </w:t>
      </w:r>
      <w:r w:rsidR="00E9046F" w:rsidRPr="0086677F">
        <w:rPr>
          <w:lang w:val="en-GB"/>
        </w:rPr>
        <w:t>It may be</w:t>
      </w:r>
      <w:r w:rsidR="003850F6" w:rsidRPr="0086677F">
        <w:rPr>
          <w:lang w:val="en-GB"/>
        </w:rPr>
        <w:t xml:space="preserve"> enhanced to </w:t>
      </w:r>
      <w:r w:rsidRPr="0086677F">
        <w:rPr>
          <w:lang w:val="en-GB"/>
        </w:rPr>
        <w:t xml:space="preserve">carry </w:t>
      </w:r>
      <w:r w:rsidR="003850F6" w:rsidRPr="0086677F">
        <w:rPr>
          <w:lang w:val="en-GB"/>
        </w:rPr>
        <w:t>a few bits</w:t>
      </w:r>
      <w:r w:rsidR="00065BF7" w:rsidRPr="0086677F">
        <w:rPr>
          <w:lang w:val="en-GB"/>
        </w:rPr>
        <w:t xml:space="preserve"> (FFS)</w:t>
      </w:r>
      <w:r w:rsidRPr="0086677F">
        <w:rPr>
          <w:lang w:val="en-GB"/>
        </w:rPr>
        <w:t xml:space="preserve"> to </w:t>
      </w:r>
      <w:r w:rsidR="00B63B45">
        <w:rPr>
          <w:lang w:val="en-GB"/>
        </w:rPr>
        <w:t>piggyback</w:t>
      </w:r>
      <w:r w:rsidRPr="0086677F">
        <w:rPr>
          <w:lang w:val="en-GB"/>
        </w:rPr>
        <w:t xml:space="preserve"> other </w:t>
      </w:r>
      <w:r w:rsidR="00B63B45">
        <w:rPr>
          <w:lang w:val="en-GB"/>
        </w:rPr>
        <w:t xml:space="preserve">types of </w:t>
      </w:r>
      <w:r w:rsidRPr="0086677F">
        <w:rPr>
          <w:lang w:val="en-GB"/>
        </w:rPr>
        <w:t xml:space="preserve">dynamic </w:t>
      </w:r>
      <w:r w:rsidR="00B63B45">
        <w:rPr>
          <w:lang w:val="en-GB"/>
        </w:rPr>
        <w:t>information</w:t>
      </w:r>
      <w:r w:rsidR="00B11E13">
        <w:rPr>
          <w:lang w:val="en-GB"/>
        </w:rPr>
        <w:t>; For example, the bandwidth information of where the data allocation will be scheduled</w:t>
      </w:r>
      <w:r w:rsidR="003850F6" w:rsidRPr="0086677F">
        <w:rPr>
          <w:lang w:val="en-GB"/>
        </w:rPr>
        <w:t>.</w:t>
      </w:r>
      <w:r w:rsidR="00D25312" w:rsidRPr="0086677F">
        <w:rPr>
          <w:lang w:val="en-GB"/>
        </w:rPr>
        <w:t xml:space="preserve"> </w:t>
      </w:r>
    </w:p>
    <w:p w14:paraId="31745E03" w14:textId="519C2CE5" w:rsidR="009746FF" w:rsidRDefault="009746FF" w:rsidP="008005BF">
      <w:pPr>
        <w:rPr>
          <w:lang w:val="en-GB"/>
        </w:rPr>
      </w:pPr>
      <w:r w:rsidRPr="009746FF">
        <w:rPr>
          <w:b/>
          <w:lang w:val="en-GB"/>
        </w:rPr>
        <w:t>Proposal</w:t>
      </w:r>
      <w:r w:rsidR="007C48E7">
        <w:rPr>
          <w:b/>
          <w:lang w:val="en-GB"/>
        </w:rPr>
        <w:t xml:space="preserve"> 2</w:t>
      </w:r>
      <w:r w:rsidRPr="009746FF">
        <w:rPr>
          <w:b/>
          <w:lang w:val="en-GB"/>
        </w:rPr>
        <w:t>:</w:t>
      </w:r>
      <w:r>
        <w:rPr>
          <w:lang w:val="en-GB"/>
        </w:rPr>
        <w:t xml:space="preserve"> NR should support AGI that signals at least whether grant should be expected. W</w:t>
      </w:r>
      <w:r w:rsidR="00735E7E">
        <w:rPr>
          <w:lang w:val="en-GB"/>
        </w:rPr>
        <w:t>hich</w:t>
      </w:r>
      <w:r>
        <w:rPr>
          <w:lang w:val="en-GB"/>
        </w:rPr>
        <w:t xml:space="preserve"> other types of information that can be carried by AGI should be further discussed.</w:t>
      </w:r>
    </w:p>
    <w:p w14:paraId="2139C036" w14:textId="24D6EAA2" w:rsidR="00E12ADE" w:rsidRDefault="00E12ADE" w:rsidP="008005BF">
      <w:pPr>
        <w:rPr>
          <w:lang w:val="en-GB"/>
        </w:rPr>
      </w:pPr>
      <w:r w:rsidRPr="00E12ADE">
        <w:rPr>
          <w:lang w:val="en-GB"/>
        </w:rPr>
        <w:t xml:space="preserve">In order to minimize </w:t>
      </w:r>
      <w:r w:rsidR="004D22A5">
        <w:rPr>
          <w:lang w:val="en-GB"/>
        </w:rPr>
        <w:t xml:space="preserve">the design </w:t>
      </w:r>
      <w:r w:rsidRPr="00E12ADE">
        <w:rPr>
          <w:lang w:val="en-GB"/>
        </w:rPr>
        <w:t xml:space="preserve">effort and </w:t>
      </w:r>
      <w:r w:rsidR="004D22A5">
        <w:rPr>
          <w:lang w:val="en-GB"/>
        </w:rPr>
        <w:t xml:space="preserve">complexity </w:t>
      </w:r>
      <w:r w:rsidRPr="00E12ADE">
        <w:rPr>
          <w:lang w:val="en-GB"/>
        </w:rPr>
        <w:t xml:space="preserve">associated with </w:t>
      </w:r>
      <w:r w:rsidR="004D22A5">
        <w:rPr>
          <w:lang w:val="en-GB"/>
        </w:rPr>
        <w:t xml:space="preserve">addition of </w:t>
      </w:r>
      <w:r w:rsidRPr="00E12ADE">
        <w:rPr>
          <w:lang w:val="en-GB"/>
        </w:rPr>
        <w:t xml:space="preserve">a new physical channel, existing DL control channel currently being developed in NR can be used to carry AGI. </w:t>
      </w:r>
      <w:r w:rsidR="004A762E">
        <w:rPr>
          <w:lang w:val="en-GB"/>
        </w:rPr>
        <w:t xml:space="preserve">Whether to use PDCCH or group common PDCCH channel structure should be </w:t>
      </w:r>
      <w:r w:rsidR="004D22A5">
        <w:rPr>
          <w:lang w:val="en-GB"/>
        </w:rPr>
        <w:t xml:space="preserve">further </w:t>
      </w:r>
      <w:r w:rsidR="004A762E">
        <w:rPr>
          <w:lang w:val="en-GB"/>
        </w:rPr>
        <w:t>discussed. I</w:t>
      </w:r>
      <w:r w:rsidRPr="00E12ADE">
        <w:rPr>
          <w:lang w:val="en-GB"/>
        </w:rPr>
        <w:t>t can follow the same CCE structure and search space design for ease of multiplexing within the DL control region.</w:t>
      </w:r>
      <w:r>
        <w:rPr>
          <w:lang w:val="en-GB"/>
        </w:rPr>
        <w:t xml:space="preserve"> Generally, low aggregation level should deliver good performance due to small payload. Compared to regular </w:t>
      </w:r>
      <w:r w:rsidR="004A762E">
        <w:rPr>
          <w:lang w:val="en-GB"/>
        </w:rPr>
        <w:t>DL control channel</w:t>
      </w:r>
      <w:r w:rsidR="004D22A5">
        <w:rPr>
          <w:lang w:val="en-GB"/>
        </w:rPr>
        <w:t>s</w:t>
      </w:r>
      <w:r>
        <w:rPr>
          <w:lang w:val="en-GB"/>
        </w:rPr>
        <w:t xml:space="preserve">, </w:t>
      </w:r>
      <w:r w:rsidR="00ED71ED">
        <w:rPr>
          <w:lang w:val="en-GB"/>
        </w:rPr>
        <w:t xml:space="preserve">a dedicate small </w:t>
      </w:r>
      <w:r>
        <w:rPr>
          <w:lang w:val="en-GB"/>
        </w:rPr>
        <w:t xml:space="preserve">search space (in terms of number of aggregation levels and candidates) may be </w:t>
      </w:r>
      <w:r w:rsidR="00ED71ED">
        <w:rPr>
          <w:lang w:val="en-GB"/>
        </w:rPr>
        <w:t xml:space="preserve">introduced for AGI </w:t>
      </w:r>
      <w:r>
        <w:rPr>
          <w:lang w:val="en-GB"/>
        </w:rPr>
        <w:t xml:space="preserve">to optimize the processing time to decode the AGI. Channel coding should be done </w:t>
      </w:r>
      <w:r w:rsidR="007F7AD2">
        <w:rPr>
          <w:lang w:val="en-GB"/>
        </w:rPr>
        <w:t>but should be simple for low complexity decoding</w:t>
      </w:r>
      <w:r>
        <w:rPr>
          <w:lang w:val="en-GB"/>
        </w:rPr>
        <w:t>. Based on on-going discussion on channel coding scheme for the group common PDCCH, the same design principle may be followed: Below certain threshold of bits, use block code such as Reed-Muller code instead of polar code.</w:t>
      </w:r>
    </w:p>
    <w:p w14:paraId="059C06FC" w14:textId="63F41ECB" w:rsidR="00735E7E" w:rsidRDefault="00735E7E" w:rsidP="008005BF">
      <w:pPr>
        <w:rPr>
          <w:lang w:val="en-GB"/>
        </w:rPr>
      </w:pPr>
      <w:r w:rsidRPr="00735E7E">
        <w:rPr>
          <w:b/>
          <w:lang w:val="en-GB"/>
        </w:rPr>
        <w:t>Proposal</w:t>
      </w:r>
      <w:r w:rsidR="007C48E7">
        <w:rPr>
          <w:b/>
          <w:lang w:val="en-GB"/>
        </w:rPr>
        <w:t xml:space="preserve"> 3</w:t>
      </w:r>
      <w:r w:rsidRPr="00735E7E">
        <w:rPr>
          <w:b/>
          <w:lang w:val="en-GB"/>
        </w:rPr>
        <w:t>:</w:t>
      </w:r>
      <w:r>
        <w:rPr>
          <w:lang w:val="en-GB"/>
        </w:rPr>
        <w:t xml:space="preserve"> AGI physical channel should </w:t>
      </w:r>
      <w:r w:rsidR="00D047C0">
        <w:rPr>
          <w:lang w:val="en-GB"/>
        </w:rPr>
        <w:t>be based on</w:t>
      </w:r>
      <w:r>
        <w:rPr>
          <w:lang w:val="en-GB"/>
        </w:rPr>
        <w:t xml:space="preserve"> existing DL control channel</w:t>
      </w:r>
    </w:p>
    <w:p w14:paraId="2E18B4A7" w14:textId="77777777" w:rsidR="00735E7E" w:rsidRDefault="00735E7E" w:rsidP="00735E7E">
      <w:pPr>
        <w:rPr>
          <w:lang w:val="en-GB"/>
        </w:rPr>
      </w:pPr>
    </w:p>
    <w:p w14:paraId="633E4E3A" w14:textId="074ECAF1" w:rsidR="00D25312" w:rsidRDefault="004A762E" w:rsidP="00D25312">
      <w:pPr>
        <w:rPr>
          <w:lang w:val="en-GB"/>
        </w:rPr>
      </w:pPr>
      <w:r>
        <w:rPr>
          <w:lang w:val="en-GB"/>
        </w:rPr>
        <w:t>There are several signalling schemes to consider.</w:t>
      </w:r>
    </w:p>
    <w:p w14:paraId="74CC210A" w14:textId="44776800" w:rsidR="004A762E" w:rsidRDefault="004A762E" w:rsidP="00D25312">
      <w:pPr>
        <w:rPr>
          <w:lang w:val="en-GB"/>
        </w:rPr>
      </w:pPr>
      <w:r w:rsidRPr="007C48E7">
        <w:rPr>
          <w:u w:val="single"/>
          <w:lang w:val="en-GB"/>
        </w:rPr>
        <w:t>Scheme #1</w:t>
      </w:r>
      <w:r>
        <w:rPr>
          <w:lang w:val="en-GB"/>
        </w:rPr>
        <w:t>: gNB transmits AGI to signal “grant expected”; DTX for “grant unexpected”</w:t>
      </w:r>
    </w:p>
    <w:p w14:paraId="7680394E" w14:textId="7E0961A7" w:rsidR="004A762E" w:rsidRPr="00EA39DD" w:rsidRDefault="004A762E" w:rsidP="007E0142">
      <w:pPr>
        <w:pStyle w:val="ListParagraph"/>
        <w:numPr>
          <w:ilvl w:val="0"/>
          <w:numId w:val="41"/>
        </w:numPr>
        <w:rPr>
          <w:rFonts w:ascii="Times New Roman" w:hAnsi="Times New Roman"/>
          <w:sz w:val="20"/>
          <w:lang w:val="en-GB"/>
        </w:rPr>
      </w:pPr>
      <w:r w:rsidRPr="00EA39DD">
        <w:rPr>
          <w:rFonts w:ascii="Times New Roman" w:hAnsi="Times New Roman"/>
          <w:sz w:val="20"/>
          <w:lang w:val="en-GB"/>
        </w:rPr>
        <w:t>This means successful detection or decoding of the AGI implies grant should be expected. This has the advantage that control channel capacity is conserved when majority of the scheduling occasions are without grants.</w:t>
      </w:r>
    </w:p>
    <w:p w14:paraId="48F44944" w14:textId="0AEAFC84" w:rsidR="00B63B45" w:rsidRPr="00EA39DD" w:rsidRDefault="00B63B45" w:rsidP="007E0142">
      <w:pPr>
        <w:pStyle w:val="ListParagraph"/>
        <w:numPr>
          <w:ilvl w:val="0"/>
          <w:numId w:val="41"/>
        </w:numPr>
        <w:rPr>
          <w:rFonts w:ascii="Times New Roman" w:hAnsi="Times New Roman"/>
          <w:sz w:val="20"/>
          <w:lang w:val="en-GB"/>
        </w:rPr>
      </w:pPr>
      <w:r w:rsidRPr="00EA39DD">
        <w:rPr>
          <w:rFonts w:ascii="Times New Roman" w:hAnsi="Times New Roman"/>
          <w:sz w:val="20"/>
          <w:lang w:val="en-GB"/>
        </w:rPr>
        <w:t>In case AGI carries more information than just “grant expected” or “grant unexpected”, it would be more efficient to piggyback other types of information along with the “grant expected” signal.</w:t>
      </w:r>
    </w:p>
    <w:p w14:paraId="34266084" w14:textId="77777777" w:rsidR="007E0142" w:rsidRPr="00EA39DD" w:rsidRDefault="007E0142" w:rsidP="00D25312">
      <w:pPr>
        <w:rPr>
          <w:b/>
          <w:sz w:val="18"/>
          <w:lang w:val="en-GB"/>
        </w:rPr>
      </w:pPr>
    </w:p>
    <w:p w14:paraId="4987E461" w14:textId="6C2218DB" w:rsidR="004A762E" w:rsidRPr="004A762E" w:rsidRDefault="004A762E" w:rsidP="00D25312">
      <w:pPr>
        <w:rPr>
          <w:lang w:val="en-GB"/>
        </w:rPr>
      </w:pPr>
      <w:r w:rsidRPr="007C48E7">
        <w:rPr>
          <w:u w:val="single"/>
          <w:lang w:val="en-GB"/>
        </w:rPr>
        <w:t>Scheme #2</w:t>
      </w:r>
      <w:r>
        <w:rPr>
          <w:lang w:val="en-GB"/>
        </w:rPr>
        <w:t>: gNB transmits AGI to signal “grant unexpected”; DTX for “grant expected”</w:t>
      </w:r>
    </w:p>
    <w:p w14:paraId="521D5777" w14:textId="66DD97A9" w:rsidR="00D25312" w:rsidRPr="00EA39DD" w:rsidRDefault="004A762E" w:rsidP="007E0142">
      <w:pPr>
        <w:pStyle w:val="ListParagraph"/>
        <w:numPr>
          <w:ilvl w:val="0"/>
          <w:numId w:val="41"/>
        </w:numPr>
        <w:rPr>
          <w:rFonts w:ascii="Times New Roman" w:hAnsi="Times New Roman"/>
          <w:sz w:val="20"/>
          <w:lang w:val="en-GB"/>
        </w:rPr>
      </w:pPr>
      <w:r w:rsidRPr="00EA39DD">
        <w:rPr>
          <w:rFonts w:ascii="Times New Roman" w:hAnsi="Times New Roman"/>
          <w:sz w:val="20"/>
          <w:lang w:val="en-GB"/>
        </w:rPr>
        <w:t>This is the opposite of Scheme #1.</w:t>
      </w:r>
    </w:p>
    <w:p w14:paraId="5E102528" w14:textId="26E107C1" w:rsidR="00B63B45" w:rsidRPr="00EA39DD" w:rsidRDefault="00B63B45" w:rsidP="007E0142">
      <w:pPr>
        <w:pStyle w:val="ListParagraph"/>
        <w:numPr>
          <w:ilvl w:val="0"/>
          <w:numId w:val="41"/>
        </w:numPr>
        <w:rPr>
          <w:rFonts w:ascii="Times New Roman" w:hAnsi="Times New Roman"/>
          <w:sz w:val="20"/>
          <w:lang w:val="en-GB"/>
        </w:rPr>
      </w:pPr>
      <w:r w:rsidRPr="00EA39DD">
        <w:rPr>
          <w:rFonts w:ascii="Times New Roman" w:hAnsi="Times New Roman"/>
          <w:sz w:val="20"/>
          <w:lang w:val="en-GB"/>
        </w:rPr>
        <w:t>Usually, other types of information would not be needed for “grant unexpected”. This scheme may be less suitable for piggybacking other types of information in AGI.</w:t>
      </w:r>
    </w:p>
    <w:p w14:paraId="54B6EFEA" w14:textId="77777777" w:rsidR="007E0142" w:rsidRDefault="007E0142" w:rsidP="00D25312">
      <w:pPr>
        <w:rPr>
          <w:b/>
          <w:lang w:val="en-GB"/>
        </w:rPr>
      </w:pPr>
    </w:p>
    <w:p w14:paraId="446DABFC" w14:textId="28E39F2A" w:rsidR="004A762E" w:rsidRDefault="004A762E" w:rsidP="00D25312">
      <w:pPr>
        <w:rPr>
          <w:lang w:val="en-GB"/>
        </w:rPr>
      </w:pPr>
      <w:r w:rsidRPr="007C48E7">
        <w:rPr>
          <w:u w:val="single"/>
          <w:lang w:val="en-GB"/>
        </w:rPr>
        <w:t>Scheme #3</w:t>
      </w:r>
      <w:r>
        <w:rPr>
          <w:lang w:val="en-GB"/>
        </w:rPr>
        <w:t>:</w:t>
      </w:r>
      <w:r w:rsidR="00F83CD8">
        <w:rPr>
          <w:lang w:val="en-GB"/>
        </w:rPr>
        <w:t xml:space="preserve"> gNB always transmits AGI which explicitly indicates one of the states</w:t>
      </w:r>
    </w:p>
    <w:p w14:paraId="7DE26747" w14:textId="724B07C3" w:rsidR="00F83CD8" w:rsidRPr="00EA39DD" w:rsidRDefault="00F83CD8" w:rsidP="007E0142">
      <w:pPr>
        <w:pStyle w:val="ListParagraph"/>
        <w:numPr>
          <w:ilvl w:val="0"/>
          <w:numId w:val="41"/>
        </w:numPr>
        <w:rPr>
          <w:rFonts w:ascii="Times New Roman" w:hAnsi="Times New Roman"/>
          <w:sz w:val="20"/>
          <w:lang w:val="en-GB"/>
        </w:rPr>
      </w:pPr>
      <w:r w:rsidRPr="00EA39DD">
        <w:rPr>
          <w:rFonts w:ascii="Times New Roman" w:hAnsi="Times New Roman"/>
          <w:sz w:val="20"/>
          <w:lang w:val="en-GB"/>
        </w:rPr>
        <w:t>This always consumes control channel resources and is not recommended.</w:t>
      </w:r>
      <w:r w:rsidR="00023304" w:rsidRPr="00EA39DD">
        <w:rPr>
          <w:rFonts w:ascii="Times New Roman" w:hAnsi="Times New Roman"/>
          <w:sz w:val="20"/>
          <w:lang w:val="en-GB"/>
        </w:rPr>
        <w:t xml:space="preserve"> Shown for completeness only. In the following discussion, this scheme is no longer considered.</w:t>
      </w:r>
    </w:p>
    <w:p w14:paraId="4EA623F1" w14:textId="5B26784A" w:rsidR="007E0142" w:rsidRDefault="007E0142" w:rsidP="00D25312">
      <w:pPr>
        <w:rPr>
          <w:lang w:val="en-GB"/>
        </w:rPr>
      </w:pPr>
    </w:p>
    <w:p w14:paraId="4F36CDFE" w14:textId="77777777" w:rsidR="00EA39DD" w:rsidRDefault="00EA39DD" w:rsidP="007E0142">
      <w:r w:rsidRPr="007E0142">
        <w:rPr>
          <w:b/>
          <w:lang w:val="en-GB"/>
        </w:rPr>
        <w:t>Proposal</w:t>
      </w:r>
      <w:r>
        <w:rPr>
          <w:b/>
          <w:lang w:val="en-GB"/>
        </w:rPr>
        <w:t xml:space="preserve"> 4</w:t>
      </w:r>
      <w:r w:rsidRPr="007E0142">
        <w:rPr>
          <w:b/>
          <w:lang w:val="en-GB"/>
        </w:rPr>
        <w:t>:</w:t>
      </w:r>
      <w:r>
        <w:rPr>
          <w:lang w:val="en-GB"/>
        </w:rPr>
        <w:t xml:space="preserve"> NR should study the number of AGI signalling schemes supported</w:t>
      </w:r>
    </w:p>
    <w:p w14:paraId="31506F53" w14:textId="1D723A2C" w:rsidR="007E0142" w:rsidRPr="00065BF7" w:rsidRDefault="00EA39DD" w:rsidP="00EA39DD">
      <w:pPr>
        <w:rPr>
          <w:i/>
          <w:lang w:val="en-GB"/>
        </w:rPr>
      </w:pPr>
      <w:r>
        <w:rPr>
          <w:lang w:val="en-GB"/>
        </w:rPr>
        <w:t xml:space="preserve">In case multiple schemes are supported, </w:t>
      </w:r>
      <w:r w:rsidR="007E0142">
        <w:rPr>
          <w:lang w:val="en-GB"/>
        </w:rPr>
        <w:t xml:space="preserve">the scheme that is the most optimized for the traffic pattern </w:t>
      </w:r>
      <w:r w:rsidR="007F3392">
        <w:rPr>
          <w:lang w:val="en-GB"/>
        </w:rPr>
        <w:t xml:space="preserve">and/or cell loading </w:t>
      </w:r>
      <w:r w:rsidR="007E0142">
        <w:rPr>
          <w:lang w:val="en-GB"/>
        </w:rPr>
        <w:t>at hand</w:t>
      </w:r>
      <w:r>
        <w:rPr>
          <w:lang w:val="en-GB"/>
        </w:rPr>
        <w:t xml:space="preserve"> can be configured</w:t>
      </w:r>
      <w:r w:rsidR="007E0142">
        <w:rPr>
          <w:lang w:val="en-GB"/>
        </w:rPr>
        <w:t xml:space="preserve">. For example, </w:t>
      </w:r>
      <w:r w:rsidR="00044631">
        <w:rPr>
          <w:lang w:val="en-GB"/>
        </w:rPr>
        <w:t>if UE is scheduled for most of the DRX cycles</w:t>
      </w:r>
      <w:r w:rsidR="007E0142">
        <w:rPr>
          <w:lang w:val="en-GB"/>
        </w:rPr>
        <w:t>, Scheme #2 would be more optimized than Scheme #1, as DTX would be used most of the time, consuming less control channel resources.</w:t>
      </w:r>
    </w:p>
    <w:p w14:paraId="185251AB" w14:textId="56151E4E" w:rsidR="00117CB7" w:rsidRPr="00310F05" w:rsidRDefault="00117CB7" w:rsidP="00D25312">
      <w:pPr>
        <w:rPr>
          <w:lang w:val="en-GB"/>
        </w:rPr>
      </w:pPr>
      <w:r w:rsidRPr="00310F05">
        <w:rPr>
          <w:lang w:val="en-GB"/>
        </w:rPr>
        <w:t xml:space="preserve">Without loss of generality, in </w:t>
      </w:r>
      <w:r w:rsidR="00310F05">
        <w:rPr>
          <w:lang w:val="en-GB"/>
        </w:rPr>
        <w:t>subsequent discussions, S</w:t>
      </w:r>
      <w:r w:rsidRPr="00310F05">
        <w:rPr>
          <w:lang w:val="en-GB"/>
        </w:rPr>
        <w:t>cheme #1 is assumed.</w:t>
      </w:r>
    </w:p>
    <w:p w14:paraId="75D5B2FD" w14:textId="77777777" w:rsidR="00A323B2" w:rsidRDefault="00A323B2" w:rsidP="00D25312">
      <w:pPr>
        <w:rPr>
          <w:i/>
          <w:lang w:val="en-GB"/>
        </w:rPr>
      </w:pPr>
    </w:p>
    <w:p w14:paraId="5A7E0A7C" w14:textId="666506C4" w:rsidR="003925A2" w:rsidRDefault="00A323B2" w:rsidP="00F91CF3">
      <w:pPr>
        <w:pStyle w:val="Heading3"/>
      </w:pPr>
      <w:r>
        <w:t>UE-specific vs Group-specific</w:t>
      </w:r>
    </w:p>
    <w:p w14:paraId="084C5B22" w14:textId="4EEEEEB5" w:rsidR="00A323B2" w:rsidRPr="00023304" w:rsidRDefault="00A323B2" w:rsidP="008005BF">
      <w:pPr>
        <w:rPr>
          <w:lang w:val="en-GB"/>
        </w:rPr>
      </w:pPr>
      <w:r w:rsidRPr="00023304">
        <w:rPr>
          <w:lang w:val="en-GB"/>
        </w:rPr>
        <w:t xml:space="preserve">UE-specific </w:t>
      </w:r>
      <w:r w:rsidR="00023304" w:rsidRPr="00023304">
        <w:rPr>
          <w:lang w:val="en-GB"/>
        </w:rPr>
        <w:t>AGI</w:t>
      </w:r>
      <w:r w:rsidRPr="00023304">
        <w:rPr>
          <w:lang w:val="en-GB"/>
        </w:rPr>
        <w:t xml:space="preserve"> refers to </w:t>
      </w:r>
      <w:r w:rsidR="007555E6">
        <w:rPr>
          <w:lang w:val="en-GB"/>
        </w:rPr>
        <w:t>an</w:t>
      </w:r>
      <w:r w:rsidRPr="00023304">
        <w:rPr>
          <w:lang w:val="en-GB"/>
        </w:rPr>
        <w:t xml:space="preserve"> </w:t>
      </w:r>
      <w:r w:rsidR="007555E6">
        <w:rPr>
          <w:lang w:val="en-GB"/>
        </w:rPr>
        <w:t xml:space="preserve">addressing </w:t>
      </w:r>
      <w:r w:rsidRPr="00023304">
        <w:rPr>
          <w:lang w:val="en-GB"/>
        </w:rPr>
        <w:t xml:space="preserve">scheme where the </w:t>
      </w:r>
      <w:r w:rsidR="00023304" w:rsidRPr="00023304">
        <w:rPr>
          <w:lang w:val="en-GB"/>
        </w:rPr>
        <w:t>AGI</w:t>
      </w:r>
      <w:r w:rsidRPr="00023304">
        <w:rPr>
          <w:lang w:val="en-GB"/>
        </w:rPr>
        <w:t xml:space="preserve"> is dedicated to a particular UE. Group-specific </w:t>
      </w:r>
      <w:r w:rsidR="00023304" w:rsidRPr="00023304">
        <w:rPr>
          <w:lang w:val="en-GB"/>
        </w:rPr>
        <w:t>AGI</w:t>
      </w:r>
      <w:r w:rsidR="007555E6">
        <w:rPr>
          <w:lang w:val="en-GB"/>
        </w:rPr>
        <w:t xml:space="preserve"> refers to an addressing </w:t>
      </w:r>
      <w:r w:rsidRPr="00023304">
        <w:rPr>
          <w:lang w:val="en-GB"/>
        </w:rPr>
        <w:t xml:space="preserve">scheme where the </w:t>
      </w:r>
      <w:r w:rsidR="00023304" w:rsidRPr="00023304">
        <w:rPr>
          <w:lang w:val="en-GB"/>
        </w:rPr>
        <w:t>AGI</w:t>
      </w:r>
      <w:r w:rsidRPr="00023304">
        <w:rPr>
          <w:lang w:val="en-GB"/>
        </w:rPr>
        <w:t xml:space="preserve"> is shared between a group of UE. </w:t>
      </w:r>
    </w:p>
    <w:p w14:paraId="38D1731B" w14:textId="1ACC384D" w:rsidR="001D22D4" w:rsidRPr="00023304" w:rsidRDefault="00A323B2" w:rsidP="00A21C13">
      <w:pPr>
        <w:rPr>
          <w:lang w:val="en-GB"/>
        </w:rPr>
      </w:pPr>
      <w:r w:rsidRPr="00023304">
        <w:rPr>
          <w:lang w:val="en-GB"/>
        </w:rPr>
        <w:t xml:space="preserve">For UE-specific </w:t>
      </w:r>
      <w:r w:rsidR="00023304" w:rsidRPr="00023304">
        <w:rPr>
          <w:lang w:val="en-GB"/>
        </w:rPr>
        <w:t>AGI</w:t>
      </w:r>
      <w:r w:rsidRPr="00023304">
        <w:rPr>
          <w:lang w:val="en-GB"/>
        </w:rPr>
        <w:t xml:space="preserve">, </w:t>
      </w:r>
      <w:r w:rsidR="008F5F2C">
        <w:rPr>
          <w:lang w:val="en-GB"/>
        </w:rPr>
        <w:t xml:space="preserve">each UE tries to decode AGI in its assigned search space. </w:t>
      </w:r>
      <w:r w:rsidR="00A21C13">
        <w:rPr>
          <w:lang w:val="en-GB"/>
        </w:rPr>
        <w:t xml:space="preserve">UE may be addressed with UE-RNTI scrambling or an UE identifier in the payload. </w:t>
      </w:r>
      <w:r w:rsidR="00D62DC5" w:rsidRPr="00023304">
        <w:rPr>
          <w:lang w:val="en-GB"/>
        </w:rPr>
        <w:t xml:space="preserve">Multiple UEs can have </w:t>
      </w:r>
      <w:r w:rsidR="001D22D4" w:rsidRPr="00023304">
        <w:rPr>
          <w:lang w:val="en-GB"/>
        </w:rPr>
        <w:t>search space</w:t>
      </w:r>
      <w:r w:rsidR="00D62DC5" w:rsidRPr="00023304">
        <w:rPr>
          <w:lang w:val="en-GB"/>
        </w:rPr>
        <w:t xml:space="preserve"> that overlap</w:t>
      </w:r>
      <w:r w:rsidR="001D22D4" w:rsidRPr="00023304">
        <w:rPr>
          <w:lang w:val="en-GB"/>
        </w:rPr>
        <w:t xml:space="preserve">. </w:t>
      </w:r>
      <w:r w:rsidR="00023304">
        <w:rPr>
          <w:lang w:val="en-GB"/>
        </w:rPr>
        <w:t>AGI</w:t>
      </w:r>
      <w:r w:rsidR="001D22D4" w:rsidRPr="00023304">
        <w:rPr>
          <w:lang w:val="en-GB"/>
        </w:rPr>
        <w:t xml:space="preserve"> search space must be defined to be sufficient to handle collision of resources. </w:t>
      </w:r>
      <w:r w:rsidRPr="00023304">
        <w:rPr>
          <w:lang w:val="en-GB"/>
        </w:rPr>
        <w:t xml:space="preserve">UE can assume </w:t>
      </w:r>
      <w:r w:rsidR="00023304">
        <w:rPr>
          <w:lang w:val="en-GB"/>
        </w:rPr>
        <w:t>AGI</w:t>
      </w:r>
      <w:r w:rsidRPr="00023304">
        <w:rPr>
          <w:lang w:val="en-GB"/>
        </w:rPr>
        <w:t xml:space="preserve"> </w:t>
      </w:r>
      <w:r w:rsidR="00023304">
        <w:rPr>
          <w:lang w:val="en-GB"/>
        </w:rPr>
        <w:t>search space</w:t>
      </w:r>
      <w:r w:rsidRPr="00023304">
        <w:rPr>
          <w:lang w:val="en-GB"/>
        </w:rPr>
        <w:t xml:space="preserve"> based on </w:t>
      </w:r>
      <w:r w:rsidR="00700A68" w:rsidRPr="00023304">
        <w:rPr>
          <w:lang w:val="en-GB"/>
        </w:rPr>
        <w:t xml:space="preserve">the state of </w:t>
      </w:r>
      <w:r w:rsidRPr="00023304">
        <w:rPr>
          <w:lang w:val="en-GB"/>
        </w:rPr>
        <w:t>DRX operation.</w:t>
      </w:r>
    </w:p>
    <w:p w14:paraId="033BC724" w14:textId="5B8F1A27" w:rsidR="00426B23" w:rsidRPr="009B27C1" w:rsidRDefault="00426B23" w:rsidP="008005BF">
      <w:pPr>
        <w:rPr>
          <w:lang w:val="en-GB"/>
        </w:rPr>
      </w:pPr>
      <w:r w:rsidRPr="009B27C1">
        <w:rPr>
          <w:lang w:val="en-GB"/>
        </w:rPr>
        <w:t xml:space="preserve">Group specific </w:t>
      </w:r>
      <w:r w:rsidR="00113EFF">
        <w:rPr>
          <w:lang w:val="en-GB"/>
        </w:rPr>
        <w:t xml:space="preserve">AGI </w:t>
      </w:r>
      <w:r w:rsidRPr="009B27C1">
        <w:rPr>
          <w:lang w:val="en-GB"/>
        </w:rPr>
        <w:t>should be carried in the common search space for PDCCH, or in the group common PDCCH channel. For latter, because the design options are still being discussed in RAN1, the following discussion focuses more on the former.</w:t>
      </w:r>
      <w:r w:rsidR="00113EFF">
        <w:rPr>
          <w:lang w:val="en-GB"/>
        </w:rPr>
        <w:t xml:space="preserve"> </w:t>
      </w:r>
    </w:p>
    <w:p w14:paraId="29D14707" w14:textId="2DD0FD22" w:rsidR="00117CB7" w:rsidRPr="009B27C1" w:rsidRDefault="00426B23" w:rsidP="00117CB7">
      <w:pPr>
        <w:rPr>
          <w:lang w:val="en-GB"/>
        </w:rPr>
      </w:pPr>
      <w:r w:rsidRPr="009B27C1">
        <w:rPr>
          <w:lang w:val="en-GB"/>
        </w:rPr>
        <w:t xml:space="preserve">UEs </w:t>
      </w:r>
      <w:r w:rsidR="00A21C13">
        <w:rPr>
          <w:lang w:val="en-GB"/>
        </w:rPr>
        <w:t>may be</w:t>
      </w:r>
      <w:r w:rsidR="00A21C13" w:rsidRPr="009B27C1">
        <w:rPr>
          <w:lang w:val="en-GB"/>
        </w:rPr>
        <w:t xml:space="preserve"> </w:t>
      </w:r>
      <w:r w:rsidRPr="009B27C1">
        <w:rPr>
          <w:lang w:val="en-GB"/>
        </w:rPr>
        <w:t xml:space="preserve">configured to monitor the common search space for the </w:t>
      </w:r>
      <w:r w:rsidR="009B27C1">
        <w:rPr>
          <w:lang w:val="en-GB"/>
        </w:rPr>
        <w:t>AGI</w:t>
      </w:r>
      <w:r w:rsidRPr="009B27C1">
        <w:rPr>
          <w:lang w:val="en-GB"/>
        </w:rPr>
        <w:t xml:space="preserve"> with </w:t>
      </w:r>
      <w:r w:rsidR="00113EFF">
        <w:rPr>
          <w:lang w:val="en-GB"/>
        </w:rPr>
        <w:t xml:space="preserve">a special </w:t>
      </w:r>
      <w:r w:rsidRPr="009B27C1">
        <w:rPr>
          <w:lang w:val="en-GB"/>
        </w:rPr>
        <w:t>RNTI.</w:t>
      </w:r>
      <w:r w:rsidR="00117CB7" w:rsidRPr="009B27C1">
        <w:rPr>
          <w:lang w:val="en-GB"/>
        </w:rPr>
        <w:t xml:space="preserve"> </w:t>
      </w:r>
      <w:r w:rsidR="00113EFF">
        <w:rPr>
          <w:lang w:val="en-GB"/>
        </w:rPr>
        <w:t xml:space="preserve">This scheme is only suitable for WUS application. </w:t>
      </w:r>
      <w:r w:rsidR="00117CB7" w:rsidRPr="009B27C1">
        <w:rPr>
          <w:lang w:val="en-GB"/>
        </w:rPr>
        <w:t xml:space="preserve">The set of UE which are monitoring the same search space would share the </w:t>
      </w:r>
      <w:r w:rsidR="009B27C1">
        <w:rPr>
          <w:lang w:val="en-GB"/>
        </w:rPr>
        <w:t>AGI</w:t>
      </w:r>
      <w:r w:rsidR="00117CB7" w:rsidRPr="009B27C1">
        <w:rPr>
          <w:lang w:val="en-GB"/>
        </w:rPr>
        <w:t xml:space="preserve">. gNB is aware of this set of UEs and would aggregate the </w:t>
      </w:r>
      <w:r w:rsidR="009B27C1">
        <w:rPr>
          <w:lang w:val="en-GB"/>
        </w:rPr>
        <w:t>AGI</w:t>
      </w:r>
      <w:r w:rsidR="00117CB7" w:rsidRPr="009B27C1">
        <w:rPr>
          <w:lang w:val="en-GB"/>
        </w:rPr>
        <w:t xml:space="preserve"> across the set of UE. If any UE in the set needs to be woken up</w:t>
      </w:r>
      <w:r w:rsidR="00113EFF">
        <w:rPr>
          <w:lang w:val="en-GB"/>
        </w:rPr>
        <w:t xml:space="preserve"> for ON duration PDCCH monitoring</w:t>
      </w:r>
      <w:r w:rsidR="00117CB7" w:rsidRPr="009B27C1">
        <w:rPr>
          <w:lang w:val="en-GB"/>
        </w:rPr>
        <w:t>, the entire set will be woken up.</w:t>
      </w:r>
      <w:r w:rsidR="00A21C13">
        <w:rPr>
          <w:lang w:val="en-GB"/>
        </w:rPr>
        <w:t xml:space="preserve"> As an enhancement, UE identifiers for subset of the group may be carried in the payload to further qualify that the AGI is only for those identified UEs.</w:t>
      </w:r>
    </w:p>
    <w:p w14:paraId="6DD8A17C" w14:textId="4312D99B" w:rsidR="00745F69" w:rsidRDefault="00745F69" w:rsidP="008005BF">
      <w:pPr>
        <w:rPr>
          <w:lang w:val="en-GB"/>
        </w:rPr>
      </w:pPr>
      <w:r>
        <w:rPr>
          <w:lang w:val="en-GB"/>
        </w:rPr>
        <w:t>NR should discuss the merits for all options for different applications (for WUS or for cross-slot scheduling). The options include but is not limited to the ones mentioned above. Also, it is not required that one option be fixed across all AGI applications. For example, a group-specific option may be selected for WUS and an UE-specific option may be selected for cross-slot scheduling application.</w:t>
      </w:r>
    </w:p>
    <w:p w14:paraId="7A9B72C4" w14:textId="02018079" w:rsidR="00745F69" w:rsidRDefault="00745F69" w:rsidP="008005BF">
      <w:pPr>
        <w:rPr>
          <w:i/>
          <w:lang w:val="en-GB"/>
        </w:rPr>
      </w:pPr>
      <w:r w:rsidRPr="00745F69">
        <w:rPr>
          <w:b/>
          <w:lang w:val="en-GB"/>
        </w:rPr>
        <w:t>Proposal</w:t>
      </w:r>
      <w:r w:rsidR="007C48E7">
        <w:rPr>
          <w:b/>
          <w:lang w:val="en-GB"/>
        </w:rPr>
        <w:t xml:space="preserve"> 5</w:t>
      </w:r>
      <w:r w:rsidRPr="00745F69">
        <w:rPr>
          <w:b/>
          <w:lang w:val="en-GB"/>
        </w:rPr>
        <w:t>:</w:t>
      </w:r>
      <w:r>
        <w:rPr>
          <w:lang w:val="en-GB"/>
        </w:rPr>
        <w:t xml:space="preserve"> NR should consider UE specific or group specific AGI and their sub-options</w:t>
      </w:r>
      <w:r w:rsidR="007555E6">
        <w:rPr>
          <w:lang w:val="en-GB"/>
        </w:rPr>
        <w:t xml:space="preserve"> for addressing</w:t>
      </w:r>
      <w:r>
        <w:rPr>
          <w:lang w:val="en-GB"/>
        </w:rPr>
        <w:t>, and narrow down either to a fixed setting or configurable setting.</w:t>
      </w:r>
    </w:p>
    <w:p w14:paraId="75602287" w14:textId="77777777" w:rsidR="00146887" w:rsidRPr="00BF62F7" w:rsidRDefault="00146887" w:rsidP="00BF62F7">
      <w:pPr>
        <w:rPr>
          <w:lang w:val="en-GB"/>
        </w:rPr>
      </w:pPr>
    </w:p>
    <w:p w14:paraId="56D28D4B" w14:textId="26018A49" w:rsidR="00067CA8" w:rsidRPr="00226FE2" w:rsidRDefault="004503F9" w:rsidP="00067CA8">
      <w:pPr>
        <w:pStyle w:val="Heading1"/>
        <w:rPr>
          <w:lang w:eastAsia="zh-CN"/>
        </w:rPr>
      </w:pPr>
      <w:r>
        <w:rPr>
          <w:lang w:eastAsia="zh-CN"/>
        </w:rPr>
        <w:t>Conclusions</w:t>
      </w:r>
    </w:p>
    <w:p w14:paraId="153D18D8" w14:textId="60751276" w:rsidR="00700A68" w:rsidRPr="007C48E7" w:rsidRDefault="007C48E7" w:rsidP="007C48E7">
      <w:r w:rsidRPr="00CB2B08">
        <w:rPr>
          <w:b/>
          <w:lang w:val="en-GB"/>
        </w:rPr>
        <w:t>Observation:</w:t>
      </w:r>
      <w:r>
        <w:rPr>
          <w:lang w:val="en-GB"/>
        </w:rPr>
        <w:t xml:space="preserve"> The need for advance grant information (AGI) is similar between two applications: wake-up signalling and cross-slot scheduling in PDCCH-monitoring mode.</w:t>
      </w:r>
    </w:p>
    <w:p w14:paraId="588AEAC3" w14:textId="0C697F1D" w:rsidR="007C48E7" w:rsidRDefault="00EA39DD" w:rsidP="007C48E7">
      <w:pPr>
        <w:rPr>
          <w:lang w:val="en-GB"/>
        </w:rPr>
      </w:pPr>
      <w:r w:rsidRPr="00CB2B08">
        <w:rPr>
          <w:b/>
          <w:lang w:val="en-GB"/>
        </w:rPr>
        <w:t>Proposal</w:t>
      </w:r>
      <w:r>
        <w:rPr>
          <w:b/>
          <w:lang w:val="en-GB"/>
        </w:rPr>
        <w:t xml:space="preserve"> 1</w:t>
      </w:r>
      <w:r w:rsidRPr="00CB2B08">
        <w:rPr>
          <w:b/>
          <w:lang w:val="en-GB"/>
        </w:rPr>
        <w:t>:</w:t>
      </w:r>
      <w:r>
        <w:rPr>
          <w:lang w:val="en-GB"/>
        </w:rPr>
        <w:t xml:space="preserve"> NR considers introduction of AGI for C-DRX wake-up and/or PDCCH monitoring for power saving.</w:t>
      </w:r>
    </w:p>
    <w:p w14:paraId="51948F6A" w14:textId="2C0E71B4" w:rsidR="00700A68" w:rsidRDefault="007C48E7" w:rsidP="00531C5A">
      <w:r w:rsidRPr="009746FF">
        <w:rPr>
          <w:b/>
          <w:lang w:val="en-GB"/>
        </w:rPr>
        <w:t>Proposal</w:t>
      </w:r>
      <w:r>
        <w:rPr>
          <w:b/>
          <w:lang w:val="en-GB"/>
        </w:rPr>
        <w:t xml:space="preserve"> 2</w:t>
      </w:r>
      <w:r w:rsidRPr="009746FF">
        <w:rPr>
          <w:b/>
          <w:lang w:val="en-GB"/>
        </w:rPr>
        <w:t>:</w:t>
      </w:r>
      <w:r>
        <w:rPr>
          <w:lang w:val="en-GB"/>
        </w:rPr>
        <w:t xml:space="preserve"> NR should support AGI that signals at least whether grant should be expected. Which other types of information that can be carried by AGI should be further discussed.</w:t>
      </w:r>
    </w:p>
    <w:p w14:paraId="67673C39" w14:textId="24D2D41A" w:rsidR="007C48E7" w:rsidRDefault="007C48E7" w:rsidP="007C48E7">
      <w:pPr>
        <w:rPr>
          <w:lang w:val="en-GB"/>
        </w:rPr>
      </w:pPr>
      <w:r w:rsidRPr="00735E7E">
        <w:rPr>
          <w:b/>
          <w:lang w:val="en-GB"/>
        </w:rPr>
        <w:t>Proposal</w:t>
      </w:r>
      <w:r>
        <w:rPr>
          <w:b/>
          <w:lang w:val="en-GB"/>
        </w:rPr>
        <w:t xml:space="preserve"> 3</w:t>
      </w:r>
      <w:r w:rsidRPr="00735E7E">
        <w:rPr>
          <w:b/>
          <w:lang w:val="en-GB"/>
        </w:rPr>
        <w:t>:</w:t>
      </w:r>
      <w:r>
        <w:rPr>
          <w:lang w:val="en-GB"/>
        </w:rPr>
        <w:t xml:space="preserve"> AGI physical channel should reuse existing DL control channel</w:t>
      </w:r>
    </w:p>
    <w:p w14:paraId="0208A45A" w14:textId="796A150F" w:rsidR="007C48E7" w:rsidRDefault="007C48E7" w:rsidP="00531C5A">
      <w:r w:rsidRPr="007E0142">
        <w:rPr>
          <w:b/>
          <w:lang w:val="en-GB"/>
        </w:rPr>
        <w:t>Proposal</w:t>
      </w:r>
      <w:r>
        <w:rPr>
          <w:b/>
          <w:lang w:val="en-GB"/>
        </w:rPr>
        <w:t xml:space="preserve"> 4</w:t>
      </w:r>
      <w:r w:rsidRPr="007E0142">
        <w:rPr>
          <w:b/>
          <w:lang w:val="en-GB"/>
        </w:rPr>
        <w:t>:</w:t>
      </w:r>
      <w:r>
        <w:rPr>
          <w:lang w:val="en-GB"/>
        </w:rPr>
        <w:t xml:space="preserve"> </w:t>
      </w:r>
      <w:r w:rsidR="00EA39DD">
        <w:rPr>
          <w:lang w:val="en-GB"/>
        </w:rPr>
        <w:t>NR should study t</w:t>
      </w:r>
      <w:r>
        <w:rPr>
          <w:lang w:val="en-GB"/>
        </w:rPr>
        <w:t>he number of AGI signalling schemes supported</w:t>
      </w:r>
    </w:p>
    <w:p w14:paraId="20495420" w14:textId="10CD9784" w:rsidR="007C48E7" w:rsidRDefault="007C48E7" w:rsidP="00531C5A">
      <w:pPr>
        <w:rPr>
          <w:lang w:val="en-GB"/>
        </w:rPr>
      </w:pPr>
      <w:r w:rsidRPr="00745F69">
        <w:rPr>
          <w:b/>
          <w:lang w:val="en-GB"/>
        </w:rPr>
        <w:t>Proposal</w:t>
      </w:r>
      <w:r>
        <w:rPr>
          <w:b/>
          <w:lang w:val="en-GB"/>
        </w:rPr>
        <w:t xml:space="preserve"> 5</w:t>
      </w:r>
      <w:r w:rsidRPr="00745F69">
        <w:rPr>
          <w:b/>
          <w:lang w:val="en-GB"/>
        </w:rPr>
        <w:t>:</w:t>
      </w:r>
      <w:r>
        <w:rPr>
          <w:lang w:val="en-GB"/>
        </w:rPr>
        <w:t xml:space="preserve"> NR should consider UE specific or group specific AGI and their sub-options</w:t>
      </w:r>
      <w:r w:rsidR="007555E6">
        <w:rPr>
          <w:lang w:val="en-GB"/>
        </w:rPr>
        <w:t xml:space="preserve"> for addressing</w:t>
      </w:r>
      <w:r>
        <w:rPr>
          <w:lang w:val="en-GB"/>
        </w:rPr>
        <w:t>, and narrow down either to a fixed setting or configurable setting.</w:t>
      </w:r>
    </w:p>
    <w:p w14:paraId="2C465247" w14:textId="77777777" w:rsidR="007C48E7" w:rsidRDefault="007C48E7" w:rsidP="00531C5A"/>
    <w:p w14:paraId="43B7F896" w14:textId="5D50D665" w:rsidR="00E523F3" w:rsidRPr="000A64D8" w:rsidRDefault="00E523F3" w:rsidP="00E523F3">
      <w:pPr>
        <w:pStyle w:val="Heading1"/>
        <w:rPr>
          <w:lang w:val="en-US"/>
        </w:rPr>
      </w:pPr>
      <w:r w:rsidRPr="000A64D8">
        <w:rPr>
          <w:lang w:val="en-US"/>
        </w:rPr>
        <w:t>References</w:t>
      </w:r>
    </w:p>
    <w:p w14:paraId="08A113C6" w14:textId="5CA90853" w:rsidR="008C77E0" w:rsidRDefault="008C77E0" w:rsidP="008C77E0">
      <w:pPr>
        <w:numPr>
          <w:ilvl w:val="0"/>
          <w:numId w:val="2"/>
        </w:numPr>
        <w:spacing w:before="100" w:beforeAutospacing="1" w:after="100" w:afterAutospacing="1"/>
        <w:rPr>
          <w:szCs w:val="22"/>
        </w:rPr>
      </w:pPr>
      <w:bookmarkStart w:id="3" w:name="_Ref485327893"/>
      <w:r>
        <w:rPr>
          <w:szCs w:val="22"/>
        </w:rPr>
        <w:t>R1-</w:t>
      </w:r>
      <w:r w:rsidRPr="008C77E0">
        <w:rPr>
          <w:szCs w:val="22"/>
        </w:rPr>
        <w:t>1610135</w:t>
      </w:r>
      <w:r>
        <w:rPr>
          <w:szCs w:val="22"/>
        </w:rPr>
        <w:t>, “</w:t>
      </w:r>
      <w:r w:rsidRPr="008C77E0">
        <w:rPr>
          <w:szCs w:val="22"/>
        </w:rPr>
        <w:t>Evaluation of Frame Structure Design for UE Power</w:t>
      </w:r>
      <w:r>
        <w:rPr>
          <w:szCs w:val="22"/>
        </w:rPr>
        <w:t>”, RAN1#86bis, Qualcomm</w:t>
      </w:r>
      <w:bookmarkEnd w:id="3"/>
    </w:p>
    <w:p w14:paraId="33600D42" w14:textId="5997AD85" w:rsidR="00CC6E06" w:rsidRDefault="00CC6E06" w:rsidP="00CC6E06">
      <w:pPr>
        <w:numPr>
          <w:ilvl w:val="0"/>
          <w:numId w:val="2"/>
        </w:numPr>
        <w:spacing w:before="100" w:beforeAutospacing="1" w:after="100" w:afterAutospacing="1"/>
        <w:rPr>
          <w:szCs w:val="22"/>
        </w:rPr>
      </w:pPr>
      <w:bookmarkStart w:id="4" w:name="_Ref485343911"/>
      <w:r>
        <w:rPr>
          <w:szCs w:val="22"/>
        </w:rPr>
        <w:t>R1-</w:t>
      </w:r>
      <w:r w:rsidRPr="00CC6E06">
        <w:rPr>
          <w:szCs w:val="22"/>
        </w:rPr>
        <w:t>1612065</w:t>
      </w:r>
      <w:r>
        <w:rPr>
          <w:szCs w:val="22"/>
        </w:rPr>
        <w:t>, “</w:t>
      </w:r>
      <w:r w:rsidRPr="00CC6E06">
        <w:rPr>
          <w:szCs w:val="22"/>
        </w:rPr>
        <w:t>UE power saving for PDCCH monitoring</w:t>
      </w:r>
      <w:r>
        <w:rPr>
          <w:szCs w:val="22"/>
        </w:rPr>
        <w:t>”, RAN1#87, Qualcomm</w:t>
      </w:r>
      <w:bookmarkEnd w:id="4"/>
    </w:p>
    <w:p w14:paraId="2AE8A9EC" w14:textId="4B4209C8" w:rsidR="00F44EE8" w:rsidRDefault="00F44EE8" w:rsidP="00F44EE8">
      <w:pPr>
        <w:numPr>
          <w:ilvl w:val="0"/>
          <w:numId w:val="2"/>
        </w:numPr>
        <w:spacing w:before="100" w:beforeAutospacing="1" w:after="100" w:afterAutospacing="1"/>
        <w:rPr>
          <w:szCs w:val="22"/>
        </w:rPr>
      </w:pPr>
      <w:bookmarkStart w:id="5" w:name="_Ref485327895"/>
      <w:r w:rsidRPr="00F44EE8">
        <w:rPr>
          <w:szCs w:val="22"/>
        </w:rPr>
        <w:t>R1-1612068</w:t>
      </w:r>
      <w:r>
        <w:rPr>
          <w:szCs w:val="22"/>
        </w:rPr>
        <w:t>, “</w:t>
      </w:r>
      <w:r w:rsidRPr="00F44EE8">
        <w:rPr>
          <w:szCs w:val="22"/>
        </w:rPr>
        <w:t>UE Power Evaluation for DRX with Wake-Up Signaling</w:t>
      </w:r>
      <w:r>
        <w:rPr>
          <w:szCs w:val="22"/>
        </w:rPr>
        <w:t>”, RAN1#87, Qualcomm</w:t>
      </w:r>
      <w:bookmarkEnd w:id="5"/>
    </w:p>
    <w:p w14:paraId="3F7E1C97" w14:textId="784DB0C5" w:rsidR="009F7FEF" w:rsidRDefault="009F7FEF" w:rsidP="009F7FEF">
      <w:pPr>
        <w:numPr>
          <w:ilvl w:val="0"/>
          <w:numId w:val="2"/>
        </w:numPr>
        <w:spacing w:before="100" w:beforeAutospacing="1" w:after="100" w:afterAutospacing="1"/>
        <w:rPr>
          <w:szCs w:val="22"/>
        </w:rPr>
      </w:pPr>
      <w:bookmarkStart w:id="6" w:name="_Ref485345100"/>
      <w:r w:rsidRPr="009F7FEF">
        <w:rPr>
          <w:szCs w:val="22"/>
        </w:rPr>
        <w:t>R1-1701421</w:t>
      </w:r>
      <w:r>
        <w:rPr>
          <w:szCs w:val="22"/>
        </w:rPr>
        <w:t>, “</w:t>
      </w:r>
      <w:r w:rsidRPr="009F7FEF">
        <w:rPr>
          <w:szCs w:val="22"/>
        </w:rPr>
        <w:t>WF on Study of wake up signal for NR</w:t>
      </w:r>
      <w:r>
        <w:rPr>
          <w:szCs w:val="22"/>
        </w:rPr>
        <w:t xml:space="preserve">”, RAN1#87, </w:t>
      </w:r>
      <w:r w:rsidRPr="009F7FEF">
        <w:rPr>
          <w:szCs w:val="22"/>
        </w:rPr>
        <w:t>Qualcomm, CATT, Sony, Ericsson</w:t>
      </w:r>
      <w:bookmarkEnd w:id="6"/>
    </w:p>
    <w:p w14:paraId="43168B24" w14:textId="62F5A0F3" w:rsidR="001D6508" w:rsidRDefault="001D6508" w:rsidP="00044631">
      <w:pPr>
        <w:numPr>
          <w:ilvl w:val="0"/>
          <w:numId w:val="2"/>
        </w:numPr>
        <w:spacing w:before="100" w:beforeAutospacing="1" w:after="100" w:afterAutospacing="1"/>
        <w:rPr>
          <w:szCs w:val="22"/>
        </w:rPr>
      </w:pPr>
      <w:bookmarkStart w:id="7" w:name="_Ref485333421"/>
      <w:r>
        <w:rPr>
          <w:szCs w:val="22"/>
        </w:rPr>
        <w:t>R1-</w:t>
      </w:r>
      <w:r w:rsidR="00044631" w:rsidRPr="00044631">
        <w:rPr>
          <w:szCs w:val="22"/>
        </w:rPr>
        <w:t>1711227</w:t>
      </w:r>
      <w:r>
        <w:rPr>
          <w:szCs w:val="22"/>
        </w:rPr>
        <w:t>, “</w:t>
      </w:r>
      <w:r w:rsidRPr="001D6508">
        <w:rPr>
          <w:szCs w:val="22"/>
        </w:rPr>
        <w:t>UE Power Saving during Active State</w:t>
      </w:r>
      <w:r>
        <w:rPr>
          <w:szCs w:val="22"/>
        </w:rPr>
        <w:t>”, RAN1</w:t>
      </w:r>
      <w:r w:rsidRPr="001D6508">
        <w:t xml:space="preserve"> </w:t>
      </w:r>
      <w:r w:rsidRPr="001D6508">
        <w:rPr>
          <w:szCs w:val="22"/>
        </w:rPr>
        <w:t>NR Ad-Hoc#2</w:t>
      </w:r>
      <w:r>
        <w:rPr>
          <w:szCs w:val="22"/>
        </w:rPr>
        <w:t>, Qualcomm</w:t>
      </w:r>
      <w:bookmarkEnd w:id="7"/>
    </w:p>
    <w:sectPr w:rsidR="001D6508"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DE40F7" w14:textId="77777777" w:rsidR="00851220" w:rsidRDefault="00851220">
      <w:r>
        <w:separator/>
      </w:r>
    </w:p>
  </w:endnote>
  <w:endnote w:type="continuationSeparator" w:id="0">
    <w:p w14:paraId="4752CCC8" w14:textId="77777777" w:rsidR="00851220" w:rsidRDefault="00851220">
      <w:r>
        <w:continuationSeparator/>
      </w:r>
    </w:p>
  </w:endnote>
  <w:endnote w:type="continuationNotice" w:id="1">
    <w:p w14:paraId="2A6F84B0" w14:textId="77777777" w:rsidR="00851220" w:rsidRDefault="008512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223847" w:rsidRDefault="00223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223847" w:rsidRDefault="00223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0A06C35D" w:rsidR="00223847" w:rsidRDefault="00223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A39DD">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A39DD">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933AC6" w14:textId="77777777" w:rsidR="00851220" w:rsidRDefault="00851220">
      <w:r>
        <w:separator/>
      </w:r>
    </w:p>
  </w:footnote>
  <w:footnote w:type="continuationSeparator" w:id="0">
    <w:p w14:paraId="6375BAEB" w14:textId="77777777" w:rsidR="00851220" w:rsidRDefault="00851220">
      <w:r>
        <w:continuationSeparator/>
      </w:r>
    </w:p>
  </w:footnote>
  <w:footnote w:type="continuationNotice" w:id="1">
    <w:p w14:paraId="67E3087E" w14:textId="77777777" w:rsidR="00851220" w:rsidRDefault="008512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223847" w:rsidRDefault="00223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5pt;height:15.75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740E2"/>
    <w:multiLevelType w:val="hybridMultilevel"/>
    <w:tmpl w:val="AEB27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B395D"/>
    <w:multiLevelType w:val="hybridMultilevel"/>
    <w:tmpl w:val="660C63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0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0B4651"/>
    <w:multiLevelType w:val="hybridMultilevel"/>
    <w:tmpl w:val="C35C2D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547AE0"/>
    <w:multiLevelType w:val="hybridMultilevel"/>
    <w:tmpl w:val="168A235E"/>
    <w:lvl w:ilvl="0" w:tplc="C3AC401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92759"/>
    <w:multiLevelType w:val="hybridMultilevel"/>
    <w:tmpl w:val="655A848A"/>
    <w:lvl w:ilvl="0" w:tplc="FF061BC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10FA07DB"/>
    <w:multiLevelType w:val="hybridMultilevel"/>
    <w:tmpl w:val="C35C2D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434977"/>
    <w:multiLevelType w:val="hybridMultilevel"/>
    <w:tmpl w:val="C2E67E36"/>
    <w:lvl w:ilvl="0" w:tplc="BBAADD0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39146C74"/>
    <w:multiLevelType w:val="hybridMultilevel"/>
    <w:tmpl w:val="55FAB3B6"/>
    <w:lvl w:ilvl="0" w:tplc="D7D46FB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E4E0607"/>
    <w:multiLevelType w:val="hybridMultilevel"/>
    <w:tmpl w:val="EBD62E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6F592C"/>
    <w:multiLevelType w:val="hybridMultilevel"/>
    <w:tmpl w:val="8084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794A81"/>
    <w:multiLevelType w:val="hybridMultilevel"/>
    <w:tmpl w:val="D3EA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F223AF"/>
    <w:multiLevelType w:val="hybridMultilevel"/>
    <w:tmpl w:val="FFD4051A"/>
    <w:lvl w:ilvl="0" w:tplc="05D867D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2E68B8"/>
    <w:multiLevelType w:val="hybridMultilevel"/>
    <w:tmpl w:val="05469ED2"/>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1E01F16"/>
    <w:multiLevelType w:val="hybridMultilevel"/>
    <w:tmpl w:val="9C4A6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821585"/>
    <w:multiLevelType w:val="hybridMultilevel"/>
    <w:tmpl w:val="285471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F726A5"/>
    <w:multiLevelType w:val="hybridMultilevel"/>
    <w:tmpl w:val="7B922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E926F13"/>
    <w:multiLevelType w:val="hybridMultilevel"/>
    <w:tmpl w:val="E6723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0"/>
  </w:num>
  <w:num w:numId="3">
    <w:abstractNumId w:val="5"/>
  </w:num>
  <w:num w:numId="4">
    <w:abstractNumId w:val="23"/>
  </w:num>
  <w:num w:numId="5">
    <w:abstractNumId w:val="6"/>
  </w:num>
  <w:num w:numId="6">
    <w:abstractNumId w:val="12"/>
  </w:num>
  <w:num w:numId="7">
    <w:abstractNumId w:val="14"/>
  </w:num>
  <w:num w:numId="8">
    <w:abstractNumId w:val="1"/>
  </w:num>
  <w:num w:numId="9">
    <w:abstractNumId w:val="38"/>
    <w:lvlOverride w:ilvl="0">
      <w:startOverride w:val="1"/>
    </w:lvlOverride>
  </w:num>
  <w:num w:numId="10">
    <w:abstractNumId w:val="26"/>
  </w:num>
  <w:num w:numId="11">
    <w:abstractNumId w:val="29"/>
  </w:num>
  <w:num w:numId="12">
    <w:abstractNumId w:val="31"/>
  </w:num>
  <w:num w:numId="13">
    <w:abstractNumId w:val="18"/>
  </w:num>
  <w:num w:numId="14">
    <w:abstractNumId w:val="28"/>
  </w:num>
  <w:num w:numId="15">
    <w:abstractNumId w:val="10"/>
  </w:num>
  <w:num w:numId="16">
    <w:abstractNumId w:val="21"/>
  </w:num>
  <w:num w:numId="17">
    <w:abstractNumId w:val="16"/>
  </w:num>
  <w:num w:numId="18">
    <w:abstractNumId w:val="36"/>
  </w:num>
  <w:num w:numId="19">
    <w:abstractNumId w:val="40"/>
  </w:num>
  <w:num w:numId="20">
    <w:abstractNumId w:val="15"/>
  </w:num>
  <w:num w:numId="21">
    <w:abstractNumId w:val="34"/>
  </w:num>
  <w:num w:numId="22">
    <w:abstractNumId w:val="4"/>
  </w:num>
  <w:num w:numId="23">
    <w:abstractNumId w:val="17"/>
  </w:num>
  <w:num w:numId="24">
    <w:abstractNumId w:val="13"/>
  </w:num>
  <w:num w:numId="25">
    <w:abstractNumId w:val="8"/>
  </w:num>
  <w:num w:numId="26">
    <w:abstractNumId w:val="27"/>
  </w:num>
  <w:num w:numId="27">
    <w:abstractNumId w:val="33"/>
  </w:num>
  <w:num w:numId="28">
    <w:abstractNumId w:val="25"/>
  </w:num>
  <w:num w:numId="29">
    <w:abstractNumId w:val="37"/>
  </w:num>
  <w:num w:numId="30">
    <w:abstractNumId w:val="39"/>
  </w:num>
  <w:num w:numId="31">
    <w:abstractNumId w:val="2"/>
  </w:num>
  <w:num w:numId="32">
    <w:abstractNumId w:val="32"/>
  </w:num>
  <w:num w:numId="33">
    <w:abstractNumId w:val="11"/>
  </w:num>
  <w:num w:numId="34">
    <w:abstractNumId w:val="24"/>
  </w:num>
  <w:num w:numId="35">
    <w:abstractNumId w:val="7"/>
  </w:num>
  <w:num w:numId="36">
    <w:abstractNumId w:val="9"/>
  </w:num>
  <w:num w:numId="37">
    <w:abstractNumId w:val="19"/>
  </w:num>
  <w:num w:numId="38">
    <w:abstractNumId w:val="30"/>
  </w:num>
  <w:num w:numId="39">
    <w:abstractNumId w:val="22"/>
  </w:num>
  <w:num w:numId="40">
    <w:abstractNumId w:val="35"/>
  </w:num>
  <w:num w:numId="41">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04"/>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CF0"/>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BBF"/>
    <w:rsid w:val="00037C2D"/>
    <w:rsid w:val="000402B6"/>
    <w:rsid w:val="000404F2"/>
    <w:rsid w:val="00040AAD"/>
    <w:rsid w:val="00040B8F"/>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631"/>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BF7"/>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2FB"/>
    <w:rsid w:val="000A23E5"/>
    <w:rsid w:val="000A26E4"/>
    <w:rsid w:val="000A2BE5"/>
    <w:rsid w:val="000A2D70"/>
    <w:rsid w:val="000A31F7"/>
    <w:rsid w:val="000A3A58"/>
    <w:rsid w:val="000A3ACB"/>
    <w:rsid w:val="000A49DE"/>
    <w:rsid w:val="000A4B74"/>
    <w:rsid w:val="000A4FEA"/>
    <w:rsid w:val="000A52F5"/>
    <w:rsid w:val="000A54DF"/>
    <w:rsid w:val="000A61CB"/>
    <w:rsid w:val="000A6252"/>
    <w:rsid w:val="000A64D8"/>
    <w:rsid w:val="000A6723"/>
    <w:rsid w:val="000A6788"/>
    <w:rsid w:val="000A68A9"/>
    <w:rsid w:val="000A6AC6"/>
    <w:rsid w:val="000A6B84"/>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12F"/>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11A"/>
    <w:rsid w:val="000F34C7"/>
    <w:rsid w:val="000F3B40"/>
    <w:rsid w:val="000F3F2F"/>
    <w:rsid w:val="000F42EA"/>
    <w:rsid w:val="000F4C0A"/>
    <w:rsid w:val="000F4CAF"/>
    <w:rsid w:val="000F4D2F"/>
    <w:rsid w:val="000F4F44"/>
    <w:rsid w:val="000F53CB"/>
    <w:rsid w:val="000F6799"/>
    <w:rsid w:val="000F6881"/>
    <w:rsid w:val="000F6C32"/>
    <w:rsid w:val="000F6D86"/>
    <w:rsid w:val="000F7CAD"/>
    <w:rsid w:val="000F7D8C"/>
    <w:rsid w:val="00100097"/>
    <w:rsid w:val="001000E9"/>
    <w:rsid w:val="00100161"/>
    <w:rsid w:val="00100169"/>
    <w:rsid w:val="0010067A"/>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851"/>
    <w:rsid w:val="001115C0"/>
    <w:rsid w:val="001115F4"/>
    <w:rsid w:val="001116D2"/>
    <w:rsid w:val="0011190B"/>
    <w:rsid w:val="00111AD9"/>
    <w:rsid w:val="0011211D"/>
    <w:rsid w:val="0011230B"/>
    <w:rsid w:val="001126ED"/>
    <w:rsid w:val="00112975"/>
    <w:rsid w:val="00112B8F"/>
    <w:rsid w:val="001134DA"/>
    <w:rsid w:val="0011372B"/>
    <w:rsid w:val="00113D8F"/>
    <w:rsid w:val="00113EF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17CB7"/>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6B8B"/>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6887"/>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13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3AB"/>
    <w:rsid w:val="00177482"/>
    <w:rsid w:val="00177711"/>
    <w:rsid w:val="00177A0D"/>
    <w:rsid w:val="00177AC2"/>
    <w:rsid w:val="00177D98"/>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97A7A"/>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6E8"/>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F99"/>
    <w:rsid w:val="001D1258"/>
    <w:rsid w:val="001D19F8"/>
    <w:rsid w:val="001D1CFF"/>
    <w:rsid w:val="001D22D4"/>
    <w:rsid w:val="001D2B3C"/>
    <w:rsid w:val="001D2E6C"/>
    <w:rsid w:val="001D2F8F"/>
    <w:rsid w:val="001D35DC"/>
    <w:rsid w:val="001D43C0"/>
    <w:rsid w:val="001D448E"/>
    <w:rsid w:val="001D4969"/>
    <w:rsid w:val="001D4AF0"/>
    <w:rsid w:val="001D4F24"/>
    <w:rsid w:val="001D506F"/>
    <w:rsid w:val="001D57BC"/>
    <w:rsid w:val="001D6508"/>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06C"/>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2CD8"/>
    <w:rsid w:val="002130BD"/>
    <w:rsid w:val="00213851"/>
    <w:rsid w:val="00214E0D"/>
    <w:rsid w:val="0021512E"/>
    <w:rsid w:val="0021586D"/>
    <w:rsid w:val="00215D76"/>
    <w:rsid w:val="002162EA"/>
    <w:rsid w:val="002165F9"/>
    <w:rsid w:val="00216685"/>
    <w:rsid w:val="00216B17"/>
    <w:rsid w:val="00216BBF"/>
    <w:rsid w:val="00216D0D"/>
    <w:rsid w:val="00217135"/>
    <w:rsid w:val="00217490"/>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B62"/>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12"/>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29C2"/>
    <w:rsid w:val="00252BCC"/>
    <w:rsid w:val="002530D6"/>
    <w:rsid w:val="002530D9"/>
    <w:rsid w:val="0025325D"/>
    <w:rsid w:val="002533FF"/>
    <w:rsid w:val="00253400"/>
    <w:rsid w:val="002537F5"/>
    <w:rsid w:val="00253905"/>
    <w:rsid w:val="0025429A"/>
    <w:rsid w:val="00254D6A"/>
    <w:rsid w:val="00256B22"/>
    <w:rsid w:val="00256D51"/>
    <w:rsid w:val="00256F02"/>
    <w:rsid w:val="002571C8"/>
    <w:rsid w:val="002572F1"/>
    <w:rsid w:val="002573C4"/>
    <w:rsid w:val="00257A62"/>
    <w:rsid w:val="00260156"/>
    <w:rsid w:val="0026075E"/>
    <w:rsid w:val="002608BD"/>
    <w:rsid w:val="00260FAD"/>
    <w:rsid w:val="002617F6"/>
    <w:rsid w:val="00261D05"/>
    <w:rsid w:val="00261DBC"/>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DDB"/>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C0"/>
    <w:rsid w:val="002A0724"/>
    <w:rsid w:val="002A1A57"/>
    <w:rsid w:val="002A1DA1"/>
    <w:rsid w:val="002A205B"/>
    <w:rsid w:val="002A2FB8"/>
    <w:rsid w:val="002A31FF"/>
    <w:rsid w:val="002A3668"/>
    <w:rsid w:val="002A3771"/>
    <w:rsid w:val="002A37C5"/>
    <w:rsid w:val="002A3AFD"/>
    <w:rsid w:val="002A3B12"/>
    <w:rsid w:val="002A3E13"/>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AC3"/>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DB2"/>
    <w:rsid w:val="002C2E8A"/>
    <w:rsid w:val="002C2EE0"/>
    <w:rsid w:val="002C2FCD"/>
    <w:rsid w:val="002C3AE4"/>
    <w:rsid w:val="002C3E89"/>
    <w:rsid w:val="002C4211"/>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05"/>
    <w:rsid w:val="00310F30"/>
    <w:rsid w:val="00311642"/>
    <w:rsid w:val="00311761"/>
    <w:rsid w:val="00311941"/>
    <w:rsid w:val="00312709"/>
    <w:rsid w:val="00313765"/>
    <w:rsid w:val="003137A0"/>
    <w:rsid w:val="00313BC1"/>
    <w:rsid w:val="00313C4F"/>
    <w:rsid w:val="003141C2"/>
    <w:rsid w:val="00314869"/>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59FE"/>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54E"/>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21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0F6"/>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2B"/>
    <w:rsid w:val="00391A92"/>
    <w:rsid w:val="00391C99"/>
    <w:rsid w:val="003925A2"/>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925"/>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0B7"/>
    <w:rsid w:val="003A71E1"/>
    <w:rsid w:val="003A76A9"/>
    <w:rsid w:val="003A7747"/>
    <w:rsid w:val="003B0299"/>
    <w:rsid w:val="003B0B4D"/>
    <w:rsid w:val="003B248F"/>
    <w:rsid w:val="003B2B79"/>
    <w:rsid w:val="003B2B8F"/>
    <w:rsid w:val="003B2C70"/>
    <w:rsid w:val="003B3171"/>
    <w:rsid w:val="003B3C45"/>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8E8"/>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6F1F"/>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193"/>
    <w:rsid w:val="00405898"/>
    <w:rsid w:val="00405A9F"/>
    <w:rsid w:val="00405D95"/>
    <w:rsid w:val="00405F90"/>
    <w:rsid w:val="00406108"/>
    <w:rsid w:val="00406412"/>
    <w:rsid w:val="00406D4A"/>
    <w:rsid w:val="00406D9D"/>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B2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1E0"/>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86C"/>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E31"/>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0E25"/>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1B"/>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31E"/>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7B4"/>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62E"/>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22A5"/>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0CA"/>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4EBC"/>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271"/>
    <w:rsid w:val="0053037A"/>
    <w:rsid w:val="0053066C"/>
    <w:rsid w:val="005306C5"/>
    <w:rsid w:val="00530AFD"/>
    <w:rsid w:val="00530BD0"/>
    <w:rsid w:val="00531562"/>
    <w:rsid w:val="0053173A"/>
    <w:rsid w:val="00531824"/>
    <w:rsid w:val="00531AF4"/>
    <w:rsid w:val="00531C5A"/>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A1C"/>
    <w:rsid w:val="00563FD2"/>
    <w:rsid w:val="0056434D"/>
    <w:rsid w:val="00564597"/>
    <w:rsid w:val="00564EB9"/>
    <w:rsid w:val="00566BE7"/>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5E09"/>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5C83"/>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424"/>
    <w:rsid w:val="005B0A7D"/>
    <w:rsid w:val="005B0F18"/>
    <w:rsid w:val="005B1197"/>
    <w:rsid w:val="005B16CC"/>
    <w:rsid w:val="005B18BB"/>
    <w:rsid w:val="005B2899"/>
    <w:rsid w:val="005B2DA2"/>
    <w:rsid w:val="005B2EB8"/>
    <w:rsid w:val="005B355C"/>
    <w:rsid w:val="005B36F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3C0"/>
    <w:rsid w:val="005C247C"/>
    <w:rsid w:val="005C2D32"/>
    <w:rsid w:val="005C302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0FB"/>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95E"/>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6E"/>
    <w:rsid w:val="006300D7"/>
    <w:rsid w:val="00630333"/>
    <w:rsid w:val="00630729"/>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92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4B51"/>
    <w:rsid w:val="00655070"/>
    <w:rsid w:val="00655223"/>
    <w:rsid w:val="00655780"/>
    <w:rsid w:val="0065594D"/>
    <w:rsid w:val="006561FF"/>
    <w:rsid w:val="00656D6F"/>
    <w:rsid w:val="00657005"/>
    <w:rsid w:val="006572FB"/>
    <w:rsid w:val="006578D9"/>
    <w:rsid w:val="00657AEA"/>
    <w:rsid w:val="00657F67"/>
    <w:rsid w:val="006605DC"/>
    <w:rsid w:val="00660B77"/>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4A"/>
    <w:rsid w:val="00680F81"/>
    <w:rsid w:val="0068102D"/>
    <w:rsid w:val="006810A8"/>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D29"/>
    <w:rsid w:val="006B5111"/>
    <w:rsid w:val="006B6346"/>
    <w:rsid w:val="006B6AD0"/>
    <w:rsid w:val="006B6BA3"/>
    <w:rsid w:val="006B6C83"/>
    <w:rsid w:val="006B6C95"/>
    <w:rsid w:val="006B725C"/>
    <w:rsid w:val="006B7864"/>
    <w:rsid w:val="006C03B2"/>
    <w:rsid w:val="006C09DD"/>
    <w:rsid w:val="006C0B08"/>
    <w:rsid w:val="006C0D11"/>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2E7"/>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47EC"/>
    <w:rsid w:val="006F557B"/>
    <w:rsid w:val="006F5674"/>
    <w:rsid w:val="006F5B41"/>
    <w:rsid w:val="006F6689"/>
    <w:rsid w:val="006F6740"/>
    <w:rsid w:val="006F6FEA"/>
    <w:rsid w:val="006F70E1"/>
    <w:rsid w:val="006F7427"/>
    <w:rsid w:val="006F746D"/>
    <w:rsid w:val="006F74D2"/>
    <w:rsid w:val="006F7A92"/>
    <w:rsid w:val="006F7E42"/>
    <w:rsid w:val="00700042"/>
    <w:rsid w:val="0070013F"/>
    <w:rsid w:val="0070023A"/>
    <w:rsid w:val="0070063F"/>
    <w:rsid w:val="00700A68"/>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5E7E"/>
    <w:rsid w:val="007362FD"/>
    <w:rsid w:val="0073637C"/>
    <w:rsid w:val="00736886"/>
    <w:rsid w:val="00736CD8"/>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5F69"/>
    <w:rsid w:val="007460C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5E6"/>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9C2"/>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48E7"/>
    <w:rsid w:val="007C508D"/>
    <w:rsid w:val="007C515A"/>
    <w:rsid w:val="007C52ED"/>
    <w:rsid w:val="007C52F0"/>
    <w:rsid w:val="007C56CE"/>
    <w:rsid w:val="007C5CE6"/>
    <w:rsid w:val="007C5DB6"/>
    <w:rsid w:val="007C64BC"/>
    <w:rsid w:val="007C6939"/>
    <w:rsid w:val="007C6941"/>
    <w:rsid w:val="007C6D8A"/>
    <w:rsid w:val="007C6E75"/>
    <w:rsid w:val="007C746F"/>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4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477"/>
    <w:rsid w:val="007F2DBB"/>
    <w:rsid w:val="007F2ED4"/>
    <w:rsid w:val="007F3392"/>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7F7ABA"/>
    <w:rsid w:val="007F7AD2"/>
    <w:rsid w:val="00800104"/>
    <w:rsid w:val="00800184"/>
    <w:rsid w:val="00800312"/>
    <w:rsid w:val="008005BF"/>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74E"/>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B32"/>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7EA"/>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220"/>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00"/>
    <w:rsid w:val="00864A9F"/>
    <w:rsid w:val="00864C02"/>
    <w:rsid w:val="008650AB"/>
    <w:rsid w:val="00865696"/>
    <w:rsid w:val="00865D02"/>
    <w:rsid w:val="00865D4C"/>
    <w:rsid w:val="00865DE1"/>
    <w:rsid w:val="0086677F"/>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34B"/>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0D85"/>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2F2"/>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7E0"/>
    <w:rsid w:val="008C7F77"/>
    <w:rsid w:val="008D0459"/>
    <w:rsid w:val="008D05D2"/>
    <w:rsid w:val="008D069D"/>
    <w:rsid w:val="008D0A7A"/>
    <w:rsid w:val="008D0B27"/>
    <w:rsid w:val="008D13DC"/>
    <w:rsid w:val="008D149D"/>
    <w:rsid w:val="008D1988"/>
    <w:rsid w:val="008D1E23"/>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3FB"/>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2AE7"/>
    <w:rsid w:val="008F3069"/>
    <w:rsid w:val="008F35F6"/>
    <w:rsid w:val="008F3D2D"/>
    <w:rsid w:val="008F3D7C"/>
    <w:rsid w:val="008F3DC9"/>
    <w:rsid w:val="008F4107"/>
    <w:rsid w:val="008F4B0F"/>
    <w:rsid w:val="008F4BFE"/>
    <w:rsid w:val="008F4E3F"/>
    <w:rsid w:val="008F5406"/>
    <w:rsid w:val="008F5866"/>
    <w:rsid w:val="008F595E"/>
    <w:rsid w:val="008F5F2C"/>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CAB"/>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163"/>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C2A"/>
    <w:rsid w:val="009336C8"/>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6D7E"/>
    <w:rsid w:val="009477E1"/>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CAC"/>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6FF"/>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AE"/>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7C1"/>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1"/>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5E27"/>
    <w:rsid w:val="009F5E80"/>
    <w:rsid w:val="009F6410"/>
    <w:rsid w:val="009F6457"/>
    <w:rsid w:val="009F7169"/>
    <w:rsid w:val="009F7883"/>
    <w:rsid w:val="009F79BE"/>
    <w:rsid w:val="009F7FEF"/>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57EC"/>
    <w:rsid w:val="00A158D3"/>
    <w:rsid w:val="00A15D30"/>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C13"/>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3B2"/>
    <w:rsid w:val="00A325C2"/>
    <w:rsid w:val="00A325CC"/>
    <w:rsid w:val="00A327E2"/>
    <w:rsid w:val="00A329BB"/>
    <w:rsid w:val="00A32C37"/>
    <w:rsid w:val="00A3331F"/>
    <w:rsid w:val="00A3393A"/>
    <w:rsid w:val="00A34685"/>
    <w:rsid w:val="00A34DA0"/>
    <w:rsid w:val="00A34EC0"/>
    <w:rsid w:val="00A35A0B"/>
    <w:rsid w:val="00A35BD0"/>
    <w:rsid w:val="00A362CB"/>
    <w:rsid w:val="00A37413"/>
    <w:rsid w:val="00A3747D"/>
    <w:rsid w:val="00A3795C"/>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3BA"/>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67B72"/>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7746A"/>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C0A"/>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9C6"/>
    <w:rsid w:val="00A97B8C"/>
    <w:rsid w:val="00A97DBD"/>
    <w:rsid w:val="00A97EF9"/>
    <w:rsid w:val="00AA0003"/>
    <w:rsid w:val="00AA0D9A"/>
    <w:rsid w:val="00AA1264"/>
    <w:rsid w:val="00AA158B"/>
    <w:rsid w:val="00AA1740"/>
    <w:rsid w:val="00AA1D12"/>
    <w:rsid w:val="00AA1D59"/>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987"/>
    <w:rsid w:val="00AC5C2A"/>
    <w:rsid w:val="00AC61B3"/>
    <w:rsid w:val="00AC63F4"/>
    <w:rsid w:val="00AC6786"/>
    <w:rsid w:val="00AC7470"/>
    <w:rsid w:val="00AC7945"/>
    <w:rsid w:val="00AC7DE9"/>
    <w:rsid w:val="00AD095A"/>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7FD"/>
    <w:rsid w:val="00AE780C"/>
    <w:rsid w:val="00AE7992"/>
    <w:rsid w:val="00AE7BBF"/>
    <w:rsid w:val="00AF0093"/>
    <w:rsid w:val="00AF09D1"/>
    <w:rsid w:val="00AF0FFE"/>
    <w:rsid w:val="00AF1414"/>
    <w:rsid w:val="00AF15C3"/>
    <w:rsid w:val="00AF19CD"/>
    <w:rsid w:val="00AF25F3"/>
    <w:rsid w:val="00AF27F2"/>
    <w:rsid w:val="00AF28B0"/>
    <w:rsid w:val="00AF2DED"/>
    <w:rsid w:val="00AF3560"/>
    <w:rsid w:val="00AF3C80"/>
    <w:rsid w:val="00AF3C8C"/>
    <w:rsid w:val="00AF4095"/>
    <w:rsid w:val="00AF41FC"/>
    <w:rsid w:val="00AF4447"/>
    <w:rsid w:val="00AF457C"/>
    <w:rsid w:val="00AF4ABD"/>
    <w:rsid w:val="00AF5363"/>
    <w:rsid w:val="00AF5EDD"/>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E53"/>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13"/>
    <w:rsid w:val="00B11E29"/>
    <w:rsid w:val="00B12603"/>
    <w:rsid w:val="00B12A8C"/>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50D"/>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45B9"/>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EE"/>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B45"/>
    <w:rsid w:val="00B640AB"/>
    <w:rsid w:val="00B64124"/>
    <w:rsid w:val="00B64398"/>
    <w:rsid w:val="00B64484"/>
    <w:rsid w:val="00B645F8"/>
    <w:rsid w:val="00B64A44"/>
    <w:rsid w:val="00B652B0"/>
    <w:rsid w:val="00B65771"/>
    <w:rsid w:val="00B664EC"/>
    <w:rsid w:val="00B66801"/>
    <w:rsid w:val="00B668B4"/>
    <w:rsid w:val="00B66FFC"/>
    <w:rsid w:val="00B67144"/>
    <w:rsid w:val="00B6796C"/>
    <w:rsid w:val="00B67B2B"/>
    <w:rsid w:val="00B7021B"/>
    <w:rsid w:val="00B70333"/>
    <w:rsid w:val="00B70A49"/>
    <w:rsid w:val="00B70EDB"/>
    <w:rsid w:val="00B7104F"/>
    <w:rsid w:val="00B71A5D"/>
    <w:rsid w:val="00B7273B"/>
    <w:rsid w:val="00B727B8"/>
    <w:rsid w:val="00B73453"/>
    <w:rsid w:val="00B737C7"/>
    <w:rsid w:val="00B73E00"/>
    <w:rsid w:val="00B73E31"/>
    <w:rsid w:val="00B7460C"/>
    <w:rsid w:val="00B74A0D"/>
    <w:rsid w:val="00B74EC0"/>
    <w:rsid w:val="00B75299"/>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3C"/>
    <w:rsid w:val="00B81684"/>
    <w:rsid w:val="00B817F4"/>
    <w:rsid w:val="00B820AE"/>
    <w:rsid w:val="00B821AB"/>
    <w:rsid w:val="00B82A8C"/>
    <w:rsid w:val="00B830F7"/>
    <w:rsid w:val="00B8321E"/>
    <w:rsid w:val="00B8329F"/>
    <w:rsid w:val="00B837F5"/>
    <w:rsid w:val="00B83AC3"/>
    <w:rsid w:val="00B83DAC"/>
    <w:rsid w:val="00B83DF6"/>
    <w:rsid w:val="00B84BE8"/>
    <w:rsid w:val="00B855A8"/>
    <w:rsid w:val="00B85837"/>
    <w:rsid w:val="00B85F67"/>
    <w:rsid w:val="00B862DB"/>
    <w:rsid w:val="00B86557"/>
    <w:rsid w:val="00B86D87"/>
    <w:rsid w:val="00B87C60"/>
    <w:rsid w:val="00B90165"/>
    <w:rsid w:val="00B904C4"/>
    <w:rsid w:val="00B9090A"/>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1ED"/>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25C"/>
    <w:rsid w:val="00BC0AE6"/>
    <w:rsid w:val="00BC16BF"/>
    <w:rsid w:val="00BC1B4B"/>
    <w:rsid w:val="00BC201A"/>
    <w:rsid w:val="00BC2BC7"/>
    <w:rsid w:val="00BC2F45"/>
    <w:rsid w:val="00BC344E"/>
    <w:rsid w:val="00BC38B8"/>
    <w:rsid w:val="00BC3CF8"/>
    <w:rsid w:val="00BC4B9C"/>
    <w:rsid w:val="00BC4D50"/>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2F7"/>
    <w:rsid w:val="00BF6500"/>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97C"/>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D2D"/>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36F"/>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1F"/>
    <w:rsid w:val="00C7799E"/>
    <w:rsid w:val="00C80441"/>
    <w:rsid w:val="00C80547"/>
    <w:rsid w:val="00C80CD8"/>
    <w:rsid w:val="00C80DB5"/>
    <w:rsid w:val="00C8198E"/>
    <w:rsid w:val="00C81B30"/>
    <w:rsid w:val="00C8220B"/>
    <w:rsid w:val="00C82387"/>
    <w:rsid w:val="00C823D0"/>
    <w:rsid w:val="00C831FC"/>
    <w:rsid w:val="00C8373D"/>
    <w:rsid w:val="00C8395C"/>
    <w:rsid w:val="00C83D50"/>
    <w:rsid w:val="00C84231"/>
    <w:rsid w:val="00C847C8"/>
    <w:rsid w:val="00C84D5A"/>
    <w:rsid w:val="00C85034"/>
    <w:rsid w:val="00C852E8"/>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32E"/>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F2A"/>
    <w:rsid w:val="00CB299C"/>
    <w:rsid w:val="00CB2B08"/>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9FF"/>
    <w:rsid w:val="00CC2D18"/>
    <w:rsid w:val="00CC2EFE"/>
    <w:rsid w:val="00CC32B0"/>
    <w:rsid w:val="00CC3983"/>
    <w:rsid w:val="00CC3D8D"/>
    <w:rsid w:val="00CC3E8C"/>
    <w:rsid w:val="00CC400F"/>
    <w:rsid w:val="00CC4365"/>
    <w:rsid w:val="00CC4C5E"/>
    <w:rsid w:val="00CC4C9E"/>
    <w:rsid w:val="00CC4CD7"/>
    <w:rsid w:val="00CC4F58"/>
    <w:rsid w:val="00CC51C8"/>
    <w:rsid w:val="00CC57AE"/>
    <w:rsid w:val="00CC606C"/>
    <w:rsid w:val="00CC620F"/>
    <w:rsid w:val="00CC6E06"/>
    <w:rsid w:val="00CC728B"/>
    <w:rsid w:val="00CC7356"/>
    <w:rsid w:val="00CC7373"/>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0F1D"/>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DFE"/>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0AF"/>
    <w:rsid w:val="00D02369"/>
    <w:rsid w:val="00D02AFC"/>
    <w:rsid w:val="00D02C36"/>
    <w:rsid w:val="00D02E17"/>
    <w:rsid w:val="00D02F2F"/>
    <w:rsid w:val="00D0321D"/>
    <w:rsid w:val="00D047C0"/>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DF7"/>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312"/>
    <w:rsid w:val="00D256AE"/>
    <w:rsid w:val="00D25866"/>
    <w:rsid w:val="00D25A61"/>
    <w:rsid w:val="00D25E03"/>
    <w:rsid w:val="00D25E4B"/>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C5"/>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87B2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D40"/>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1FB"/>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4E5"/>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09"/>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79"/>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A0C"/>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3D7"/>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0E30"/>
    <w:rsid w:val="00E11EB8"/>
    <w:rsid w:val="00E1273A"/>
    <w:rsid w:val="00E12933"/>
    <w:rsid w:val="00E12A5A"/>
    <w:rsid w:val="00E12ADE"/>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4CAF"/>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657"/>
    <w:rsid w:val="00E71952"/>
    <w:rsid w:val="00E71DF1"/>
    <w:rsid w:val="00E71EDB"/>
    <w:rsid w:val="00E723D3"/>
    <w:rsid w:val="00E7242A"/>
    <w:rsid w:val="00E72737"/>
    <w:rsid w:val="00E72ABE"/>
    <w:rsid w:val="00E72BCC"/>
    <w:rsid w:val="00E739A7"/>
    <w:rsid w:val="00E73E01"/>
    <w:rsid w:val="00E7449A"/>
    <w:rsid w:val="00E747DF"/>
    <w:rsid w:val="00E74B5A"/>
    <w:rsid w:val="00E7524F"/>
    <w:rsid w:val="00E7556D"/>
    <w:rsid w:val="00E75693"/>
    <w:rsid w:val="00E756FB"/>
    <w:rsid w:val="00E76141"/>
    <w:rsid w:val="00E76270"/>
    <w:rsid w:val="00E76959"/>
    <w:rsid w:val="00E76B45"/>
    <w:rsid w:val="00E77040"/>
    <w:rsid w:val="00E772C4"/>
    <w:rsid w:val="00E77655"/>
    <w:rsid w:val="00E8016D"/>
    <w:rsid w:val="00E810EC"/>
    <w:rsid w:val="00E8112C"/>
    <w:rsid w:val="00E81587"/>
    <w:rsid w:val="00E826C8"/>
    <w:rsid w:val="00E82819"/>
    <w:rsid w:val="00E82A3B"/>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046F"/>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91A"/>
    <w:rsid w:val="00E96C84"/>
    <w:rsid w:val="00E96F40"/>
    <w:rsid w:val="00E96FBC"/>
    <w:rsid w:val="00E9702D"/>
    <w:rsid w:val="00E97353"/>
    <w:rsid w:val="00E9738B"/>
    <w:rsid w:val="00E97507"/>
    <w:rsid w:val="00E97512"/>
    <w:rsid w:val="00EA0136"/>
    <w:rsid w:val="00EA0281"/>
    <w:rsid w:val="00EA0BD3"/>
    <w:rsid w:val="00EA0BFA"/>
    <w:rsid w:val="00EA0E05"/>
    <w:rsid w:val="00EA0E10"/>
    <w:rsid w:val="00EA0EAB"/>
    <w:rsid w:val="00EA1B4A"/>
    <w:rsid w:val="00EA1CC1"/>
    <w:rsid w:val="00EA2271"/>
    <w:rsid w:val="00EA2585"/>
    <w:rsid w:val="00EA2730"/>
    <w:rsid w:val="00EA3641"/>
    <w:rsid w:val="00EA39DD"/>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C78"/>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1ED"/>
    <w:rsid w:val="00ED7BAF"/>
    <w:rsid w:val="00ED7CF8"/>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C27"/>
    <w:rsid w:val="00EE3DCB"/>
    <w:rsid w:val="00EE4825"/>
    <w:rsid w:val="00EE5112"/>
    <w:rsid w:val="00EE58F6"/>
    <w:rsid w:val="00EE62B4"/>
    <w:rsid w:val="00EE636D"/>
    <w:rsid w:val="00EE6572"/>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1D01"/>
    <w:rsid w:val="00F023A1"/>
    <w:rsid w:val="00F026AE"/>
    <w:rsid w:val="00F027FF"/>
    <w:rsid w:val="00F02B5B"/>
    <w:rsid w:val="00F0301D"/>
    <w:rsid w:val="00F032DF"/>
    <w:rsid w:val="00F0372A"/>
    <w:rsid w:val="00F0388F"/>
    <w:rsid w:val="00F03891"/>
    <w:rsid w:val="00F046FD"/>
    <w:rsid w:val="00F04D51"/>
    <w:rsid w:val="00F05EED"/>
    <w:rsid w:val="00F068B6"/>
    <w:rsid w:val="00F06F02"/>
    <w:rsid w:val="00F10437"/>
    <w:rsid w:val="00F10465"/>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2FE3"/>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37E70"/>
    <w:rsid w:val="00F41D1F"/>
    <w:rsid w:val="00F426B0"/>
    <w:rsid w:val="00F42910"/>
    <w:rsid w:val="00F42C2B"/>
    <w:rsid w:val="00F44833"/>
    <w:rsid w:val="00F44EE8"/>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0F5"/>
    <w:rsid w:val="00F8111D"/>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3CD8"/>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CF3"/>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4C8"/>
    <w:rsid w:val="00FC791E"/>
    <w:rsid w:val="00FC7F93"/>
    <w:rsid w:val="00FD10D2"/>
    <w:rsid w:val="00FD235B"/>
    <w:rsid w:val="00FD2804"/>
    <w:rsid w:val="00FD282A"/>
    <w:rsid w:val="00FD2A71"/>
    <w:rsid w:val="00FD3124"/>
    <w:rsid w:val="00FD3905"/>
    <w:rsid w:val="00FD4CC0"/>
    <w:rsid w:val="00FD5985"/>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HR33RHYHUWRF-4-5011</_dlc_DocId>
    <_dlc_DocIdUrl xmlns="c06861ca-3f08-4d07-bff7-bb15bac121f4">
      <Url>https://projects.qualcomm.com/sites/pentari/_layouts/15/DocIdRedir.aspx?ID=HR33RHYHUWRF-4-5011</Url>
      <Description>HR33RHYHUWRF-4-5011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purl.org/dc/elements/1.1/"/>
    <ds:schemaRef ds:uri="http://schemas.microsoft.com/office/infopath/2007/PartnerControls"/>
    <ds:schemaRef ds:uri="http://schemas.microsoft.com/office/2006/documentManagement/types"/>
    <ds:schemaRef ds:uri="http://purl.org/dc/dcmitype/"/>
    <ds:schemaRef ds:uri="c06861ca-3f08-4d07-bff7-bb15bac121f4"/>
    <ds:schemaRef ds:uri="http://schemas.microsoft.com/office/2006/metadata/properties"/>
    <ds:schemaRef ds:uri="http://www.w3.org/XML/1998/namespace"/>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F52D85-5E91-4E7E-A1DD-BED0588C6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1260</TotalTime>
  <Pages>5</Pages>
  <Words>1914</Words>
  <Characters>10913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TSG-RAN WG1 #86bis</vt:lpstr>
    </vt:vector>
  </TitlesOfParts>
  <Company>Qualcomm Inc.</Company>
  <LinksUpToDate>false</LinksUpToDate>
  <CharactersWithSpaces>12802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#86bis</dc:title>
  <dc:subject/>
  <dc:creator>Qualcomm Inc.</dc:creator>
  <cp:keywords/>
  <cp:lastModifiedBy>Peter Ang</cp:lastModifiedBy>
  <cp:revision>85</cp:revision>
  <cp:lastPrinted>2014-11-07T05:38:00Z</cp:lastPrinted>
  <dcterms:created xsi:type="dcterms:W3CDTF">2017-06-12T22:56:00Z</dcterms:created>
  <dcterms:modified xsi:type="dcterms:W3CDTF">2017-06-17T05:40:00Z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f2221d5b-0a57-462d-a62d-d9e4ce1df821</vt:lpwstr>
  </property>
</Properties>
</file>