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F6702" w14:textId="571C0C8E" w:rsidR="00070D2C" w:rsidRPr="000A64D8" w:rsidRDefault="00070D2C" w:rsidP="003970C8">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00BE5F52" w:rsidRPr="00317E8F">
        <w:rPr>
          <w:rFonts w:ascii="Arial" w:hAnsi="Arial" w:cs="Arial"/>
          <w:b/>
          <w:bCs/>
          <w:sz w:val="24"/>
          <w:szCs w:val="24"/>
        </w:rPr>
        <w:t>NR Ad-Hoc#2</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w:t>
      </w:r>
      <w:r w:rsidR="00BE5F52">
        <w:rPr>
          <w:rFonts w:ascii="Arial" w:hAnsi="Arial" w:cs="Arial"/>
          <w:b/>
          <w:sz w:val="24"/>
          <w:szCs w:val="24"/>
        </w:rPr>
        <w:t>11166</w:t>
      </w:r>
    </w:p>
    <w:p w14:paraId="3A4F89C6" w14:textId="40F16B67" w:rsidR="00070D2C" w:rsidRPr="00FD021C" w:rsidRDefault="00B015FA" w:rsidP="003970C8">
      <w:pPr>
        <w:tabs>
          <w:tab w:val="right" w:pos="9630"/>
        </w:tabs>
        <w:spacing w:after="0"/>
        <w:jc w:val="both"/>
        <w:rPr>
          <w:rFonts w:ascii="Arial" w:hAnsi="Arial" w:cs="Arial"/>
          <w:b/>
          <w:sz w:val="24"/>
          <w:szCs w:val="24"/>
        </w:rPr>
      </w:pPr>
      <w:r>
        <w:rPr>
          <w:rFonts w:ascii="Arial" w:hAnsi="Arial" w:cs="Arial"/>
          <w:b/>
          <w:sz w:val="24"/>
          <w:szCs w:val="24"/>
        </w:rPr>
        <w:t>June</w:t>
      </w:r>
      <w:bookmarkStart w:id="0" w:name="_GoBack"/>
      <w:bookmarkEnd w:id="0"/>
      <w:r w:rsidR="00070D2C">
        <w:rPr>
          <w:rFonts w:ascii="Arial" w:hAnsi="Arial" w:cs="Arial"/>
          <w:b/>
          <w:sz w:val="24"/>
          <w:szCs w:val="24"/>
        </w:rPr>
        <w:t xml:space="preserve"> </w:t>
      </w:r>
      <w:r w:rsidR="00BE5F52">
        <w:rPr>
          <w:rFonts w:ascii="Arial" w:hAnsi="Arial" w:cs="Arial"/>
          <w:b/>
          <w:sz w:val="24"/>
          <w:szCs w:val="24"/>
        </w:rPr>
        <w:t>27</w:t>
      </w:r>
      <w:r w:rsidR="00070D2C" w:rsidRPr="007E3C85">
        <w:rPr>
          <w:rFonts w:ascii="Arial" w:hAnsi="Arial" w:cs="Arial"/>
          <w:b/>
          <w:sz w:val="24"/>
          <w:szCs w:val="24"/>
          <w:vertAlign w:val="superscript"/>
        </w:rPr>
        <w:t>th</w:t>
      </w:r>
      <w:r w:rsidR="00070D2C">
        <w:rPr>
          <w:rFonts w:ascii="Arial" w:hAnsi="Arial" w:cs="Arial"/>
          <w:b/>
          <w:sz w:val="24"/>
          <w:szCs w:val="24"/>
        </w:rPr>
        <w:t xml:space="preserve"> - </w:t>
      </w:r>
      <w:r w:rsidR="00BE5F52">
        <w:rPr>
          <w:rFonts w:ascii="Arial" w:hAnsi="Arial" w:cs="Arial"/>
          <w:b/>
          <w:sz w:val="24"/>
          <w:szCs w:val="24"/>
        </w:rPr>
        <w:t>30</w:t>
      </w:r>
      <w:r w:rsidR="00070D2C" w:rsidRPr="007E3C85">
        <w:rPr>
          <w:rFonts w:ascii="Arial" w:hAnsi="Arial" w:cs="Arial"/>
          <w:b/>
          <w:sz w:val="24"/>
          <w:szCs w:val="24"/>
          <w:vertAlign w:val="superscript"/>
        </w:rPr>
        <w:t>th</w:t>
      </w:r>
      <w:r w:rsidR="00070D2C" w:rsidRPr="00CC0D62">
        <w:rPr>
          <w:rFonts w:ascii="Arial" w:hAnsi="Arial" w:cs="Arial"/>
          <w:b/>
          <w:sz w:val="24"/>
          <w:szCs w:val="24"/>
        </w:rPr>
        <w:t>, 2017</w:t>
      </w:r>
    </w:p>
    <w:p w14:paraId="186546CD" w14:textId="245A3AFA" w:rsidR="00070D2C" w:rsidRPr="000A64D8" w:rsidRDefault="00BE5F52" w:rsidP="003970C8">
      <w:pPr>
        <w:spacing w:after="0"/>
        <w:jc w:val="both"/>
        <w:rPr>
          <w:rFonts w:ascii="Arial" w:hAnsi="Arial" w:cs="Arial"/>
          <w:b/>
          <w:sz w:val="24"/>
          <w:szCs w:val="24"/>
        </w:rPr>
      </w:pPr>
      <w:r>
        <w:rPr>
          <w:rFonts w:ascii="Arial" w:hAnsi="Arial" w:cs="Arial"/>
          <w:b/>
          <w:sz w:val="24"/>
          <w:szCs w:val="24"/>
        </w:rPr>
        <w:t>Qingdao</w:t>
      </w:r>
      <w:r w:rsidR="00070D2C">
        <w:rPr>
          <w:rFonts w:ascii="Arial" w:hAnsi="Arial" w:cs="Arial"/>
          <w:b/>
          <w:sz w:val="24"/>
          <w:szCs w:val="24"/>
        </w:rPr>
        <w:t>, China</w:t>
      </w:r>
    </w:p>
    <w:p w14:paraId="0059E019" w14:textId="77777777" w:rsidR="00070D2C" w:rsidRPr="000A64D8" w:rsidRDefault="00070D2C" w:rsidP="003970C8">
      <w:pPr>
        <w:pStyle w:val="Footer"/>
        <w:jc w:val="both"/>
        <w:rPr>
          <w:noProof w:val="0"/>
        </w:rPr>
      </w:pPr>
    </w:p>
    <w:p w14:paraId="12F6C659" w14:textId="498450AE" w:rsidR="00070D2C" w:rsidRPr="000A64D8" w:rsidRDefault="00070D2C" w:rsidP="003970C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E5F52">
        <w:rPr>
          <w:rFonts w:ascii="Arial" w:hAnsi="Arial"/>
          <w:sz w:val="24"/>
        </w:rPr>
        <w:t>5.1.2.3.4</w:t>
      </w:r>
    </w:p>
    <w:p w14:paraId="2023FEB4" w14:textId="77777777" w:rsidR="00070D2C" w:rsidRPr="000A64D8" w:rsidRDefault="00070D2C" w:rsidP="003970C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EF1458" w14:textId="4F5DFD5E" w:rsidR="00070D2C" w:rsidRPr="00AD219B" w:rsidRDefault="00070D2C" w:rsidP="003970C8">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D219B">
        <w:rPr>
          <w:rFonts w:ascii="Arial" w:hAnsi="Arial"/>
          <w:sz w:val="24"/>
        </w:rPr>
        <w:t xml:space="preserve">On CSI </w:t>
      </w:r>
      <w:r w:rsidR="00EE44FB">
        <w:rPr>
          <w:rFonts w:ascii="Arial" w:hAnsi="Arial"/>
          <w:sz w:val="24"/>
        </w:rPr>
        <w:t>F</w:t>
      </w:r>
      <w:r w:rsidRPr="00AD219B">
        <w:rPr>
          <w:rFonts w:ascii="Arial" w:hAnsi="Arial"/>
          <w:sz w:val="24"/>
        </w:rPr>
        <w:t xml:space="preserve">eedback </w:t>
      </w:r>
      <w:r w:rsidR="00BE5F52" w:rsidRPr="00AD219B">
        <w:rPr>
          <w:rFonts w:ascii="Arial" w:hAnsi="Arial"/>
          <w:sz w:val="24"/>
        </w:rPr>
        <w:t xml:space="preserve">for </w:t>
      </w:r>
      <w:r w:rsidR="00EE44FB">
        <w:rPr>
          <w:rFonts w:ascii="Arial" w:hAnsi="Arial"/>
          <w:sz w:val="24"/>
        </w:rPr>
        <w:t>O</w:t>
      </w:r>
      <w:r w:rsidR="00BE5F52" w:rsidRPr="00AD219B">
        <w:rPr>
          <w:rFonts w:ascii="Arial" w:hAnsi="Arial"/>
          <w:sz w:val="24"/>
        </w:rPr>
        <w:t xml:space="preserve">pen- or </w:t>
      </w:r>
      <w:r w:rsidR="00EE44FB">
        <w:rPr>
          <w:rFonts w:ascii="Arial" w:hAnsi="Arial"/>
          <w:sz w:val="24"/>
        </w:rPr>
        <w:t>S</w:t>
      </w:r>
      <w:r w:rsidR="00BE5F52" w:rsidRPr="00AD219B">
        <w:rPr>
          <w:rFonts w:ascii="Arial" w:hAnsi="Arial"/>
          <w:sz w:val="24"/>
        </w:rPr>
        <w:t>emi-</w:t>
      </w:r>
      <w:r w:rsidR="00681D39">
        <w:rPr>
          <w:rFonts w:ascii="Arial" w:hAnsi="Arial"/>
          <w:sz w:val="24"/>
        </w:rPr>
        <w:t>O</w:t>
      </w:r>
      <w:r w:rsidR="00BE5F52" w:rsidRPr="00AD219B">
        <w:rPr>
          <w:rFonts w:ascii="Arial" w:hAnsi="Arial"/>
          <w:sz w:val="24"/>
        </w:rPr>
        <w:t>pen-</w:t>
      </w:r>
      <w:r w:rsidR="00681D39">
        <w:rPr>
          <w:rFonts w:ascii="Arial" w:hAnsi="Arial"/>
          <w:sz w:val="24"/>
        </w:rPr>
        <w:t>L</w:t>
      </w:r>
      <w:r w:rsidR="00BE5F52" w:rsidRPr="00AD219B">
        <w:rPr>
          <w:rFonts w:ascii="Arial" w:hAnsi="Arial"/>
          <w:sz w:val="24"/>
        </w:rPr>
        <w:t xml:space="preserve">oop </w:t>
      </w:r>
      <w:r w:rsidR="00EE44FB">
        <w:rPr>
          <w:rFonts w:ascii="Arial" w:hAnsi="Arial"/>
          <w:sz w:val="24"/>
        </w:rPr>
        <w:t>T</w:t>
      </w:r>
      <w:r w:rsidR="00BE5F52" w:rsidRPr="00AD219B">
        <w:rPr>
          <w:rFonts w:ascii="Arial" w:hAnsi="Arial"/>
          <w:sz w:val="24"/>
        </w:rPr>
        <w:t>ransmission</w:t>
      </w:r>
    </w:p>
    <w:p w14:paraId="31EC2E90" w14:textId="77777777" w:rsidR="00070D2C" w:rsidRDefault="00070D2C" w:rsidP="003970C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4CC325CD" w14:textId="77777777" w:rsidR="00070D2C" w:rsidRPr="00183CB7" w:rsidRDefault="00070D2C" w:rsidP="003970C8">
      <w:pPr>
        <w:pStyle w:val="Heading1"/>
        <w:jc w:val="both"/>
      </w:pPr>
      <w:r w:rsidRPr="00183CB7">
        <w:t>Introduction</w:t>
      </w:r>
    </w:p>
    <w:p w14:paraId="758DFAFE" w14:textId="77777777" w:rsidR="00070D2C" w:rsidRDefault="00070D2C" w:rsidP="003970C8">
      <w:pPr>
        <w:spacing w:before="120" w:after="120"/>
        <w:jc w:val="both"/>
        <w:rPr>
          <w:szCs w:val="22"/>
        </w:rPr>
      </w:pPr>
      <w:r w:rsidRPr="0034718C">
        <w:rPr>
          <w:szCs w:val="22"/>
        </w:rPr>
        <w:t>In RAN</w:t>
      </w:r>
      <w:r>
        <w:rPr>
          <w:szCs w:val="22"/>
        </w:rPr>
        <w:t xml:space="preserve">1 #89, the agreement on DL semi-OL/OL scheme was as follows [1]. </w:t>
      </w:r>
    </w:p>
    <w:p w14:paraId="62E2D416" w14:textId="77777777" w:rsidR="00070D2C" w:rsidRPr="00103C34" w:rsidRDefault="00070D2C" w:rsidP="003970C8">
      <w:pPr>
        <w:numPr>
          <w:ilvl w:val="0"/>
          <w:numId w:val="28"/>
        </w:numPr>
        <w:overflowPunct/>
        <w:autoSpaceDE/>
        <w:autoSpaceDN/>
        <w:adjustRightInd/>
        <w:spacing w:after="0"/>
        <w:jc w:val="both"/>
        <w:textAlignment w:val="auto"/>
        <w:rPr>
          <w:rFonts w:eastAsia="MS Mincho"/>
          <w:i/>
          <w:iCs/>
          <w:lang w:eastAsia="ja-JP"/>
        </w:rPr>
      </w:pPr>
      <w:r w:rsidRPr="00103C34">
        <w:rPr>
          <w:rFonts w:eastAsia="MS Mincho"/>
          <w:i/>
          <w:iCs/>
          <w:lang w:eastAsia="ja-JP"/>
        </w:rPr>
        <w:t xml:space="preserve">For NR in Rel-15, DL transmission scheme 2 is not explicitly supported for unicast PDSCH in specification </w:t>
      </w:r>
    </w:p>
    <w:p w14:paraId="32EF4CE6" w14:textId="77777777" w:rsidR="00070D2C" w:rsidRPr="003D6D66" w:rsidRDefault="00070D2C" w:rsidP="003970C8">
      <w:pPr>
        <w:numPr>
          <w:ilvl w:val="1"/>
          <w:numId w:val="28"/>
        </w:numPr>
        <w:overflowPunct/>
        <w:autoSpaceDE/>
        <w:autoSpaceDN/>
        <w:adjustRightInd/>
        <w:spacing w:after="0"/>
        <w:jc w:val="both"/>
        <w:textAlignment w:val="auto"/>
        <w:rPr>
          <w:rFonts w:eastAsia="MS Mincho"/>
          <w:i/>
          <w:iCs/>
          <w:lang w:eastAsia="ja-JP"/>
        </w:rPr>
      </w:pPr>
      <w:r w:rsidRPr="003D6D66">
        <w:rPr>
          <w:rFonts w:eastAsia="MS Mincho"/>
          <w:i/>
          <w:iCs/>
          <w:lang w:eastAsia="ja-JP"/>
        </w:rPr>
        <w:t>Note: CSI feedback assuming open-loop/semi-open-loop and/or closed-loop transmissions is to be discussed separately</w:t>
      </w:r>
    </w:p>
    <w:p w14:paraId="2165E587" w14:textId="77777777" w:rsidR="00070D2C" w:rsidRPr="00D33FCE" w:rsidRDefault="00070D2C" w:rsidP="003970C8">
      <w:pPr>
        <w:spacing w:before="120" w:after="120"/>
        <w:jc w:val="both"/>
        <w:rPr>
          <w:rFonts w:eastAsia="MS Mincho"/>
          <w:i/>
          <w:lang w:eastAsia="ja-JP"/>
        </w:rPr>
      </w:pPr>
      <w:r>
        <w:rPr>
          <w:szCs w:val="22"/>
        </w:rPr>
        <w:t>In this document, we discuss some remaining issues on the CSI feedback content and the CQI derivation for Semi-OL schemes.</w:t>
      </w:r>
    </w:p>
    <w:p w14:paraId="5D233AF1" w14:textId="77777777" w:rsidR="00070D2C" w:rsidRDefault="00070D2C" w:rsidP="003970C8">
      <w:pPr>
        <w:pStyle w:val="Heading1"/>
        <w:jc w:val="both"/>
      </w:pPr>
      <w:r>
        <w:t>Discussion</w:t>
      </w:r>
    </w:p>
    <w:p w14:paraId="2B9913A8" w14:textId="77777777" w:rsidR="00070D2C" w:rsidRDefault="00070D2C" w:rsidP="003970C8">
      <w:pPr>
        <w:pStyle w:val="Heading2"/>
        <w:jc w:val="both"/>
      </w:pPr>
      <w:r>
        <w:t>CSI feedback content</w:t>
      </w:r>
    </w:p>
    <w:p w14:paraId="2A93E149" w14:textId="4F90AC8A" w:rsidR="00070D2C" w:rsidRDefault="00246CF2" w:rsidP="003970C8">
      <w:pPr>
        <w:jc w:val="both"/>
        <w:rPr>
          <w:lang w:val="en-GB"/>
        </w:rPr>
      </w:pPr>
      <w:r>
        <w:rPr>
          <w:lang w:val="en-GB"/>
        </w:rPr>
        <w:t xml:space="preserve">In general, there are three possible reporting schemes, i.e., no PMI, partial PMI and full PMI. </w:t>
      </w:r>
      <w:r w:rsidR="00070D2C">
        <w:rPr>
          <w:lang w:val="en-GB"/>
        </w:rPr>
        <w:t>In this part, we discuss the pros and cons of</w:t>
      </w:r>
      <w:r>
        <w:rPr>
          <w:lang w:val="en-GB"/>
        </w:rPr>
        <w:t xml:space="preserve"> those schemes</w:t>
      </w:r>
      <w:r w:rsidR="00070D2C">
        <w:rPr>
          <w:lang w:val="en-GB"/>
        </w:rPr>
        <w:t xml:space="preserve"> from various perspective</w:t>
      </w:r>
      <w:r w:rsidR="007404B1">
        <w:rPr>
          <w:lang w:val="en-GB"/>
        </w:rPr>
        <w:t>s</w:t>
      </w:r>
      <w:r w:rsidR="00070D2C">
        <w:rPr>
          <w:lang w:val="en-GB"/>
        </w:rPr>
        <w:t xml:space="preserve"> including signalling overhead, computation complexity and performance.</w:t>
      </w:r>
    </w:p>
    <w:p w14:paraId="06366B6A" w14:textId="77777777" w:rsidR="00070D2C" w:rsidRPr="001C48E5" w:rsidRDefault="00070D2C" w:rsidP="003970C8">
      <w:pPr>
        <w:jc w:val="both"/>
        <w:rPr>
          <w:i/>
          <w:u w:val="single"/>
          <w:lang w:val="en-GB"/>
        </w:rPr>
      </w:pPr>
      <w:r>
        <w:rPr>
          <w:i/>
          <w:u w:val="single"/>
          <w:lang w:val="en-GB"/>
        </w:rPr>
        <w:t>Scheme</w:t>
      </w:r>
      <w:r w:rsidRPr="001C48E5">
        <w:rPr>
          <w:i/>
          <w:u w:val="single"/>
          <w:lang w:val="en-GB"/>
        </w:rPr>
        <w:t xml:space="preserve"> 1: No PMI</w:t>
      </w:r>
    </w:p>
    <w:p w14:paraId="70C37654" w14:textId="662F1A54" w:rsidR="00070D2C" w:rsidRDefault="00070D2C" w:rsidP="003970C8">
      <w:pPr>
        <w:jc w:val="both"/>
        <w:rPr>
          <w:lang w:val="en-GB"/>
        </w:rPr>
      </w:pPr>
      <w:r>
        <w:rPr>
          <w:lang w:val="en-GB"/>
        </w:rPr>
        <w:t xml:space="preserve">In this </w:t>
      </w:r>
      <w:r w:rsidR="00D96A1A">
        <w:rPr>
          <w:lang w:val="en-GB"/>
        </w:rPr>
        <w:t>scheme</w:t>
      </w:r>
      <w:r>
        <w:rPr>
          <w:lang w:val="en-GB"/>
        </w:rPr>
        <w:t>, the UE is not requested to provide a preferred precoder. Hence, this reporting scheme yields the lowest computation complexity for the UE as the UE does not need to try and compare a various precoder candidates. Besides, this scheme ha</w:t>
      </w:r>
      <w:r w:rsidR="003970C8">
        <w:rPr>
          <w:lang w:val="en-GB"/>
        </w:rPr>
        <w:t>s the lowest reporting overhead</w:t>
      </w:r>
      <w:r>
        <w:rPr>
          <w:lang w:val="en-GB"/>
        </w:rPr>
        <w:t>.</w:t>
      </w:r>
    </w:p>
    <w:p w14:paraId="159F76E5" w14:textId="77777777" w:rsidR="00070D2C" w:rsidRPr="001C48E5" w:rsidRDefault="00070D2C" w:rsidP="003970C8">
      <w:pPr>
        <w:jc w:val="both"/>
        <w:rPr>
          <w:i/>
          <w:u w:val="single"/>
          <w:lang w:val="en-GB"/>
        </w:rPr>
      </w:pPr>
      <w:r>
        <w:rPr>
          <w:i/>
          <w:u w:val="single"/>
          <w:lang w:val="en-GB"/>
        </w:rPr>
        <w:t>Scheme</w:t>
      </w:r>
      <w:r w:rsidRPr="001C48E5">
        <w:rPr>
          <w:i/>
          <w:u w:val="single"/>
          <w:lang w:val="en-GB"/>
        </w:rPr>
        <w:t xml:space="preserve"> 2: Partial PMI</w:t>
      </w:r>
    </w:p>
    <w:p w14:paraId="21A0E4C4" w14:textId="7120AEC8" w:rsidR="00070D2C" w:rsidRDefault="00070D2C" w:rsidP="003970C8">
      <w:pPr>
        <w:jc w:val="both"/>
        <w:rPr>
          <w:lang w:val="en-GB"/>
        </w:rPr>
      </w:pPr>
      <w:r>
        <w:rPr>
          <w:lang w:val="en-GB"/>
        </w:rPr>
        <w:t xml:space="preserve">In this </w:t>
      </w:r>
      <w:r w:rsidR="00D96A1A">
        <w:rPr>
          <w:lang w:val="en-GB"/>
        </w:rPr>
        <w:t>scheme</w:t>
      </w:r>
      <w:r>
        <w:rPr>
          <w:lang w:val="en-GB"/>
        </w:rPr>
        <w:t xml:space="preserve">, the UE is required to report a W1 matrix or only the horizontal/vertical beam. Based on the UE reported partial </w:t>
      </w:r>
      <w:r w:rsidR="00D96A1A">
        <w:rPr>
          <w:lang w:val="en-GB"/>
        </w:rPr>
        <w:t>PMI, the network may transmit data via</w:t>
      </w:r>
      <w:r>
        <w:rPr>
          <w:lang w:val="en-GB"/>
        </w:rPr>
        <w:t xml:space="preserve"> precoder cycling or SCDD. Since UE is allowed to provide preferred beam direction information, this scheme is robust to high mobility. On the other hand, this scheme has the medium computation complexity and signalling overhead among the three candidate reporting schemes. Compared to the no PMI reporting scheme, it remains to be investigated whether the extra overhead is really useful in </w:t>
      </w:r>
      <w:r w:rsidR="00D96A1A">
        <w:rPr>
          <w:lang w:val="en-GB"/>
        </w:rPr>
        <w:t>benefiting the system throughput</w:t>
      </w:r>
      <w:r>
        <w:rPr>
          <w:lang w:val="en-GB"/>
        </w:rPr>
        <w:t xml:space="preserve">. </w:t>
      </w:r>
    </w:p>
    <w:p w14:paraId="3475082C" w14:textId="77777777" w:rsidR="00070D2C" w:rsidRPr="001C48E5" w:rsidRDefault="00070D2C" w:rsidP="003970C8">
      <w:pPr>
        <w:jc w:val="both"/>
        <w:rPr>
          <w:i/>
          <w:u w:val="single"/>
          <w:lang w:val="en-GB"/>
        </w:rPr>
      </w:pPr>
      <w:r>
        <w:rPr>
          <w:i/>
          <w:u w:val="single"/>
          <w:lang w:val="en-GB"/>
        </w:rPr>
        <w:t>Scheme</w:t>
      </w:r>
      <w:r w:rsidRPr="001C48E5">
        <w:rPr>
          <w:i/>
          <w:u w:val="single"/>
          <w:lang w:val="en-GB"/>
        </w:rPr>
        <w:t xml:space="preserve"> 3: Full PMI</w:t>
      </w:r>
    </w:p>
    <w:p w14:paraId="08C75914" w14:textId="343EE748" w:rsidR="00070D2C" w:rsidRDefault="00070D2C" w:rsidP="003970C8">
      <w:pPr>
        <w:jc w:val="both"/>
        <w:rPr>
          <w:lang w:val="en-GB"/>
        </w:rPr>
      </w:pPr>
      <w:r>
        <w:rPr>
          <w:lang w:val="en-GB"/>
        </w:rPr>
        <w:t>In this case, UE reports both W1 matrix and W2 matrix. Although the feedback content is identical to the CSI reporting scheme for TS1, the CQI computation depends on a TS2 scheme. The good perspective is having a unified reporting framework and payload size for both TS1 and TS2. However, the doubtfulness lies in the necessity of W2 reporting, because</w:t>
      </w:r>
      <w:r w:rsidR="00396867">
        <w:rPr>
          <w:lang w:val="en-GB"/>
        </w:rPr>
        <w:t xml:space="preserve"> 1)</w:t>
      </w:r>
      <w:r>
        <w:rPr>
          <w:lang w:val="en-GB"/>
        </w:rPr>
        <w:t xml:space="preserve"> the co-phase information is short-term and sensitive to UE mobility, and 2) </w:t>
      </w:r>
      <w:r w:rsidR="00396867">
        <w:rPr>
          <w:lang w:val="en-GB"/>
        </w:rPr>
        <w:t>UE may randomly pick up a W2 matrix for CQI from complexity perspective.</w:t>
      </w:r>
      <w:r>
        <w:rPr>
          <w:lang w:val="en-GB"/>
        </w:rPr>
        <w:t xml:space="preserve"> </w:t>
      </w:r>
    </w:p>
    <w:p w14:paraId="62B1069E" w14:textId="77777777" w:rsidR="00070D2C" w:rsidRDefault="00070D2C" w:rsidP="003970C8">
      <w:pPr>
        <w:jc w:val="both"/>
        <w:rPr>
          <w:lang w:val="en-GB"/>
        </w:rPr>
      </w:pPr>
      <w:r>
        <w:rPr>
          <w:lang w:val="en-GB"/>
        </w:rPr>
        <w:t>From the above analysis, we can see that it is essential to identify the benefit of additional feedback compared to the case with no PMI feedback. Since TS2 is performed when the accurate CSI is not available, it is reasonable to give higher credit to computation complexity and signalling overhead from a system design perspective. Hence, our proposal regarding PMI reporting for TS2 is as follows.</w:t>
      </w:r>
    </w:p>
    <w:p w14:paraId="3C57B7A3" w14:textId="77777777" w:rsidR="00070D2C" w:rsidRPr="00A152EF" w:rsidRDefault="00070D2C" w:rsidP="003970C8">
      <w:pPr>
        <w:jc w:val="both"/>
        <w:rPr>
          <w:b/>
          <w:i/>
          <w:lang w:val="en-GB"/>
        </w:rPr>
      </w:pPr>
      <w:r w:rsidRPr="00680694">
        <w:rPr>
          <w:b/>
          <w:i/>
          <w:lang w:val="en-GB"/>
        </w:rPr>
        <w:lastRenderedPageBreak/>
        <w:t>Proposal 1: NR considers no PMI feedback as a baseline for TS2. Companies should strive to provide simulation results of how much benefit can be obtained from having partial or full PMI reporting.</w:t>
      </w:r>
    </w:p>
    <w:p w14:paraId="0C2CB2B2" w14:textId="77777777" w:rsidR="00070D2C" w:rsidRDefault="00070D2C" w:rsidP="003970C8">
      <w:pPr>
        <w:pStyle w:val="Heading2"/>
        <w:jc w:val="both"/>
      </w:pPr>
      <w:r>
        <w:t>CQI derivation method</w:t>
      </w:r>
    </w:p>
    <w:p w14:paraId="29D01F45" w14:textId="77777777" w:rsidR="00070D2C" w:rsidRDefault="00070D2C" w:rsidP="003970C8">
      <w:pPr>
        <w:spacing w:before="120" w:after="120"/>
        <w:jc w:val="both"/>
        <w:rPr>
          <w:lang w:val="en-GB"/>
        </w:rPr>
      </w:pPr>
      <w:r>
        <w:rPr>
          <w:lang w:val="en-GB"/>
        </w:rPr>
        <w:t>In terms of CQI derivation, the key question is to decide the CSI-RS port to DMRS port mapping. In words, UE has to compute the spectral efficiency based on the precoder chosen for data, then the network is able to perform link adaptation based on the reported spectral efficiency and reported precoder. For closed-loop schemes, UE reports wideband/long-term precoder W1 together with the short-term precoder W2, based on which UE calculates and report CQI. However, for TS2 schemes, since the PMI is partially or is not reported, the CSI-RS port to DMRS port mapping is not fully reported to the network. It remains to be investigated what assumption should be made to derive the CQI.</w:t>
      </w:r>
    </w:p>
    <w:p w14:paraId="304C7448" w14:textId="23E89A09" w:rsidR="00070D2C" w:rsidRDefault="00070D2C" w:rsidP="003970C8">
      <w:pPr>
        <w:spacing w:before="120" w:after="120"/>
        <w:jc w:val="both"/>
        <w:rPr>
          <w:lang w:val="en-GB"/>
        </w:rPr>
      </w:pPr>
      <w:r>
        <w:rPr>
          <w:lang w:val="en-GB"/>
        </w:rPr>
        <w:t>In RAN1#89 meeting, transparent schemes, i.e., PRB level precoder cycling and Small Cyclic Delay Diversity</w:t>
      </w:r>
      <w:r w:rsidR="00396867">
        <w:rPr>
          <w:lang w:val="en-GB"/>
        </w:rPr>
        <w:t xml:space="preserve"> (SCDD)</w:t>
      </w:r>
      <w:r>
        <w:rPr>
          <w:lang w:val="en-GB"/>
        </w:rPr>
        <w:t>, were selected as transmission schemes for DL unicast PDSCH. There are generally t</w:t>
      </w:r>
      <w:r w:rsidR="003970C8">
        <w:rPr>
          <w:lang w:val="en-GB"/>
        </w:rPr>
        <w:t>wo</w:t>
      </w:r>
      <w:r>
        <w:rPr>
          <w:lang w:val="en-GB"/>
        </w:rPr>
        <w:t xml:space="preserve"> alternations to derive CQI for TS2 schemes. </w:t>
      </w:r>
    </w:p>
    <w:p w14:paraId="0015BC50" w14:textId="2FF657A6" w:rsidR="00070D2C" w:rsidRPr="00BF3B32" w:rsidRDefault="00070D2C" w:rsidP="003970C8">
      <w:pPr>
        <w:jc w:val="both"/>
        <w:rPr>
          <w:i/>
          <w:u w:val="single"/>
          <w:lang w:val="en-GB"/>
        </w:rPr>
      </w:pPr>
      <w:r w:rsidRPr="00BF3B32">
        <w:rPr>
          <w:i/>
          <w:u w:val="single"/>
          <w:lang w:val="en-GB"/>
        </w:rPr>
        <w:t xml:space="preserve">Alt-1: </w:t>
      </w:r>
      <w:r w:rsidR="003970C8">
        <w:rPr>
          <w:i/>
          <w:u w:val="single"/>
          <w:lang w:val="en-GB"/>
        </w:rPr>
        <w:t xml:space="preserve">without a defined scheme </w:t>
      </w:r>
    </w:p>
    <w:p w14:paraId="5CE5E77B" w14:textId="434A105C" w:rsidR="00070D2C" w:rsidRPr="00CD6A80" w:rsidRDefault="00070D2C" w:rsidP="003970C8">
      <w:pPr>
        <w:spacing w:before="120" w:after="120"/>
        <w:jc w:val="both"/>
      </w:pPr>
      <w:r>
        <w:rPr>
          <w:lang w:val="en-GB"/>
        </w:rPr>
        <w:t xml:space="preserve">In this scheme, UE computes the CQI without assuming any </w:t>
      </w:r>
      <w:r w:rsidR="003970C8">
        <w:rPr>
          <w:lang w:val="en-GB"/>
        </w:rPr>
        <w:t>specific schemes</w:t>
      </w:r>
      <w:r>
        <w:rPr>
          <w:lang w:val="en-GB"/>
        </w:rPr>
        <w:t>. For the case with no PMI feedback, UE evaluates the spectral efficiency of every possible precoder, and derives the CQI by averaging those obtained spectral efficiencies. For the case with partial PMI feedback, UE evaluates the spectral efficiency of every precoder associated with the partial PMI, and report the average spectral efficiency as the CQI. For the case with full PMI feedback, the UE may randomly choose a PMI and compute the CQI associated wi</w:t>
      </w:r>
      <w:r w:rsidR="003970C8">
        <w:rPr>
          <w:lang w:val="en-GB"/>
        </w:rPr>
        <w:t>th the random selected precoder</w:t>
      </w:r>
      <w:r>
        <w:rPr>
          <w:lang w:val="en-GB"/>
        </w:rPr>
        <w:t xml:space="preserve">. </w:t>
      </w:r>
    </w:p>
    <w:p w14:paraId="54FC19EE" w14:textId="3C311155" w:rsidR="00070D2C" w:rsidRPr="00BF3B32" w:rsidRDefault="00070D2C" w:rsidP="003970C8">
      <w:pPr>
        <w:jc w:val="both"/>
        <w:rPr>
          <w:i/>
          <w:u w:val="single"/>
          <w:lang w:val="en-GB"/>
        </w:rPr>
      </w:pPr>
      <w:r w:rsidRPr="00BF3B32">
        <w:rPr>
          <w:i/>
          <w:u w:val="single"/>
          <w:lang w:val="en-GB"/>
        </w:rPr>
        <w:t>Alt-</w:t>
      </w:r>
      <w:r w:rsidR="00AB35CF">
        <w:rPr>
          <w:i/>
          <w:u w:val="single"/>
          <w:lang w:val="en-GB"/>
        </w:rPr>
        <w:t>2</w:t>
      </w:r>
      <w:r w:rsidRPr="00BF3B32">
        <w:rPr>
          <w:i/>
          <w:u w:val="single"/>
          <w:lang w:val="en-GB"/>
        </w:rPr>
        <w:t>: fixed precoder selection</w:t>
      </w:r>
    </w:p>
    <w:p w14:paraId="6A55A3E1" w14:textId="558D617D" w:rsidR="00070D2C" w:rsidRDefault="00070D2C" w:rsidP="003970C8">
      <w:pPr>
        <w:spacing w:before="120" w:after="120"/>
        <w:jc w:val="both"/>
        <w:rPr>
          <w:lang w:val="en-GB"/>
        </w:rPr>
      </w:pPr>
      <w:r>
        <w:rPr>
          <w:lang w:val="en-GB"/>
        </w:rPr>
        <w:t>This case can work with no PMI feedback or partial PMI feedback. In this case, no matter which W1 or horizontal/beam is reported or no PMI is reported, UE always compute</w:t>
      </w:r>
      <w:r w:rsidR="00345B07">
        <w:rPr>
          <w:lang w:val="en-GB"/>
        </w:rPr>
        <w:t>s</w:t>
      </w:r>
      <w:r>
        <w:rPr>
          <w:lang w:val="en-GB"/>
        </w:rPr>
        <w:t xml:space="preserve"> the CQI assuming a fixed precoder given the PMI reporting. For example, if W1 matrix is reported, the CQI is derived assuming the first precoder from the 16 candidate </w:t>
      </w:r>
      <w:r w:rsidR="00345B07">
        <w:rPr>
          <w:lang w:val="en-GB"/>
        </w:rPr>
        <w:t xml:space="preserve">W2 </w:t>
      </w:r>
      <w:r>
        <w:rPr>
          <w:lang w:val="en-GB"/>
        </w:rPr>
        <w:t>precoders associated with the selected W1 matrix. This scheme has the lowest computation complexity from the UE perspective. The CQI computation methods for each PMI reporting scheme is summarized in Table 1.</w:t>
      </w:r>
    </w:p>
    <w:p w14:paraId="727CEB0B" w14:textId="77777777" w:rsidR="00070D2C" w:rsidRPr="00537E3A" w:rsidRDefault="00070D2C" w:rsidP="003970C8">
      <w:pPr>
        <w:spacing w:before="120" w:after="120"/>
        <w:jc w:val="both"/>
        <w:rPr>
          <w:b/>
          <w:lang w:val="en-GB"/>
        </w:rPr>
      </w:pPr>
      <w:r w:rsidRPr="00537E3A">
        <w:rPr>
          <w:b/>
          <w:lang w:val="en-GB"/>
        </w:rPr>
        <w:t>Table 1. Combination of CQI computation methods and PMI reporting schemes</w:t>
      </w:r>
    </w:p>
    <w:tbl>
      <w:tblPr>
        <w:tblStyle w:val="TableGrid"/>
        <w:tblW w:w="0" w:type="auto"/>
        <w:tblLook w:val="04A0" w:firstRow="1" w:lastRow="0" w:firstColumn="1" w:lastColumn="0" w:noHBand="0" w:noVBand="1"/>
      </w:tblPr>
      <w:tblGrid>
        <w:gridCol w:w="2065"/>
        <w:gridCol w:w="2632"/>
        <w:gridCol w:w="2632"/>
        <w:gridCol w:w="2633"/>
      </w:tblGrid>
      <w:tr w:rsidR="00070D2C" w14:paraId="051F2F64" w14:textId="77777777" w:rsidTr="003C6434">
        <w:tc>
          <w:tcPr>
            <w:tcW w:w="2065" w:type="dxa"/>
            <w:vAlign w:val="center"/>
          </w:tcPr>
          <w:p w14:paraId="3D51EBF3" w14:textId="77777777" w:rsidR="00070D2C" w:rsidRDefault="00070D2C" w:rsidP="007404B1">
            <w:pPr>
              <w:spacing w:after="120"/>
              <w:jc w:val="center"/>
              <w:rPr>
                <w:lang w:val="en-GB"/>
              </w:rPr>
            </w:pPr>
          </w:p>
        </w:tc>
        <w:tc>
          <w:tcPr>
            <w:tcW w:w="2632" w:type="dxa"/>
            <w:vAlign w:val="center"/>
          </w:tcPr>
          <w:p w14:paraId="0AD592EF" w14:textId="77777777" w:rsidR="00070D2C" w:rsidRDefault="00070D2C" w:rsidP="007404B1">
            <w:pPr>
              <w:spacing w:after="120"/>
              <w:jc w:val="center"/>
              <w:rPr>
                <w:lang w:val="en-GB"/>
              </w:rPr>
            </w:pPr>
            <w:r>
              <w:rPr>
                <w:lang w:val="en-GB"/>
              </w:rPr>
              <w:t>No PMI</w:t>
            </w:r>
          </w:p>
        </w:tc>
        <w:tc>
          <w:tcPr>
            <w:tcW w:w="2632" w:type="dxa"/>
            <w:vAlign w:val="center"/>
          </w:tcPr>
          <w:p w14:paraId="3E72A381" w14:textId="77777777" w:rsidR="00070D2C" w:rsidRDefault="00070D2C" w:rsidP="007404B1">
            <w:pPr>
              <w:spacing w:after="120"/>
              <w:jc w:val="center"/>
              <w:rPr>
                <w:lang w:val="en-GB"/>
              </w:rPr>
            </w:pPr>
            <w:r>
              <w:rPr>
                <w:lang w:val="en-GB"/>
              </w:rPr>
              <w:t>Partial PMI</w:t>
            </w:r>
          </w:p>
        </w:tc>
        <w:tc>
          <w:tcPr>
            <w:tcW w:w="2633" w:type="dxa"/>
            <w:vAlign w:val="center"/>
          </w:tcPr>
          <w:p w14:paraId="4EF76D0B" w14:textId="77777777" w:rsidR="00070D2C" w:rsidRDefault="00070D2C" w:rsidP="007404B1">
            <w:pPr>
              <w:spacing w:after="120"/>
              <w:jc w:val="center"/>
              <w:rPr>
                <w:lang w:val="en-GB"/>
              </w:rPr>
            </w:pPr>
            <w:r>
              <w:rPr>
                <w:lang w:val="en-GB"/>
              </w:rPr>
              <w:t>Full PMI</w:t>
            </w:r>
          </w:p>
        </w:tc>
      </w:tr>
      <w:tr w:rsidR="00070D2C" w14:paraId="262DF045" w14:textId="77777777" w:rsidTr="003C6434">
        <w:tc>
          <w:tcPr>
            <w:tcW w:w="2065" w:type="dxa"/>
            <w:vAlign w:val="center"/>
          </w:tcPr>
          <w:p w14:paraId="1869D47D" w14:textId="3783B20C" w:rsidR="00070D2C" w:rsidRDefault="00070D2C" w:rsidP="007404B1">
            <w:pPr>
              <w:spacing w:after="120"/>
              <w:jc w:val="center"/>
              <w:rPr>
                <w:lang w:val="en-GB"/>
              </w:rPr>
            </w:pPr>
            <w:r>
              <w:rPr>
                <w:lang w:val="en-GB"/>
              </w:rPr>
              <w:t>CQI computation without</w:t>
            </w:r>
            <w:r w:rsidR="007404B1">
              <w:rPr>
                <w:lang w:val="en-GB"/>
              </w:rPr>
              <w:t xml:space="preserve"> a</w:t>
            </w:r>
            <w:r>
              <w:rPr>
                <w:lang w:val="en-GB"/>
              </w:rPr>
              <w:t xml:space="preserve"> defined </w:t>
            </w:r>
            <w:r w:rsidR="007404B1">
              <w:rPr>
                <w:lang w:val="en-GB"/>
              </w:rPr>
              <w:t>scheme</w:t>
            </w:r>
          </w:p>
        </w:tc>
        <w:tc>
          <w:tcPr>
            <w:tcW w:w="2632" w:type="dxa"/>
            <w:vAlign w:val="center"/>
          </w:tcPr>
          <w:p w14:paraId="3292E97A" w14:textId="7323E285" w:rsidR="00070D2C" w:rsidRPr="003970C8" w:rsidRDefault="00070D2C" w:rsidP="007404B1">
            <w:pPr>
              <w:pStyle w:val="ListParagraph"/>
              <w:spacing w:after="120"/>
              <w:ind w:left="0"/>
              <w:jc w:val="center"/>
              <w:rPr>
                <w:rFonts w:ascii="Times New Roman" w:hAnsi="Times New Roman"/>
                <w:sz w:val="20"/>
                <w:lang w:val="en-GB"/>
              </w:rPr>
            </w:pPr>
            <w:r w:rsidRPr="00DD1AC9">
              <w:rPr>
                <w:rFonts w:ascii="Times New Roman" w:hAnsi="Times New Roman"/>
                <w:sz w:val="20"/>
                <w:lang w:val="en-GB"/>
              </w:rPr>
              <w:t>Average CQI of all possible precoders</w:t>
            </w:r>
          </w:p>
        </w:tc>
        <w:tc>
          <w:tcPr>
            <w:tcW w:w="2632" w:type="dxa"/>
            <w:vAlign w:val="center"/>
          </w:tcPr>
          <w:p w14:paraId="509592D0" w14:textId="6B214CBE" w:rsidR="00070D2C" w:rsidRPr="003970C8" w:rsidRDefault="00070D2C" w:rsidP="007404B1">
            <w:pPr>
              <w:pStyle w:val="ListParagraph"/>
              <w:spacing w:after="120"/>
              <w:ind w:left="0"/>
              <w:jc w:val="center"/>
              <w:rPr>
                <w:rFonts w:ascii="Times New Roman" w:hAnsi="Times New Roman"/>
                <w:sz w:val="20"/>
                <w:lang w:val="en-GB"/>
              </w:rPr>
            </w:pPr>
            <w:r w:rsidRPr="00DD1AC9">
              <w:rPr>
                <w:rFonts w:ascii="Times New Roman" w:hAnsi="Times New Roman"/>
                <w:sz w:val="20"/>
                <w:lang w:val="en-GB"/>
              </w:rPr>
              <w:t>Average CQI of all possible precoders</w:t>
            </w:r>
            <w:r>
              <w:rPr>
                <w:rFonts w:ascii="Times New Roman" w:hAnsi="Times New Roman"/>
                <w:sz w:val="20"/>
                <w:lang w:val="en-GB"/>
              </w:rPr>
              <w:t xml:space="preserve"> associated with the reported PMI, e.g., W1 or W11/W12</w:t>
            </w:r>
          </w:p>
        </w:tc>
        <w:tc>
          <w:tcPr>
            <w:tcW w:w="2633" w:type="dxa"/>
            <w:vAlign w:val="center"/>
          </w:tcPr>
          <w:p w14:paraId="152E2429" w14:textId="77777777" w:rsidR="00070D2C" w:rsidRPr="00DA412C" w:rsidRDefault="00070D2C" w:rsidP="007404B1">
            <w:pPr>
              <w:spacing w:after="120"/>
              <w:jc w:val="center"/>
              <w:rPr>
                <w:lang w:val="en-GB"/>
              </w:rPr>
            </w:pPr>
            <w:r w:rsidRPr="00DA412C">
              <w:rPr>
                <w:lang w:val="en-GB"/>
              </w:rPr>
              <w:t>CQI based on a randomly picked PMI</w:t>
            </w:r>
          </w:p>
        </w:tc>
      </w:tr>
      <w:tr w:rsidR="00070D2C" w14:paraId="642419AC" w14:textId="77777777" w:rsidTr="003C6434">
        <w:tc>
          <w:tcPr>
            <w:tcW w:w="2065" w:type="dxa"/>
            <w:vAlign w:val="center"/>
          </w:tcPr>
          <w:p w14:paraId="6BCD2416" w14:textId="0331A417" w:rsidR="00070D2C" w:rsidRDefault="00070D2C" w:rsidP="007404B1">
            <w:pPr>
              <w:spacing w:after="120"/>
              <w:jc w:val="center"/>
              <w:rPr>
                <w:lang w:val="en-GB"/>
              </w:rPr>
            </w:pPr>
            <w:r>
              <w:rPr>
                <w:lang w:val="en-GB"/>
              </w:rPr>
              <w:t xml:space="preserve">CQI computation with </w:t>
            </w:r>
            <w:r w:rsidR="007404B1">
              <w:rPr>
                <w:lang w:val="en-GB"/>
              </w:rPr>
              <w:t xml:space="preserve">a </w:t>
            </w:r>
            <w:r>
              <w:rPr>
                <w:lang w:val="en-GB"/>
              </w:rPr>
              <w:t>fixed precoder</w:t>
            </w:r>
          </w:p>
        </w:tc>
        <w:tc>
          <w:tcPr>
            <w:tcW w:w="2632" w:type="dxa"/>
            <w:vAlign w:val="center"/>
          </w:tcPr>
          <w:p w14:paraId="37EE558E" w14:textId="77777777" w:rsidR="00070D2C" w:rsidRDefault="00070D2C" w:rsidP="007404B1">
            <w:pPr>
              <w:spacing w:after="120"/>
              <w:jc w:val="center"/>
              <w:rPr>
                <w:lang w:val="en-GB"/>
              </w:rPr>
            </w:pPr>
            <w:r>
              <w:rPr>
                <w:lang w:val="en-GB"/>
              </w:rPr>
              <w:t>CQI associated with a fixed precoder specified in the spec</w:t>
            </w:r>
          </w:p>
        </w:tc>
        <w:tc>
          <w:tcPr>
            <w:tcW w:w="2632" w:type="dxa"/>
            <w:vAlign w:val="center"/>
          </w:tcPr>
          <w:p w14:paraId="4D550246" w14:textId="77777777" w:rsidR="00070D2C" w:rsidRDefault="00070D2C" w:rsidP="007404B1">
            <w:pPr>
              <w:spacing w:after="120"/>
              <w:jc w:val="center"/>
              <w:rPr>
                <w:lang w:val="en-GB"/>
              </w:rPr>
            </w:pPr>
            <w:r>
              <w:rPr>
                <w:lang w:val="en-GB"/>
              </w:rPr>
              <w:t>CQI associated with a fixed precoder given the reported PMI. E.g., always use the first W2 precoder associated with the reported W1 matrix</w:t>
            </w:r>
          </w:p>
        </w:tc>
        <w:tc>
          <w:tcPr>
            <w:tcW w:w="2633" w:type="dxa"/>
            <w:vAlign w:val="center"/>
          </w:tcPr>
          <w:p w14:paraId="51452187" w14:textId="528DE8A3" w:rsidR="00070D2C" w:rsidRDefault="003970C8" w:rsidP="007404B1">
            <w:pPr>
              <w:spacing w:after="120"/>
              <w:jc w:val="center"/>
              <w:rPr>
                <w:lang w:val="en-GB"/>
              </w:rPr>
            </w:pPr>
            <w:r>
              <w:rPr>
                <w:lang w:val="en-GB"/>
              </w:rPr>
              <w:t>Same as TS1</w:t>
            </w:r>
          </w:p>
        </w:tc>
      </w:tr>
    </w:tbl>
    <w:p w14:paraId="57F9CF53" w14:textId="77777777" w:rsidR="00070D2C" w:rsidRDefault="00070D2C" w:rsidP="003970C8">
      <w:pPr>
        <w:spacing w:before="120" w:after="120"/>
        <w:jc w:val="both"/>
        <w:rPr>
          <w:lang w:val="en-GB"/>
        </w:rPr>
      </w:pPr>
    </w:p>
    <w:p w14:paraId="259375F3" w14:textId="548D1F62" w:rsidR="00070D2C" w:rsidRDefault="00070D2C" w:rsidP="003970C8">
      <w:pPr>
        <w:spacing w:before="120" w:after="120"/>
        <w:jc w:val="both"/>
        <w:rPr>
          <w:lang w:val="en-GB"/>
        </w:rPr>
      </w:pPr>
      <w:r>
        <w:rPr>
          <w:lang w:val="en-GB"/>
        </w:rPr>
        <w:t xml:space="preserve">In LTE eFD-MIMO, W1 matrix reporting with fixed beam selection for CQI computation was selected for semi-OL schemes. The main reason is that fixed beam selection has the lowest complexity, and the Alamouti coding for rank-1 and RE-level co-phase cycling for rank-2 ensures a robust CQI so that fast channel variation does not degrade CQI accuracy very much. </w:t>
      </w:r>
      <w:r w:rsidRPr="00680694">
        <w:rPr>
          <w:lang w:val="en-GB"/>
        </w:rPr>
        <w:t>However, in NR, since SFBC and RE-level cycling are not supported due to interference rejection issue, using Alt-</w:t>
      </w:r>
      <w:r w:rsidR="003970C8">
        <w:rPr>
          <w:lang w:val="en-GB"/>
        </w:rPr>
        <w:t>2</w:t>
      </w:r>
      <w:r w:rsidRPr="00680694">
        <w:rPr>
          <w:lang w:val="en-GB"/>
        </w:rPr>
        <w:t xml:space="preserve"> (i.e., a fixed precoder selection) for CQI computation does not provide a robust CQI. The main reason is that the fixed precoder selection does not only fix the beam, but also fix the co-phase vector/matrix, wherein the co-phase vector/matrix is a short-term coefficient and is sensitive to channel variation. If th</w:t>
      </w:r>
      <w:r>
        <w:rPr>
          <w:lang w:val="en-GB"/>
        </w:rPr>
        <w:t>e method of LTE eFD-MIMO is reused by only fixing the beam, it is still remaining to study how to deal with the 4 co-phase vectors associated with the selected beam</w:t>
      </w:r>
      <w:r w:rsidR="00345B07">
        <w:rPr>
          <w:lang w:val="en-GB"/>
        </w:rPr>
        <w:t>, which</w:t>
      </w:r>
      <w:r>
        <w:rPr>
          <w:lang w:val="en-GB"/>
        </w:rPr>
        <w:t xml:space="preserve"> lies in the scenarios of Alt-1. Hence, NR should reconsider </w:t>
      </w:r>
      <w:r w:rsidR="003970C8">
        <w:rPr>
          <w:lang w:val="en-GB"/>
        </w:rPr>
        <w:t>CQI computation methods</w:t>
      </w:r>
      <w:r>
        <w:rPr>
          <w:lang w:val="en-GB"/>
        </w:rPr>
        <w:t xml:space="preserve"> from various aspects, including implementation flexibility, computation complexity and performance. </w:t>
      </w:r>
    </w:p>
    <w:p w14:paraId="2520BA1B" w14:textId="77777777" w:rsidR="00070D2C" w:rsidRPr="00BF3B32" w:rsidRDefault="00070D2C" w:rsidP="003970C8">
      <w:pPr>
        <w:spacing w:before="120" w:after="120"/>
        <w:jc w:val="both"/>
        <w:rPr>
          <w:b/>
          <w:i/>
          <w:lang w:val="en-GB"/>
        </w:rPr>
      </w:pPr>
      <w:r w:rsidRPr="00BF3B32">
        <w:rPr>
          <w:b/>
          <w:i/>
          <w:lang w:val="en-GB"/>
        </w:rPr>
        <w:lastRenderedPageBreak/>
        <w:t>Observation 1: the CQI computation method employed in LTE eFD-MIMO may not suffice to provide robust CQI quality because the RE-level co-phase cycling and SFBC are not supported in NR.</w:t>
      </w:r>
    </w:p>
    <w:p w14:paraId="73905494" w14:textId="77777777" w:rsidR="00070D2C" w:rsidRPr="00F43F7F" w:rsidRDefault="00070D2C" w:rsidP="003970C8">
      <w:pPr>
        <w:spacing w:before="120" w:after="120"/>
        <w:jc w:val="both"/>
        <w:rPr>
          <w:b/>
          <w:i/>
          <w:lang w:val="en-GB"/>
        </w:rPr>
      </w:pPr>
      <w:r w:rsidRPr="00680694">
        <w:rPr>
          <w:b/>
          <w:i/>
          <w:lang w:val="en-GB"/>
        </w:rPr>
        <w:t>Proposal 2: Companies should provide simulation results on the candidate CQI computation schemes.</w:t>
      </w:r>
      <w:r w:rsidRPr="00F43F7F">
        <w:rPr>
          <w:b/>
          <w:i/>
          <w:lang w:val="en-GB"/>
        </w:rPr>
        <w:t xml:space="preserve"> </w:t>
      </w:r>
    </w:p>
    <w:p w14:paraId="0309A981" w14:textId="77777777" w:rsidR="00070D2C" w:rsidRPr="00183CB7" w:rsidRDefault="00070D2C" w:rsidP="003970C8">
      <w:pPr>
        <w:pStyle w:val="Heading1"/>
        <w:jc w:val="both"/>
      </w:pPr>
      <w:bookmarkStart w:id="3" w:name="_Ref378529477"/>
      <w:r w:rsidRPr="00183CB7">
        <w:t>Conclusions</w:t>
      </w:r>
    </w:p>
    <w:bookmarkEnd w:id="3"/>
    <w:p w14:paraId="24B87788" w14:textId="77777777" w:rsidR="00070D2C" w:rsidRDefault="00070D2C" w:rsidP="003970C8">
      <w:pPr>
        <w:spacing w:before="120" w:after="120"/>
        <w:jc w:val="both"/>
      </w:pPr>
      <w:r w:rsidRPr="00DE58DA">
        <w:t xml:space="preserve">In summary, we </w:t>
      </w:r>
      <w:r>
        <w:t>discuss the pros and cons candidate PMI reporting scheme and CQI derivation assumptions.  Based on our discussion, we observe,</w:t>
      </w:r>
    </w:p>
    <w:p w14:paraId="53CE62B1" w14:textId="77777777" w:rsidR="00070D2C" w:rsidRPr="00BF3B32" w:rsidRDefault="00070D2C" w:rsidP="003970C8">
      <w:pPr>
        <w:spacing w:before="120" w:after="120"/>
        <w:jc w:val="both"/>
        <w:rPr>
          <w:b/>
          <w:i/>
          <w:lang w:val="en-GB"/>
        </w:rPr>
      </w:pPr>
      <w:r w:rsidRPr="00BF3B32">
        <w:rPr>
          <w:b/>
          <w:i/>
          <w:lang w:val="en-GB"/>
        </w:rPr>
        <w:t>Observation 1: the CQI computation method employed in LTE eFD-MIMO may not suffice to provide robust CQI quality because the RE-level co-phase cycling and SFBC are not supported in NR.</w:t>
      </w:r>
    </w:p>
    <w:p w14:paraId="2FACF951" w14:textId="77777777" w:rsidR="00070D2C" w:rsidRPr="00B55980" w:rsidRDefault="00070D2C" w:rsidP="003970C8">
      <w:pPr>
        <w:spacing w:before="120" w:after="120"/>
        <w:jc w:val="both"/>
      </w:pPr>
      <w:r>
        <w:t>and w</w:t>
      </w:r>
      <w:r w:rsidRPr="00B55980">
        <w:t>e propose,</w:t>
      </w:r>
    </w:p>
    <w:p w14:paraId="19E56A2D" w14:textId="77777777" w:rsidR="00070D2C" w:rsidRPr="00A152EF" w:rsidRDefault="00070D2C" w:rsidP="003970C8">
      <w:pPr>
        <w:jc w:val="both"/>
        <w:rPr>
          <w:b/>
          <w:i/>
          <w:lang w:val="en-GB"/>
        </w:rPr>
      </w:pPr>
      <w:r w:rsidRPr="00A152EF">
        <w:rPr>
          <w:b/>
          <w:i/>
          <w:lang w:val="en-GB"/>
        </w:rPr>
        <w:t>Proposal</w:t>
      </w:r>
      <w:r>
        <w:rPr>
          <w:b/>
          <w:i/>
          <w:lang w:val="en-GB"/>
        </w:rPr>
        <w:t xml:space="preserve"> 1</w:t>
      </w:r>
      <w:r w:rsidRPr="00A152EF">
        <w:rPr>
          <w:b/>
          <w:i/>
          <w:lang w:val="en-GB"/>
        </w:rPr>
        <w:t>: NR considers no PMI feedback as a baseline for TS2. Companies should strive to provide simulation results of how much benefit can be obtained from having partial or full PMI reporting.</w:t>
      </w:r>
    </w:p>
    <w:p w14:paraId="1126FA58" w14:textId="77777777" w:rsidR="00070D2C" w:rsidRPr="00F43F7F" w:rsidRDefault="00070D2C" w:rsidP="003970C8">
      <w:pPr>
        <w:spacing w:before="120" w:after="120"/>
        <w:jc w:val="both"/>
        <w:rPr>
          <w:b/>
          <w:i/>
          <w:lang w:val="en-GB"/>
        </w:rPr>
      </w:pPr>
      <w:r w:rsidRPr="00F43F7F">
        <w:rPr>
          <w:b/>
          <w:i/>
          <w:lang w:val="en-GB"/>
        </w:rPr>
        <w:t xml:space="preserve">Proposal 2: </w:t>
      </w:r>
      <w:r>
        <w:rPr>
          <w:b/>
          <w:i/>
          <w:lang w:val="en-GB"/>
        </w:rPr>
        <w:t>Companies should provide simulation results on the candidate CQI computation schemes</w:t>
      </w:r>
      <w:r w:rsidRPr="00F43F7F">
        <w:rPr>
          <w:b/>
          <w:i/>
          <w:lang w:val="en-GB"/>
        </w:rPr>
        <w:t xml:space="preserve">. </w:t>
      </w:r>
    </w:p>
    <w:p w14:paraId="1F5ECC13" w14:textId="77777777" w:rsidR="00070D2C" w:rsidRPr="000A64D8" w:rsidRDefault="00070D2C" w:rsidP="003970C8">
      <w:pPr>
        <w:pStyle w:val="Heading1"/>
        <w:numPr>
          <w:ilvl w:val="0"/>
          <w:numId w:val="0"/>
        </w:numPr>
        <w:ind w:left="432" w:hanging="432"/>
        <w:jc w:val="both"/>
      </w:pPr>
      <w:r w:rsidRPr="000A64D8">
        <w:t>References</w:t>
      </w:r>
    </w:p>
    <w:p w14:paraId="12C7C108" w14:textId="77777777" w:rsidR="00070D2C" w:rsidRPr="00866A47" w:rsidRDefault="00070D2C" w:rsidP="003970C8">
      <w:pPr>
        <w:pStyle w:val="ListParagraph"/>
        <w:numPr>
          <w:ilvl w:val="0"/>
          <w:numId w:val="2"/>
        </w:numPr>
        <w:spacing w:before="60" w:after="60"/>
        <w:ind w:left="562" w:hanging="562"/>
        <w:jc w:val="both"/>
        <w:rPr>
          <w:rFonts w:ascii="Times New Roman" w:eastAsia="宋体" w:hAnsi="Times New Roman"/>
          <w:sz w:val="20"/>
        </w:rPr>
      </w:pPr>
      <w:bookmarkStart w:id="4" w:name="_Ref450583331"/>
      <w:bookmarkStart w:id="5" w:name="_Ref398626394"/>
      <w:bookmarkStart w:id="6" w:name="_Ref378529497"/>
      <w:bookmarkStart w:id="7" w:name="_Ref370818393"/>
      <w:bookmarkStart w:id="8" w:name="_Ref352001785"/>
      <w:bookmarkStart w:id="9" w:name="_Ref351989238"/>
      <w:bookmarkEnd w:id="4"/>
      <w:r>
        <w:rPr>
          <w:rFonts w:ascii="Times New Roman" w:eastAsia="宋体" w:hAnsi="Times New Roman"/>
          <w:sz w:val="20"/>
        </w:rPr>
        <w:t>Chairman notes of 3GPP</w:t>
      </w:r>
      <w:r w:rsidRPr="001473CF">
        <w:rPr>
          <w:rFonts w:ascii="Times New Roman" w:eastAsia="宋体" w:hAnsi="Times New Roman"/>
          <w:sz w:val="20"/>
        </w:rPr>
        <w:t xml:space="preserve"> RAN</w:t>
      </w:r>
      <w:r>
        <w:rPr>
          <w:rFonts w:ascii="Times New Roman" w:eastAsia="宋体" w:hAnsi="Times New Roman"/>
          <w:sz w:val="20"/>
        </w:rPr>
        <w:t>1 #89</w:t>
      </w:r>
      <w:r w:rsidRPr="001473CF">
        <w:rPr>
          <w:rFonts w:ascii="Times New Roman" w:eastAsia="宋体" w:hAnsi="Times New Roman"/>
          <w:sz w:val="20"/>
        </w:rPr>
        <w:t>.</w:t>
      </w:r>
      <w:bookmarkEnd w:id="5"/>
      <w:bookmarkEnd w:id="6"/>
      <w:bookmarkEnd w:id="7"/>
      <w:bookmarkEnd w:id="8"/>
      <w:bookmarkEnd w:id="9"/>
      <w:r w:rsidRPr="00866A47">
        <w:rPr>
          <w:rFonts w:ascii="Times New Roman" w:eastAsia="宋体" w:hAnsi="Times New Roman"/>
          <w:sz w:val="20"/>
        </w:rPr>
        <w:t xml:space="preserve"> </w:t>
      </w:r>
    </w:p>
    <w:p w14:paraId="3B46453B" w14:textId="104BEDD3" w:rsidR="00D1582F" w:rsidRPr="00070D2C" w:rsidRDefault="00D1582F" w:rsidP="003970C8">
      <w:pPr>
        <w:jc w:val="both"/>
      </w:pPr>
    </w:p>
    <w:sectPr w:rsidR="00D1582F" w:rsidRPr="00070D2C" w:rsidSect="00876498">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CB79C" w14:textId="77777777" w:rsidR="00E52FE7" w:rsidRDefault="00E52FE7">
      <w:r>
        <w:separator/>
      </w:r>
    </w:p>
  </w:endnote>
  <w:endnote w:type="continuationSeparator" w:id="0">
    <w:p w14:paraId="0E80535C" w14:textId="77777777" w:rsidR="00E52FE7" w:rsidRDefault="00E52FE7">
      <w:r>
        <w:continuationSeparator/>
      </w:r>
    </w:p>
  </w:endnote>
  <w:endnote w:type="continuationNotice" w:id="1">
    <w:p w14:paraId="709A5093" w14:textId="77777777" w:rsidR="00E52FE7" w:rsidRDefault="00E52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Office Regular">
    <w:panose1 w:val="020B0503030202060203"/>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818C0" w14:textId="77777777" w:rsidR="00670D55" w:rsidRDefault="00670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A2CBB" w14:textId="77777777" w:rsidR="00670D55" w:rsidRDefault="00670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33F9" w14:textId="25AF440D" w:rsidR="00670D55" w:rsidRDefault="00670D5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015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15F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C6160" w14:textId="77777777" w:rsidR="00E52FE7" w:rsidRDefault="00E52FE7">
      <w:r>
        <w:separator/>
      </w:r>
    </w:p>
  </w:footnote>
  <w:footnote w:type="continuationSeparator" w:id="0">
    <w:p w14:paraId="418A0C0B" w14:textId="77777777" w:rsidR="00E52FE7" w:rsidRDefault="00E52FE7">
      <w:r>
        <w:continuationSeparator/>
      </w:r>
    </w:p>
  </w:footnote>
  <w:footnote w:type="continuationNotice" w:id="1">
    <w:p w14:paraId="6B7907AD" w14:textId="77777777" w:rsidR="00E52FE7" w:rsidRDefault="00E52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62F48" w14:textId="77777777" w:rsidR="00670D55" w:rsidRDefault="00670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C16CDCA0"/>
    <w:lvl w:ilvl="0" w:tplc="637636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10BCB"/>
    <w:multiLevelType w:val="hybridMultilevel"/>
    <w:tmpl w:val="BC40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806C8"/>
    <w:multiLevelType w:val="hybridMultilevel"/>
    <w:tmpl w:val="EB549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3D7959"/>
    <w:multiLevelType w:val="hybridMultilevel"/>
    <w:tmpl w:val="1D6C0D56"/>
    <w:lvl w:ilvl="0" w:tplc="FC68BB02">
      <w:start w:val="1"/>
      <w:numFmt w:val="decimal"/>
      <w:lvlText w:val="%1."/>
      <w:lvlJc w:val="left"/>
      <w:pPr>
        <w:ind w:left="720" w:hanging="360"/>
      </w:pPr>
      <w:rPr>
        <w:rFonts w:ascii="Qualcomm Office Regular" w:hAnsi="Qualcomm Office 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7E5B65"/>
    <w:multiLevelType w:val="hybridMultilevel"/>
    <w:tmpl w:val="F514B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D55AB2"/>
    <w:multiLevelType w:val="hybridMultilevel"/>
    <w:tmpl w:val="3894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0A349B"/>
    <w:multiLevelType w:val="hybridMultilevel"/>
    <w:tmpl w:val="DDB4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390CC4"/>
    <w:multiLevelType w:val="hybridMultilevel"/>
    <w:tmpl w:val="F514B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E93E84"/>
    <w:multiLevelType w:val="hybridMultilevel"/>
    <w:tmpl w:val="23420BE4"/>
    <w:lvl w:ilvl="0" w:tplc="819228F2">
      <w:start w:val="1"/>
      <w:numFmt w:val="bullet"/>
      <w:lvlText w:val="•"/>
      <w:lvlJc w:val="left"/>
      <w:pPr>
        <w:tabs>
          <w:tab w:val="num" w:pos="360"/>
        </w:tabs>
        <w:ind w:left="360" w:hanging="360"/>
      </w:pPr>
      <w:rPr>
        <w:rFonts w:ascii="Arial" w:hAnsi="Arial" w:hint="default"/>
      </w:rPr>
    </w:lvl>
    <w:lvl w:ilvl="1" w:tplc="2B60628E">
      <w:start w:val="3155"/>
      <w:numFmt w:val="bullet"/>
      <w:lvlText w:val="–"/>
      <w:lvlJc w:val="left"/>
      <w:pPr>
        <w:tabs>
          <w:tab w:val="num" w:pos="1080"/>
        </w:tabs>
        <w:ind w:left="1080" w:hanging="360"/>
      </w:pPr>
      <w:rPr>
        <w:rFonts w:ascii="Arial" w:hAnsi="Arial" w:hint="default"/>
      </w:rPr>
    </w:lvl>
    <w:lvl w:ilvl="2" w:tplc="767C16EA">
      <w:start w:val="1"/>
      <w:numFmt w:val="bullet"/>
      <w:lvlText w:val="•"/>
      <w:lvlJc w:val="left"/>
      <w:pPr>
        <w:tabs>
          <w:tab w:val="num" w:pos="1800"/>
        </w:tabs>
        <w:ind w:left="1800" w:hanging="360"/>
      </w:pPr>
      <w:rPr>
        <w:rFonts w:ascii="Arial" w:hAnsi="Arial" w:hint="default"/>
      </w:rPr>
    </w:lvl>
    <w:lvl w:ilvl="3" w:tplc="783CFA32">
      <w:start w:val="1"/>
      <w:numFmt w:val="bullet"/>
      <w:lvlText w:val="•"/>
      <w:lvlJc w:val="left"/>
      <w:pPr>
        <w:tabs>
          <w:tab w:val="num" w:pos="2520"/>
        </w:tabs>
        <w:ind w:left="2520" w:hanging="360"/>
      </w:pPr>
      <w:rPr>
        <w:rFonts w:ascii="Arial" w:hAnsi="Arial" w:hint="default"/>
      </w:rPr>
    </w:lvl>
    <w:lvl w:ilvl="4" w:tplc="DF18443A">
      <w:start w:val="1"/>
      <w:numFmt w:val="bullet"/>
      <w:lvlText w:val="•"/>
      <w:lvlJc w:val="left"/>
      <w:pPr>
        <w:tabs>
          <w:tab w:val="num" w:pos="3240"/>
        </w:tabs>
        <w:ind w:left="3240" w:hanging="360"/>
      </w:pPr>
      <w:rPr>
        <w:rFonts w:ascii="Arial" w:hAnsi="Arial" w:hint="default"/>
      </w:rPr>
    </w:lvl>
    <w:lvl w:ilvl="5" w:tplc="D29C5EA0">
      <w:start w:val="1"/>
      <w:numFmt w:val="bullet"/>
      <w:lvlText w:val="•"/>
      <w:lvlJc w:val="left"/>
      <w:pPr>
        <w:tabs>
          <w:tab w:val="num" w:pos="3960"/>
        </w:tabs>
        <w:ind w:left="3960" w:hanging="360"/>
      </w:pPr>
      <w:rPr>
        <w:rFonts w:ascii="Arial" w:hAnsi="Arial" w:hint="default"/>
      </w:rPr>
    </w:lvl>
    <w:lvl w:ilvl="6" w:tplc="BF3E3578" w:tentative="1">
      <w:start w:val="1"/>
      <w:numFmt w:val="bullet"/>
      <w:lvlText w:val="•"/>
      <w:lvlJc w:val="left"/>
      <w:pPr>
        <w:tabs>
          <w:tab w:val="num" w:pos="4680"/>
        </w:tabs>
        <w:ind w:left="4680" w:hanging="360"/>
      </w:pPr>
      <w:rPr>
        <w:rFonts w:ascii="Arial" w:hAnsi="Arial" w:hint="default"/>
      </w:rPr>
    </w:lvl>
    <w:lvl w:ilvl="7" w:tplc="BB02C4FE" w:tentative="1">
      <w:start w:val="1"/>
      <w:numFmt w:val="bullet"/>
      <w:lvlText w:val="•"/>
      <w:lvlJc w:val="left"/>
      <w:pPr>
        <w:tabs>
          <w:tab w:val="num" w:pos="5400"/>
        </w:tabs>
        <w:ind w:left="5400" w:hanging="360"/>
      </w:pPr>
      <w:rPr>
        <w:rFonts w:ascii="Arial" w:hAnsi="Arial" w:hint="default"/>
      </w:rPr>
    </w:lvl>
    <w:lvl w:ilvl="8" w:tplc="FB3272B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6066B53"/>
    <w:multiLevelType w:val="hybridMultilevel"/>
    <w:tmpl w:val="470E487E"/>
    <w:lvl w:ilvl="0" w:tplc="8E46887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645941"/>
    <w:multiLevelType w:val="hybridMultilevel"/>
    <w:tmpl w:val="7DD0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B50AA"/>
    <w:multiLevelType w:val="hybridMultilevel"/>
    <w:tmpl w:val="58425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252F17"/>
    <w:multiLevelType w:val="hybridMultilevel"/>
    <w:tmpl w:val="7C52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
  </w:num>
  <w:num w:numId="5">
    <w:abstractNumId w:val="17"/>
  </w:num>
  <w:num w:numId="6">
    <w:abstractNumId w:val="4"/>
  </w:num>
  <w:num w:numId="7">
    <w:abstractNumId w:val="22"/>
  </w:num>
  <w:num w:numId="8">
    <w:abstractNumId w:val="10"/>
  </w:num>
  <w:num w:numId="9">
    <w:abstractNumId w:val="21"/>
  </w:num>
  <w:num w:numId="10">
    <w:abstractNumId w:val="18"/>
  </w:num>
  <w:num w:numId="11">
    <w:abstractNumId w:val="13"/>
  </w:num>
  <w:num w:numId="12">
    <w:abstractNumId w:val="4"/>
  </w:num>
  <w:num w:numId="13">
    <w:abstractNumId w:val="16"/>
  </w:num>
  <w:num w:numId="14">
    <w:abstractNumId w:val="14"/>
  </w:num>
  <w:num w:numId="15">
    <w:abstractNumId w:val="2"/>
  </w:num>
  <w:num w:numId="16">
    <w:abstractNumId w:val="5"/>
  </w:num>
  <w:num w:numId="17">
    <w:abstractNumId w:val="6"/>
  </w:num>
  <w:num w:numId="18">
    <w:abstractNumId w:val="20"/>
  </w:num>
  <w:num w:numId="19">
    <w:abstractNumId w:val="19"/>
  </w:num>
  <w:num w:numId="20">
    <w:abstractNumId w:val="4"/>
  </w:num>
  <w:num w:numId="21">
    <w:abstractNumId w:val="15"/>
  </w:num>
  <w:num w:numId="22">
    <w:abstractNumId w:val="4"/>
  </w:num>
  <w:num w:numId="23">
    <w:abstractNumId w:val="12"/>
  </w:num>
  <w:num w:numId="24">
    <w:abstractNumId w:val="8"/>
  </w:num>
  <w:num w:numId="25">
    <w:abstractNumId w:val="4"/>
  </w:num>
  <w:num w:numId="26">
    <w:abstractNumId w:val="4"/>
  </w:num>
  <w:num w:numId="27">
    <w:abstractNumId w:val="4"/>
  </w:num>
  <w:num w:numId="28">
    <w:abstractNumId w:val="3"/>
  </w:num>
  <w:num w:numId="29">
    <w:abstractNumId w:val="11"/>
  </w:num>
  <w:num w:numId="3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959"/>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31A4"/>
    <w:rsid w:val="000338A0"/>
    <w:rsid w:val="00033C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B8"/>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7B"/>
    <w:rsid w:val="00063F57"/>
    <w:rsid w:val="0006480B"/>
    <w:rsid w:val="00064A2B"/>
    <w:rsid w:val="00064B46"/>
    <w:rsid w:val="00065016"/>
    <w:rsid w:val="00065031"/>
    <w:rsid w:val="0006549C"/>
    <w:rsid w:val="000659DD"/>
    <w:rsid w:val="00065D64"/>
    <w:rsid w:val="000667D1"/>
    <w:rsid w:val="00066976"/>
    <w:rsid w:val="00067087"/>
    <w:rsid w:val="00067089"/>
    <w:rsid w:val="0006739D"/>
    <w:rsid w:val="0006777C"/>
    <w:rsid w:val="00067B55"/>
    <w:rsid w:val="00067FE2"/>
    <w:rsid w:val="00070134"/>
    <w:rsid w:val="00070192"/>
    <w:rsid w:val="00070D2C"/>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282"/>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0F94"/>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5C8"/>
    <w:rsid w:val="000968D8"/>
    <w:rsid w:val="0009709B"/>
    <w:rsid w:val="000970D0"/>
    <w:rsid w:val="0009720E"/>
    <w:rsid w:val="000979F0"/>
    <w:rsid w:val="00097AE8"/>
    <w:rsid w:val="000A02DC"/>
    <w:rsid w:val="000A09A2"/>
    <w:rsid w:val="000A0CA1"/>
    <w:rsid w:val="000A0DD2"/>
    <w:rsid w:val="000A0E99"/>
    <w:rsid w:val="000A17FE"/>
    <w:rsid w:val="000A1AD3"/>
    <w:rsid w:val="000A1D49"/>
    <w:rsid w:val="000A1F36"/>
    <w:rsid w:val="000A23E5"/>
    <w:rsid w:val="000A26E4"/>
    <w:rsid w:val="000A2D70"/>
    <w:rsid w:val="000A31F7"/>
    <w:rsid w:val="000A3ACB"/>
    <w:rsid w:val="000A434C"/>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0BC4"/>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C7C70"/>
    <w:rsid w:val="000D0153"/>
    <w:rsid w:val="000D037E"/>
    <w:rsid w:val="000D0A0F"/>
    <w:rsid w:val="000D0AB8"/>
    <w:rsid w:val="000D0BCC"/>
    <w:rsid w:val="000D0F9A"/>
    <w:rsid w:val="000D10A8"/>
    <w:rsid w:val="000D148D"/>
    <w:rsid w:val="000D14EB"/>
    <w:rsid w:val="000D1610"/>
    <w:rsid w:val="000D206C"/>
    <w:rsid w:val="000D2185"/>
    <w:rsid w:val="000D2AE0"/>
    <w:rsid w:val="000D2AE8"/>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86"/>
    <w:rsid w:val="000D6E27"/>
    <w:rsid w:val="000D6E96"/>
    <w:rsid w:val="000D7268"/>
    <w:rsid w:val="000D7783"/>
    <w:rsid w:val="000D7F64"/>
    <w:rsid w:val="000E011D"/>
    <w:rsid w:val="000E03CF"/>
    <w:rsid w:val="000E0B28"/>
    <w:rsid w:val="000E0D89"/>
    <w:rsid w:val="000E0E58"/>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6FF1"/>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DA3"/>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3C34"/>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4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085"/>
    <w:rsid w:val="0011536C"/>
    <w:rsid w:val="00115655"/>
    <w:rsid w:val="00115716"/>
    <w:rsid w:val="0011584C"/>
    <w:rsid w:val="00116339"/>
    <w:rsid w:val="00116533"/>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CC1"/>
    <w:rsid w:val="001321CE"/>
    <w:rsid w:val="001322B0"/>
    <w:rsid w:val="001324A1"/>
    <w:rsid w:val="00132671"/>
    <w:rsid w:val="00132767"/>
    <w:rsid w:val="00132917"/>
    <w:rsid w:val="00132E89"/>
    <w:rsid w:val="0013334C"/>
    <w:rsid w:val="00133EBD"/>
    <w:rsid w:val="00134356"/>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73F"/>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3CF"/>
    <w:rsid w:val="00147D65"/>
    <w:rsid w:val="00147D91"/>
    <w:rsid w:val="001508E1"/>
    <w:rsid w:val="001510ED"/>
    <w:rsid w:val="001517AB"/>
    <w:rsid w:val="00151805"/>
    <w:rsid w:val="00151897"/>
    <w:rsid w:val="00151A3E"/>
    <w:rsid w:val="00152066"/>
    <w:rsid w:val="00152559"/>
    <w:rsid w:val="00152A3B"/>
    <w:rsid w:val="00152AC8"/>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CEC"/>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02A"/>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4B7"/>
    <w:rsid w:val="00177711"/>
    <w:rsid w:val="00177A0D"/>
    <w:rsid w:val="00177AC2"/>
    <w:rsid w:val="00177DFF"/>
    <w:rsid w:val="00177EBD"/>
    <w:rsid w:val="0018016C"/>
    <w:rsid w:val="001806A9"/>
    <w:rsid w:val="00180860"/>
    <w:rsid w:val="0018087F"/>
    <w:rsid w:val="00180D96"/>
    <w:rsid w:val="00180E60"/>
    <w:rsid w:val="00180EE2"/>
    <w:rsid w:val="001817BA"/>
    <w:rsid w:val="001817F3"/>
    <w:rsid w:val="00181A93"/>
    <w:rsid w:val="00181B3A"/>
    <w:rsid w:val="001820B2"/>
    <w:rsid w:val="001821E9"/>
    <w:rsid w:val="0018246F"/>
    <w:rsid w:val="00182718"/>
    <w:rsid w:val="00182FBF"/>
    <w:rsid w:val="0018302C"/>
    <w:rsid w:val="00183298"/>
    <w:rsid w:val="001835DE"/>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4D3B"/>
    <w:rsid w:val="00194E85"/>
    <w:rsid w:val="0019573B"/>
    <w:rsid w:val="0019592C"/>
    <w:rsid w:val="00196085"/>
    <w:rsid w:val="001960C0"/>
    <w:rsid w:val="00196700"/>
    <w:rsid w:val="00196B90"/>
    <w:rsid w:val="00196DE8"/>
    <w:rsid w:val="00196FF4"/>
    <w:rsid w:val="0019734F"/>
    <w:rsid w:val="001A0303"/>
    <w:rsid w:val="001A0676"/>
    <w:rsid w:val="001A067A"/>
    <w:rsid w:val="001A06C8"/>
    <w:rsid w:val="001A1337"/>
    <w:rsid w:val="001A2330"/>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740"/>
    <w:rsid w:val="001B1565"/>
    <w:rsid w:val="001B2993"/>
    <w:rsid w:val="001B2C18"/>
    <w:rsid w:val="001B35C1"/>
    <w:rsid w:val="001B3754"/>
    <w:rsid w:val="001B3A10"/>
    <w:rsid w:val="001B3EA2"/>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0BCD"/>
    <w:rsid w:val="001C16A9"/>
    <w:rsid w:val="001C19EB"/>
    <w:rsid w:val="001C1E53"/>
    <w:rsid w:val="001C211D"/>
    <w:rsid w:val="001C2A8B"/>
    <w:rsid w:val="001C3434"/>
    <w:rsid w:val="001C3474"/>
    <w:rsid w:val="001C3DC6"/>
    <w:rsid w:val="001C3E02"/>
    <w:rsid w:val="001C48E5"/>
    <w:rsid w:val="001C4A39"/>
    <w:rsid w:val="001C4F5F"/>
    <w:rsid w:val="001C50A2"/>
    <w:rsid w:val="001C54B8"/>
    <w:rsid w:val="001C589B"/>
    <w:rsid w:val="001C58A6"/>
    <w:rsid w:val="001C5BC8"/>
    <w:rsid w:val="001C5DBB"/>
    <w:rsid w:val="001C5F88"/>
    <w:rsid w:val="001C6065"/>
    <w:rsid w:val="001C6182"/>
    <w:rsid w:val="001C619C"/>
    <w:rsid w:val="001C66D2"/>
    <w:rsid w:val="001C7235"/>
    <w:rsid w:val="001C7F47"/>
    <w:rsid w:val="001D006C"/>
    <w:rsid w:val="001D056C"/>
    <w:rsid w:val="001D0578"/>
    <w:rsid w:val="001D0593"/>
    <w:rsid w:val="001D1258"/>
    <w:rsid w:val="001D125F"/>
    <w:rsid w:val="001D19F8"/>
    <w:rsid w:val="001D1CFF"/>
    <w:rsid w:val="001D21F2"/>
    <w:rsid w:val="001D2B3C"/>
    <w:rsid w:val="001D2E6C"/>
    <w:rsid w:val="001D30E8"/>
    <w:rsid w:val="001D35DC"/>
    <w:rsid w:val="001D43C0"/>
    <w:rsid w:val="001D448E"/>
    <w:rsid w:val="001D4969"/>
    <w:rsid w:val="001D4AF0"/>
    <w:rsid w:val="001D4F24"/>
    <w:rsid w:val="001D506F"/>
    <w:rsid w:val="001D5775"/>
    <w:rsid w:val="001D57BC"/>
    <w:rsid w:val="001D6E61"/>
    <w:rsid w:val="001D6F30"/>
    <w:rsid w:val="001D7260"/>
    <w:rsid w:val="001D779E"/>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3CD"/>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F9"/>
    <w:rsid w:val="002148E2"/>
    <w:rsid w:val="00214E0D"/>
    <w:rsid w:val="0021512E"/>
    <w:rsid w:val="0021586D"/>
    <w:rsid w:val="00215D76"/>
    <w:rsid w:val="002162EA"/>
    <w:rsid w:val="002165F9"/>
    <w:rsid w:val="00216685"/>
    <w:rsid w:val="00216872"/>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21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079"/>
    <w:rsid w:val="00232149"/>
    <w:rsid w:val="00232191"/>
    <w:rsid w:val="0023287C"/>
    <w:rsid w:val="00232C77"/>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636"/>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CF2"/>
    <w:rsid w:val="00246EB6"/>
    <w:rsid w:val="002475BE"/>
    <w:rsid w:val="00247660"/>
    <w:rsid w:val="0024766C"/>
    <w:rsid w:val="0024785A"/>
    <w:rsid w:val="00247C92"/>
    <w:rsid w:val="00247DD1"/>
    <w:rsid w:val="00250642"/>
    <w:rsid w:val="002506F5"/>
    <w:rsid w:val="00250D9C"/>
    <w:rsid w:val="00251117"/>
    <w:rsid w:val="002512A9"/>
    <w:rsid w:val="002515EA"/>
    <w:rsid w:val="0025169E"/>
    <w:rsid w:val="00251723"/>
    <w:rsid w:val="00251794"/>
    <w:rsid w:val="00251843"/>
    <w:rsid w:val="00251929"/>
    <w:rsid w:val="00251F5E"/>
    <w:rsid w:val="00251F78"/>
    <w:rsid w:val="00253012"/>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0B3"/>
    <w:rsid w:val="002631DC"/>
    <w:rsid w:val="0026382D"/>
    <w:rsid w:val="0026385F"/>
    <w:rsid w:val="00263DD9"/>
    <w:rsid w:val="00264256"/>
    <w:rsid w:val="0026432F"/>
    <w:rsid w:val="0026455A"/>
    <w:rsid w:val="0026460B"/>
    <w:rsid w:val="0026468A"/>
    <w:rsid w:val="00264C28"/>
    <w:rsid w:val="00265420"/>
    <w:rsid w:val="002654D9"/>
    <w:rsid w:val="00265701"/>
    <w:rsid w:val="002657D6"/>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028"/>
    <w:rsid w:val="0027242C"/>
    <w:rsid w:val="00272474"/>
    <w:rsid w:val="0027257A"/>
    <w:rsid w:val="00272D06"/>
    <w:rsid w:val="00272FEB"/>
    <w:rsid w:val="00273644"/>
    <w:rsid w:val="002738C9"/>
    <w:rsid w:val="00273B2D"/>
    <w:rsid w:val="00273CFB"/>
    <w:rsid w:val="00273F0C"/>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004"/>
    <w:rsid w:val="00286631"/>
    <w:rsid w:val="00286F76"/>
    <w:rsid w:val="00287376"/>
    <w:rsid w:val="002877DE"/>
    <w:rsid w:val="0028789A"/>
    <w:rsid w:val="00287C28"/>
    <w:rsid w:val="00287C39"/>
    <w:rsid w:val="00290254"/>
    <w:rsid w:val="00290C83"/>
    <w:rsid w:val="0029142E"/>
    <w:rsid w:val="002915DA"/>
    <w:rsid w:val="0029178F"/>
    <w:rsid w:val="00291C45"/>
    <w:rsid w:val="0029218A"/>
    <w:rsid w:val="00292540"/>
    <w:rsid w:val="00293504"/>
    <w:rsid w:val="00293C49"/>
    <w:rsid w:val="00294266"/>
    <w:rsid w:val="00294405"/>
    <w:rsid w:val="002944CA"/>
    <w:rsid w:val="00294504"/>
    <w:rsid w:val="00294722"/>
    <w:rsid w:val="00294AB1"/>
    <w:rsid w:val="00294C8C"/>
    <w:rsid w:val="00295226"/>
    <w:rsid w:val="002953D0"/>
    <w:rsid w:val="00295CF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5FF"/>
    <w:rsid w:val="002A2FB8"/>
    <w:rsid w:val="002A31FF"/>
    <w:rsid w:val="002A3668"/>
    <w:rsid w:val="002A3771"/>
    <w:rsid w:val="002A37C5"/>
    <w:rsid w:val="002A3AFD"/>
    <w:rsid w:val="002A3B12"/>
    <w:rsid w:val="002A3B18"/>
    <w:rsid w:val="002A4102"/>
    <w:rsid w:val="002A4918"/>
    <w:rsid w:val="002A4B7D"/>
    <w:rsid w:val="002A4E20"/>
    <w:rsid w:val="002A523D"/>
    <w:rsid w:val="002A5FC1"/>
    <w:rsid w:val="002A6963"/>
    <w:rsid w:val="002A6EF8"/>
    <w:rsid w:val="002A732C"/>
    <w:rsid w:val="002A7A6A"/>
    <w:rsid w:val="002A7AB4"/>
    <w:rsid w:val="002B0415"/>
    <w:rsid w:val="002B06F3"/>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35A"/>
    <w:rsid w:val="002B453B"/>
    <w:rsid w:val="002B4C39"/>
    <w:rsid w:val="002B55CA"/>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2F"/>
    <w:rsid w:val="002D04DC"/>
    <w:rsid w:val="002D0657"/>
    <w:rsid w:val="002D0820"/>
    <w:rsid w:val="002D09B3"/>
    <w:rsid w:val="002D1258"/>
    <w:rsid w:val="002D13B7"/>
    <w:rsid w:val="002D2B4E"/>
    <w:rsid w:val="002D3968"/>
    <w:rsid w:val="002D425A"/>
    <w:rsid w:val="002D4314"/>
    <w:rsid w:val="002D4976"/>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E7426"/>
    <w:rsid w:val="002F0045"/>
    <w:rsid w:val="002F00F0"/>
    <w:rsid w:val="002F025B"/>
    <w:rsid w:val="002F0684"/>
    <w:rsid w:val="002F0856"/>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C7"/>
    <w:rsid w:val="002F5FDA"/>
    <w:rsid w:val="002F63ED"/>
    <w:rsid w:val="002F6AC6"/>
    <w:rsid w:val="002F6BDA"/>
    <w:rsid w:val="002F7919"/>
    <w:rsid w:val="002F7B6D"/>
    <w:rsid w:val="002F7D48"/>
    <w:rsid w:val="002F7EC5"/>
    <w:rsid w:val="00300085"/>
    <w:rsid w:val="0030027C"/>
    <w:rsid w:val="00300285"/>
    <w:rsid w:val="003003AD"/>
    <w:rsid w:val="003011C0"/>
    <w:rsid w:val="0030180A"/>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647"/>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6780"/>
    <w:rsid w:val="003367C5"/>
    <w:rsid w:val="00336BFA"/>
    <w:rsid w:val="00336DAD"/>
    <w:rsid w:val="00336DB3"/>
    <w:rsid w:val="00337065"/>
    <w:rsid w:val="00337C71"/>
    <w:rsid w:val="00340CC6"/>
    <w:rsid w:val="00340E58"/>
    <w:rsid w:val="00341087"/>
    <w:rsid w:val="00341706"/>
    <w:rsid w:val="0034246D"/>
    <w:rsid w:val="0034272A"/>
    <w:rsid w:val="0034305B"/>
    <w:rsid w:val="00343C24"/>
    <w:rsid w:val="00343FA6"/>
    <w:rsid w:val="00344566"/>
    <w:rsid w:val="00344725"/>
    <w:rsid w:val="00344901"/>
    <w:rsid w:val="0034511B"/>
    <w:rsid w:val="00345B07"/>
    <w:rsid w:val="00345D1C"/>
    <w:rsid w:val="0034696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F1"/>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F36"/>
    <w:rsid w:val="0036227D"/>
    <w:rsid w:val="0036262C"/>
    <w:rsid w:val="00362C5A"/>
    <w:rsid w:val="003635B6"/>
    <w:rsid w:val="00363E63"/>
    <w:rsid w:val="00363FC9"/>
    <w:rsid w:val="00365023"/>
    <w:rsid w:val="00365644"/>
    <w:rsid w:val="0036590C"/>
    <w:rsid w:val="003665C5"/>
    <w:rsid w:val="00366948"/>
    <w:rsid w:val="00366B3A"/>
    <w:rsid w:val="00367683"/>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C29"/>
    <w:rsid w:val="003821E7"/>
    <w:rsid w:val="00382903"/>
    <w:rsid w:val="0038339F"/>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3EB"/>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867"/>
    <w:rsid w:val="00396BBB"/>
    <w:rsid w:val="003970C8"/>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3AF"/>
    <w:rsid w:val="003A76A9"/>
    <w:rsid w:val="003A7747"/>
    <w:rsid w:val="003B0299"/>
    <w:rsid w:val="003B0B4D"/>
    <w:rsid w:val="003B248F"/>
    <w:rsid w:val="003B2B79"/>
    <w:rsid w:val="003B2C70"/>
    <w:rsid w:val="003B3171"/>
    <w:rsid w:val="003B3E56"/>
    <w:rsid w:val="003B4039"/>
    <w:rsid w:val="003B4482"/>
    <w:rsid w:val="003B486F"/>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70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022"/>
    <w:rsid w:val="003D519A"/>
    <w:rsid w:val="003D5717"/>
    <w:rsid w:val="003D5878"/>
    <w:rsid w:val="003D59FE"/>
    <w:rsid w:val="003D63BA"/>
    <w:rsid w:val="003D680E"/>
    <w:rsid w:val="003D69ED"/>
    <w:rsid w:val="003D6B43"/>
    <w:rsid w:val="003D6D66"/>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500"/>
    <w:rsid w:val="003E4B1F"/>
    <w:rsid w:val="003E4CDB"/>
    <w:rsid w:val="003E6289"/>
    <w:rsid w:val="003E6592"/>
    <w:rsid w:val="003E679D"/>
    <w:rsid w:val="003E6A3C"/>
    <w:rsid w:val="003E6F20"/>
    <w:rsid w:val="003E700A"/>
    <w:rsid w:val="003E7313"/>
    <w:rsid w:val="003E73BC"/>
    <w:rsid w:val="003E76BB"/>
    <w:rsid w:val="003E7706"/>
    <w:rsid w:val="003E789B"/>
    <w:rsid w:val="003E7C5E"/>
    <w:rsid w:val="003F0656"/>
    <w:rsid w:val="003F073C"/>
    <w:rsid w:val="003F0905"/>
    <w:rsid w:val="003F13D9"/>
    <w:rsid w:val="003F148D"/>
    <w:rsid w:val="003F195A"/>
    <w:rsid w:val="003F1B6D"/>
    <w:rsid w:val="003F1C93"/>
    <w:rsid w:val="003F1E48"/>
    <w:rsid w:val="003F20B0"/>
    <w:rsid w:val="003F20E2"/>
    <w:rsid w:val="003F2244"/>
    <w:rsid w:val="003F23A7"/>
    <w:rsid w:val="003F2564"/>
    <w:rsid w:val="003F2624"/>
    <w:rsid w:val="003F2711"/>
    <w:rsid w:val="003F2A56"/>
    <w:rsid w:val="003F2B33"/>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3A0D"/>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D02"/>
    <w:rsid w:val="004222BF"/>
    <w:rsid w:val="004228DD"/>
    <w:rsid w:val="00422A01"/>
    <w:rsid w:val="00422D62"/>
    <w:rsid w:val="00422DB5"/>
    <w:rsid w:val="004232D4"/>
    <w:rsid w:val="00423326"/>
    <w:rsid w:val="004240C9"/>
    <w:rsid w:val="00424349"/>
    <w:rsid w:val="00424844"/>
    <w:rsid w:val="004251F8"/>
    <w:rsid w:val="004253B1"/>
    <w:rsid w:val="00425C97"/>
    <w:rsid w:val="00425FFD"/>
    <w:rsid w:val="004262F8"/>
    <w:rsid w:val="00426442"/>
    <w:rsid w:val="0042654A"/>
    <w:rsid w:val="00426A93"/>
    <w:rsid w:val="00426DFA"/>
    <w:rsid w:val="004272ED"/>
    <w:rsid w:val="00427492"/>
    <w:rsid w:val="004276E3"/>
    <w:rsid w:val="00427B9D"/>
    <w:rsid w:val="00427BFB"/>
    <w:rsid w:val="00427E67"/>
    <w:rsid w:val="004300F9"/>
    <w:rsid w:val="00430178"/>
    <w:rsid w:val="0043042C"/>
    <w:rsid w:val="00430495"/>
    <w:rsid w:val="0043063B"/>
    <w:rsid w:val="00430733"/>
    <w:rsid w:val="00430AFF"/>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5ED"/>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11E"/>
    <w:rsid w:val="004462AF"/>
    <w:rsid w:val="00446424"/>
    <w:rsid w:val="0044662A"/>
    <w:rsid w:val="004478FA"/>
    <w:rsid w:val="00450778"/>
    <w:rsid w:val="00450D3B"/>
    <w:rsid w:val="0045169D"/>
    <w:rsid w:val="004516EA"/>
    <w:rsid w:val="004518D5"/>
    <w:rsid w:val="00451B06"/>
    <w:rsid w:val="00451BEB"/>
    <w:rsid w:val="004520FE"/>
    <w:rsid w:val="004527C0"/>
    <w:rsid w:val="004537B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965"/>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F"/>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5B7"/>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C5C"/>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1F0E"/>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7AE"/>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9D7"/>
    <w:rsid w:val="004A7EE7"/>
    <w:rsid w:val="004A7FB0"/>
    <w:rsid w:val="004B0706"/>
    <w:rsid w:val="004B0780"/>
    <w:rsid w:val="004B0787"/>
    <w:rsid w:val="004B1313"/>
    <w:rsid w:val="004B169E"/>
    <w:rsid w:val="004B19BB"/>
    <w:rsid w:val="004B1C42"/>
    <w:rsid w:val="004B2700"/>
    <w:rsid w:val="004B2B31"/>
    <w:rsid w:val="004B2C33"/>
    <w:rsid w:val="004B2CDB"/>
    <w:rsid w:val="004B2D59"/>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73C"/>
    <w:rsid w:val="004C2C1E"/>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D06"/>
    <w:rsid w:val="004C5E20"/>
    <w:rsid w:val="004C5EF0"/>
    <w:rsid w:val="004C63D6"/>
    <w:rsid w:val="004C660B"/>
    <w:rsid w:val="004C6FE3"/>
    <w:rsid w:val="004C730E"/>
    <w:rsid w:val="004C7739"/>
    <w:rsid w:val="004C7BDF"/>
    <w:rsid w:val="004D0E42"/>
    <w:rsid w:val="004D0FA5"/>
    <w:rsid w:val="004D1059"/>
    <w:rsid w:val="004D1248"/>
    <w:rsid w:val="004D17E6"/>
    <w:rsid w:val="004D1A33"/>
    <w:rsid w:val="004D1C35"/>
    <w:rsid w:val="004D1D64"/>
    <w:rsid w:val="004D1DBB"/>
    <w:rsid w:val="004D2474"/>
    <w:rsid w:val="004D27C4"/>
    <w:rsid w:val="004D2E57"/>
    <w:rsid w:val="004D30AD"/>
    <w:rsid w:val="004D3251"/>
    <w:rsid w:val="004D3403"/>
    <w:rsid w:val="004D39CA"/>
    <w:rsid w:val="004D40D5"/>
    <w:rsid w:val="004D459A"/>
    <w:rsid w:val="004D4968"/>
    <w:rsid w:val="004D4A8A"/>
    <w:rsid w:val="004D4ABF"/>
    <w:rsid w:val="004D50CC"/>
    <w:rsid w:val="004D58D1"/>
    <w:rsid w:val="004D5F02"/>
    <w:rsid w:val="004D602D"/>
    <w:rsid w:val="004D65BA"/>
    <w:rsid w:val="004D68C0"/>
    <w:rsid w:val="004D70E1"/>
    <w:rsid w:val="004D710C"/>
    <w:rsid w:val="004D7781"/>
    <w:rsid w:val="004E0033"/>
    <w:rsid w:val="004E00F1"/>
    <w:rsid w:val="004E03BE"/>
    <w:rsid w:val="004E071E"/>
    <w:rsid w:val="004E0CD0"/>
    <w:rsid w:val="004E1260"/>
    <w:rsid w:val="004E1CBB"/>
    <w:rsid w:val="004E1CD0"/>
    <w:rsid w:val="004E1D07"/>
    <w:rsid w:val="004E209D"/>
    <w:rsid w:val="004E21D3"/>
    <w:rsid w:val="004E2A2E"/>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5EE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7B2"/>
    <w:rsid w:val="004F2826"/>
    <w:rsid w:val="004F2AA6"/>
    <w:rsid w:val="004F2B9C"/>
    <w:rsid w:val="004F2CCE"/>
    <w:rsid w:val="004F3567"/>
    <w:rsid w:val="004F359A"/>
    <w:rsid w:val="004F3DD1"/>
    <w:rsid w:val="004F485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C35"/>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1E9D"/>
    <w:rsid w:val="005221A4"/>
    <w:rsid w:val="00523366"/>
    <w:rsid w:val="0052381F"/>
    <w:rsid w:val="00523E18"/>
    <w:rsid w:val="00523F32"/>
    <w:rsid w:val="0052422C"/>
    <w:rsid w:val="005244D5"/>
    <w:rsid w:val="00524AD1"/>
    <w:rsid w:val="00524AE9"/>
    <w:rsid w:val="00524E6A"/>
    <w:rsid w:val="005251DA"/>
    <w:rsid w:val="00525407"/>
    <w:rsid w:val="00525AFC"/>
    <w:rsid w:val="00525F71"/>
    <w:rsid w:val="00526270"/>
    <w:rsid w:val="005269C2"/>
    <w:rsid w:val="00526A5E"/>
    <w:rsid w:val="00526C8A"/>
    <w:rsid w:val="005272A8"/>
    <w:rsid w:val="00527489"/>
    <w:rsid w:val="005277A8"/>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4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67B"/>
    <w:rsid w:val="00547B00"/>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6680"/>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40"/>
    <w:rsid w:val="005766EA"/>
    <w:rsid w:val="00576A37"/>
    <w:rsid w:val="00577368"/>
    <w:rsid w:val="005773FF"/>
    <w:rsid w:val="00577540"/>
    <w:rsid w:val="005777AC"/>
    <w:rsid w:val="00577EB4"/>
    <w:rsid w:val="00581081"/>
    <w:rsid w:val="00581258"/>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845"/>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BF4"/>
    <w:rsid w:val="005A416C"/>
    <w:rsid w:val="005A52B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63B"/>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767"/>
    <w:rsid w:val="005C1BF2"/>
    <w:rsid w:val="005C2144"/>
    <w:rsid w:val="005C22B3"/>
    <w:rsid w:val="005C247C"/>
    <w:rsid w:val="005C2D32"/>
    <w:rsid w:val="005C376D"/>
    <w:rsid w:val="005C4B4D"/>
    <w:rsid w:val="005C4DE3"/>
    <w:rsid w:val="005C5024"/>
    <w:rsid w:val="005C5372"/>
    <w:rsid w:val="005C5379"/>
    <w:rsid w:val="005C5425"/>
    <w:rsid w:val="005C5849"/>
    <w:rsid w:val="005C5A28"/>
    <w:rsid w:val="005C6222"/>
    <w:rsid w:val="005C6AFE"/>
    <w:rsid w:val="005C6B26"/>
    <w:rsid w:val="005C74C4"/>
    <w:rsid w:val="005C772B"/>
    <w:rsid w:val="005C7A54"/>
    <w:rsid w:val="005C7CAD"/>
    <w:rsid w:val="005C7CF2"/>
    <w:rsid w:val="005C7EF8"/>
    <w:rsid w:val="005D02FA"/>
    <w:rsid w:val="005D047B"/>
    <w:rsid w:val="005D0790"/>
    <w:rsid w:val="005D0D3E"/>
    <w:rsid w:val="005D17BF"/>
    <w:rsid w:val="005D18B1"/>
    <w:rsid w:val="005D1EC2"/>
    <w:rsid w:val="005D20FC"/>
    <w:rsid w:val="005D24A2"/>
    <w:rsid w:val="005D25D7"/>
    <w:rsid w:val="005D2A49"/>
    <w:rsid w:val="005D2CB0"/>
    <w:rsid w:val="005D2EE8"/>
    <w:rsid w:val="005D3534"/>
    <w:rsid w:val="005D3707"/>
    <w:rsid w:val="005D3AF0"/>
    <w:rsid w:val="005D3BFD"/>
    <w:rsid w:val="005D46E9"/>
    <w:rsid w:val="005D4872"/>
    <w:rsid w:val="005D5012"/>
    <w:rsid w:val="005D5CA9"/>
    <w:rsid w:val="005D5E46"/>
    <w:rsid w:val="005D609E"/>
    <w:rsid w:val="005D64A5"/>
    <w:rsid w:val="005D6929"/>
    <w:rsid w:val="005D6B30"/>
    <w:rsid w:val="005D6E1C"/>
    <w:rsid w:val="005D7539"/>
    <w:rsid w:val="005D785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7F7"/>
    <w:rsid w:val="005E6AFB"/>
    <w:rsid w:val="005E7698"/>
    <w:rsid w:val="005E7849"/>
    <w:rsid w:val="005E7A8C"/>
    <w:rsid w:val="005F06FA"/>
    <w:rsid w:val="005F06FD"/>
    <w:rsid w:val="005F0B4C"/>
    <w:rsid w:val="005F0B53"/>
    <w:rsid w:val="005F0C46"/>
    <w:rsid w:val="005F142B"/>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07A"/>
    <w:rsid w:val="006043D7"/>
    <w:rsid w:val="00604594"/>
    <w:rsid w:val="00604708"/>
    <w:rsid w:val="00604CFF"/>
    <w:rsid w:val="00604D66"/>
    <w:rsid w:val="00605399"/>
    <w:rsid w:val="006054EE"/>
    <w:rsid w:val="0060591D"/>
    <w:rsid w:val="00605967"/>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0E"/>
    <w:rsid w:val="00620254"/>
    <w:rsid w:val="006202C8"/>
    <w:rsid w:val="006205EA"/>
    <w:rsid w:val="00620686"/>
    <w:rsid w:val="00620721"/>
    <w:rsid w:val="006209E8"/>
    <w:rsid w:val="006216FA"/>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52C"/>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3A"/>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85"/>
    <w:rsid w:val="006427DE"/>
    <w:rsid w:val="00642D10"/>
    <w:rsid w:val="00642E65"/>
    <w:rsid w:val="00643769"/>
    <w:rsid w:val="00643891"/>
    <w:rsid w:val="00643DCD"/>
    <w:rsid w:val="00644200"/>
    <w:rsid w:val="0064428B"/>
    <w:rsid w:val="00644511"/>
    <w:rsid w:val="0064486C"/>
    <w:rsid w:val="00644E60"/>
    <w:rsid w:val="00644FC1"/>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A9A"/>
    <w:rsid w:val="00663DAB"/>
    <w:rsid w:val="006640EC"/>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D55"/>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694"/>
    <w:rsid w:val="00680A97"/>
    <w:rsid w:val="00680F30"/>
    <w:rsid w:val="00680F81"/>
    <w:rsid w:val="0068102D"/>
    <w:rsid w:val="00681D39"/>
    <w:rsid w:val="006820C0"/>
    <w:rsid w:val="0068226B"/>
    <w:rsid w:val="00682E47"/>
    <w:rsid w:val="00682ED3"/>
    <w:rsid w:val="00683D7F"/>
    <w:rsid w:val="00684258"/>
    <w:rsid w:val="006845C9"/>
    <w:rsid w:val="00684CB5"/>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4A3"/>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AA"/>
    <w:rsid w:val="006A6B3F"/>
    <w:rsid w:val="006A6B69"/>
    <w:rsid w:val="006A6CB3"/>
    <w:rsid w:val="006A7342"/>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4EDF"/>
    <w:rsid w:val="006C50C3"/>
    <w:rsid w:val="006C54AC"/>
    <w:rsid w:val="006C566C"/>
    <w:rsid w:val="006C57EC"/>
    <w:rsid w:val="006C5912"/>
    <w:rsid w:val="006C5C20"/>
    <w:rsid w:val="006C5FF1"/>
    <w:rsid w:val="006C6287"/>
    <w:rsid w:val="006C677C"/>
    <w:rsid w:val="006C6E92"/>
    <w:rsid w:val="006C75C9"/>
    <w:rsid w:val="006C7CAC"/>
    <w:rsid w:val="006C7F82"/>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91C"/>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6"/>
    <w:rsid w:val="006E22CC"/>
    <w:rsid w:val="006E2E24"/>
    <w:rsid w:val="006E3D3A"/>
    <w:rsid w:val="006E4646"/>
    <w:rsid w:val="006E512D"/>
    <w:rsid w:val="006E5477"/>
    <w:rsid w:val="006E554E"/>
    <w:rsid w:val="006E5A55"/>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92B"/>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CE2"/>
    <w:rsid w:val="00701F97"/>
    <w:rsid w:val="007032E6"/>
    <w:rsid w:val="007036E5"/>
    <w:rsid w:val="00703D8A"/>
    <w:rsid w:val="00704123"/>
    <w:rsid w:val="00704641"/>
    <w:rsid w:val="007047A7"/>
    <w:rsid w:val="007050A6"/>
    <w:rsid w:val="007056ED"/>
    <w:rsid w:val="00705B8C"/>
    <w:rsid w:val="00705D28"/>
    <w:rsid w:val="007066F1"/>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706"/>
    <w:rsid w:val="00732885"/>
    <w:rsid w:val="00733858"/>
    <w:rsid w:val="00733A80"/>
    <w:rsid w:val="0073445B"/>
    <w:rsid w:val="0073497A"/>
    <w:rsid w:val="0073532A"/>
    <w:rsid w:val="007357C6"/>
    <w:rsid w:val="00735EAF"/>
    <w:rsid w:val="0073637C"/>
    <w:rsid w:val="00736886"/>
    <w:rsid w:val="00736A35"/>
    <w:rsid w:val="00736D7B"/>
    <w:rsid w:val="007373DD"/>
    <w:rsid w:val="007377ED"/>
    <w:rsid w:val="007379C8"/>
    <w:rsid w:val="00740351"/>
    <w:rsid w:val="007404B1"/>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831"/>
    <w:rsid w:val="007509F9"/>
    <w:rsid w:val="007510B3"/>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660"/>
    <w:rsid w:val="00762924"/>
    <w:rsid w:val="0076295C"/>
    <w:rsid w:val="00762FA7"/>
    <w:rsid w:val="00763055"/>
    <w:rsid w:val="00763432"/>
    <w:rsid w:val="00763448"/>
    <w:rsid w:val="00763BC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BD2"/>
    <w:rsid w:val="007700C8"/>
    <w:rsid w:val="00770CEE"/>
    <w:rsid w:val="007721AD"/>
    <w:rsid w:val="007728F4"/>
    <w:rsid w:val="00772D15"/>
    <w:rsid w:val="00772DC3"/>
    <w:rsid w:val="007733C4"/>
    <w:rsid w:val="00773EC7"/>
    <w:rsid w:val="007743A1"/>
    <w:rsid w:val="007744EF"/>
    <w:rsid w:val="00774B9B"/>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DB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620"/>
    <w:rsid w:val="00795804"/>
    <w:rsid w:val="00795809"/>
    <w:rsid w:val="00795BA6"/>
    <w:rsid w:val="00795DC8"/>
    <w:rsid w:val="0079601B"/>
    <w:rsid w:val="007962E1"/>
    <w:rsid w:val="00796B15"/>
    <w:rsid w:val="007977E1"/>
    <w:rsid w:val="00797DAA"/>
    <w:rsid w:val="00797FCF"/>
    <w:rsid w:val="007A0616"/>
    <w:rsid w:val="007A0A1F"/>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340"/>
    <w:rsid w:val="007A5C80"/>
    <w:rsid w:val="007A5F87"/>
    <w:rsid w:val="007A6053"/>
    <w:rsid w:val="007A618D"/>
    <w:rsid w:val="007A6256"/>
    <w:rsid w:val="007A6333"/>
    <w:rsid w:val="007A6477"/>
    <w:rsid w:val="007A650C"/>
    <w:rsid w:val="007A6909"/>
    <w:rsid w:val="007A6A76"/>
    <w:rsid w:val="007A7228"/>
    <w:rsid w:val="007A75A3"/>
    <w:rsid w:val="007A77B4"/>
    <w:rsid w:val="007A7AD5"/>
    <w:rsid w:val="007B0253"/>
    <w:rsid w:val="007B073B"/>
    <w:rsid w:val="007B0FEC"/>
    <w:rsid w:val="007B1061"/>
    <w:rsid w:val="007B1E65"/>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7B"/>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645"/>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3C85"/>
    <w:rsid w:val="007E458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4883"/>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EF4"/>
    <w:rsid w:val="00803FD6"/>
    <w:rsid w:val="008041E1"/>
    <w:rsid w:val="008044EE"/>
    <w:rsid w:val="00804867"/>
    <w:rsid w:val="00804B2F"/>
    <w:rsid w:val="008053AD"/>
    <w:rsid w:val="00805D11"/>
    <w:rsid w:val="0080656E"/>
    <w:rsid w:val="00806979"/>
    <w:rsid w:val="0080699F"/>
    <w:rsid w:val="00806BEC"/>
    <w:rsid w:val="00806D29"/>
    <w:rsid w:val="00806F5E"/>
    <w:rsid w:val="00807365"/>
    <w:rsid w:val="0080770D"/>
    <w:rsid w:val="00807D28"/>
    <w:rsid w:val="00807D5E"/>
    <w:rsid w:val="00807E1B"/>
    <w:rsid w:val="008100D3"/>
    <w:rsid w:val="0081012C"/>
    <w:rsid w:val="00810AF5"/>
    <w:rsid w:val="00810DE9"/>
    <w:rsid w:val="00810EAE"/>
    <w:rsid w:val="00811036"/>
    <w:rsid w:val="008116BE"/>
    <w:rsid w:val="00811FBF"/>
    <w:rsid w:val="00812027"/>
    <w:rsid w:val="008123D5"/>
    <w:rsid w:val="008124FE"/>
    <w:rsid w:val="008127B0"/>
    <w:rsid w:val="00812FE3"/>
    <w:rsid w:val="00813BF2"/>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7C8"/>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65E"/>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DB0"/>
    <w:rsid w:val="00845A92"/>
    <w:rsid w:val="00845F51"/>
    <w:rsid w:val="00846106"/>
    <w:rsid w:val="00846467"/>
    <w:rsid w:val="00846661"/>
    <w:rsid w:val="00846AC4"/>
    <w:rsid w:val="00846C77"/>
    <w:rsid w:val="00846E99"/>
    <w:rsid w:val="00847991"/>
    <w:rsid w:val="00847C4E"/>
    <w:rsid w:val="00847F69"/>
    <w:rsid w:val="00850AE8"/>
    <w:rsid w:val="00850B13"/>
    <w:rsid w:val="008518E5"/>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2B"/>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3FDA"/>
    <w:rsid w:val="00864A9F"/>
    <w:rsid w:val="00864C02"/>
    <w:rsid w:val="008650AB"/>
    <w:rsid w:val="00865696"/>
    <w:rsid w:val="00865D02"/>
    <w:rsid w:val="00865D4C"/>
    <w:rsid w:val="00865DE1"/>
    <w:rsid w:val="00866A47"/>
    <w:rsid w:val="00866BFD"/>
    <w:rsid w:val="00866FEA"/>
    <w:rsid w:val="00867255"/>
    <w:rsid w:val="008678F0"/>
    <w:rsid w:val="00870018"/>
    <w:rsid w:val="00870620"/>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90"/>
    <w:rsid w:val="00875905"/>
    <w:rsid w:val="00875F79"/>
    <w:rsid w:val="00875FBD"/>
    <w:rsid w:val="00876498"/>
    <w:rsid w:val="00876512"/>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952"/>
    <w:rsid w:val="00884AD8"/>
    <w:rsid w:val="00884CDF"/>
    <w:rsid w:val="00885509"/>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C6"/>
    <w:rsid w:val="008B01A2"/>
    <w:rsid w:val="008B07C2"/>
    <w:rsid w:val="008B097E"/>
    <w:rsid w:val="008B0CD0"/>
    <w:rsid w:val="008B0F9B"/>
    <w:rsid w:val="008B130E"/>
    <w:rsid w:val="008B1651"/>
    <w:rsid w:val="008B175A"/>
    <w:rsid w:val="008B182D"/>
    <w:rsid w:val="008B18CE"/>
    <w:rsid w:val="008B1FB5"/>
    <w:rsid w:val="008B2052"/>
    <w:rsid w:val="008B21F5"/>
    <w:rsid w:val="008B269F"/>
    <w:rsid w:val="008B2A2E"/>
    <w:rsid w:val="008B2AB2"/>
    <w:rsid w:val="008B2D1D"/>
    <w:rsid w:val="008B2DEB"/>
    <w:rsid w:val="008B3E81"/>
    <w:rsid w:val="008B41EF"/>
    <w:rsid w:val="008B4230"/>
    <w:rsid w:val="008B447F"/>
    <w:rsid w:val="008B44A9"/>
    <w:rsid w:val="008B45AA"/>
    <w:rsid w:val="008B4A4A"/>
    <w:rsid w:val="008B4B0D"/>
    <w:rsid w:val="008B4B33"/>
    <w:rsid w:val="008B5448"/>
    <w:rsid w:val="008B5577"/>
    <w:rsid w:val="008B5B78"/>
    <w:rsid w:val="008B60ED"/>
    <w:rsid w:val="008B66CB"/>
    <w:rsid w:val="008B6C63"/>
    <w:rsid w:val="008B6E5C"/>
    <w:rsid w:val="008C1161"/>
    <w:rsid w:val="008C1648"/>
    <w:rsid w:val="008C1B04"/>
    <w:rsid w:val="008C2236"/>
    <w:rsid w:val="008C2426"/>
    <w:rsid w:val="008C2453"/>
    <w:rsid w:val="008C26B4"/>
    <w:rsid w:val="008C2767"/>
    <w:rsid w:val="008C2BF7"/>
    <w:rsid w:val="008C4B47"/>
    <w:rsid w:val="008C570A"/>
    <w:rsid w:val="008C59D5"/>
    <w:rsid w:val="008C5B10"/>
    <w:rsid w:val="008C6026"/>
    <w:rsid w:val="008C6970"/>
    <w:rsid w:val="008C6B8A"/>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A2"/>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490"/>
    <w:rsid w:val="008F35F6"/>
    <w:rsid w:val="008F3D2D"/>
    <w:rsid w:val="008F3D7C"/>
    <w:rsid w:val="008F3DC9"/>
    <w:rsid w:val="008F4107"/>
    <w:rsid w:val="008F4B0F"/>
    <w:rsid w:val="008F4BFE"/>
    <w:rsid w:val="008F4E3F"/>
    <w:rsid w:val="008F5406"/>
    <w:rsid w:val="008F5866"/>
    <w:rsid w:val="008F595E"/>
    <w:rsid w:val="008F5A57"/>
    <w:rsid w:val="008F6188"/>
    <w:rsid w:val="008F6649"/>
    <w:rsid w:val="008F692B"/>
    <w:rsid w:val="008F6CD1"/>
    <w:rsid w:val="008F6F6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675"/>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DF0"/>
    <w:rsid w:val="0091602A"/>
    <w:rsid w:val="0091610F"/>
    <w:rsid w:val="009161BA"/>
    <w:rsid w:val="0091656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32B"/>
    <w:rsid w:val="00951417"/>
    <w:rsid w:val="0095154C"/>
    <w:rsid w:val="0095183E"/>
    <w:rsid w:val="00951995"/>
    <w:rsid w:val="00951C7E"/>
    <w:rsid w:val="00951CF6"/>
    <w:rsid w:val="00951FAC"/>
    <w:rsid w:val="00952ACA"/>
    <w:rsid w:val="00952F19"/>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57F90"/>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92B"/>
    <w:rsid w:val="0096397B"/>
    <w:rsid w:val="00964E3C"/>
    <w:rsid w:val="00964E69"/>
    <w:rsid w:val="0096504D"/>
    <w:rsid w:val="009654F0"/>
    <w:rsid w:val="00965785"/>
    <w:rsid w:val="009659EA"/>
    <w:rsid w:val="00965C06"/>
    <w:rsid w:val="00966507"/>
    <w:rsid w:val="00966845"/>
    <w:rsid w:val="0096691D"/>
    <w:rsid w:val="00966EC4"/>
    <w:rsid w:val="0096766C"/>
    <w:rsid w:val="00967851"/>
    <w:rsid w:val="00967D2D"/>
    <w:rsid w:val="009701FF"/>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0D0"/>
    <w:rsid w:val="00974182"/>
    <w:rsid w:val="009744FF"/>
    <w:rsid w:val="00974520"/>
    <w:rsid w:val="00974B9F"/>
    <w:rsid w:val="00974C23"/>
    <w:rsid w:val="00974EBD"/>
    <w:rsid w:val="009751BA"/>
    <w:rsid w:val="0097539E"/>
    <w:rsid w:val="0097577E"/>
    <w:rsid w:val="009765CF"/>
    <w:rsid w:val="00976B16"/>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B6"/>
    <w:rsid w:val="00984C8E"/>
    <w:rsid w:val="0098511E"/>
    <w:rsid w:val="00985133"/>
    <w:rsid w:val="0098541D"/>
    <w:rsid w:val="00985BA2"/>
    <w:rsid w:val="00985CA4"/>
    <w:rsid w:val="00985E3F"/>
    <w:rsid w:val="00986956"/>
    <w:rsid w:val="00986B31"/>
    <w:rsid w:val="009873AF"/>
    <w:rsid w:val="009875A6"/>
    <w:rsid w:val="009876A0"/>
    <w:rsid w:val="0098789A"/>
    <w:rsid w:val="0098794B"/>
    <w:rsid w:val="009879B5"/>
    <w:rsid w:val="009879F4"/>
    <w:rsid w:val="00987A56"/>
    <w:rsid w:val="00987E33"/>
    <w:rsid w:val="0099005F"/>
    <w:rsid w:val="00990E93"/>
    <w:rsid w:val="009913AB"/>
    <w:rsid w:val="009917F3"/>
    <w:rsid w:val="00991F39"/>
    <w:rsid w:val="00992624"/>
    <w:rsid w:val="00992738"/>
    <w:rsid w:val="009927C4"/>
    <w:rsid w:val="00993075"/>
    <w:rsid w:val="009930C0"/>
    <w:rsid w:val="0099324C"/>
    <w:rsid w:val="00993627"/>
    <w:rsid w:val="0099367D"/>
    <w:rsid w:val="009936F0"/>
    <w:rsid w:val="009949A6"/>
    <w:rsid w:val="00994D59"/>
    <w:rsid w:val="009951AB"/>
    <w:rsid w:val="0099531F"/>
    <w:rsid w:val="00995360"/>
    <w:rsid w:val="009954AD"/>
    <w:rsid w:val="00996A8B"/>
    <w:rsid w:val="00996CD4"/>
    <w:rsid w:val="00997046"/>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6395"/>
    <w:rsid w:val="009B64CF"/>
    <w:rsid w:val="009B6E27"/>
    <w:rsid w:val="009B6E67"/>
    <w:rsid w:val="009B70E9"/>
    <w:rsid w:val="009B7564"/>
    <w:rsid w:val="009B7BB7"/>
    <w:rsid w:val="009B7ECC"/>
    <w:rsid w:val="009B7FFA"/>
    <w:rsid w:val="009C00EF"/>
    <w:rsid w:val="009C0BC1"/>
    <w:rsid w:val="009C0DBE"/>
    <w:rsid w:val="009C155F"/>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622"/>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D3E"/>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F8"/>
    <w:rsid w:val="00A00B60"/>
    <w:rsid w:val="00A01006"/>
    <w:rsid w:val="00A02B26"/>
    <w:rsid w:val="00A02BEC"/>
    <w:rsid w:val="00A02C96"/>
    <w:rsid w:val="00A02D52"/>
    <w:rsid w:val="00A02FBC"/>
    <w:rsid w:val="00A03A1D"/>
    <w:rsid w:val="00A043B9"/>
    <w:rsid w:val="00A04541"/>
    <w:rsid w:val="00A04A92"/>
    <w:rsid w:val="00A04DB3"/>
    <w:rsid w:val="00A04E65"/>
    <w:rsid w:val="00A051D9"/>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A61"/>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2EF"/>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BF"/>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68D"/>
    <w:rsid w:val="00A57BD6"/>
    <w:rsid w:val="00A57F96"/>
    <w:rsid w:val="00A604C4"/>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2C5"/>
    <w:rsid w:val="00A83731"/>
    <w:rsid w:val="00A83BF1"/>
    <w:rsid w:val="00A83CA0"/>
    <w:rsid w:val="00A84298"/>
    <w:rsid w:val="00A844CE"/>
    <w:rsid w:val="00A84CE6"/>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CF"/>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BBE"/>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B22"/>
    <w:rsid w:val="00AC7DE9"/>
    <w:rsid w:val="00AD12BD"/>
    <w:rsid w:val="00AD163D"/>
    <w:rsid w:val="00AD1860"/>
    <w:rsid w:val="00AD1B21"/>
    <w:rsid w:val="00AD1DFE"/>
    <w:rsid w:val="00AD1F06"/>
    <w:rsid w:val="00AD219B"/>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D7EE0"/>
    <w:rsid w:val="00AE0160"/>
    <w:rsid w:val="00AE0D23"/>
    <w:rsid w:val="00AE0D8C"/>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8C"/>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631"/>
    <w:rsid w:val="00B00D62"/>
    <w:rsid w:val="00B010D3"/>
    <w:rsid w:val="00B015FA"/>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B9F"/>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40"/>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CA0"/>
    <w:rsid w:val="00B27D54"/>
    <w:rsid w:val="00B27DC3"/>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0DF"/>
    <w:rsid w:val="00B437BD"/>
    <w:rsid w:val="00B43985"/>
    <w:rsid w:val="00B439FA"/>
    <w:rsid w:val="00B43D4D"/>
    <w:rsid w:val="00B440CF"/>
    <w:rsid w:val="00B4418B"/>
    <w:rsid w:val="00B443C5"/>
    <w:rsid w:val="00B4485B"/>
    <w:rsid w:val="00B45A61"/>
    <w:rsid w:val="00B45AC0"/>
    <w:rsid w:val="00B46212"/>
    <w:rsid w:val="00B46501"/>
    <w:rsid w:val="00B47784"/>
    <w:rsid w:val="00B47801"/>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449"/>
    <w:rsid w:val="00B5370C"/>
    <w:rsid w:val="00B53EF5"/>
    <w:rsid w:val="00B542BA"/>
    <w:rsid w:val="00B54989"/>
    <w:rsid w:val="00B54CC5"/>
    <w:rsid w:val="00B553CF"/>
    <w:rsid w:val="00B555B8"/>
    <w:rsid w:val="00B55980"/>
    <w:rsid w:val="00B55ACA"/>
    <w:rsid w:val="00B561BD"/>
    <w:rsid w:val="00B566E0"/>
    <w:rsid w:val="00B5685D"/>
    <w:rsid w:val="00B56E91"/>
    <w:rsid w:val="00B56F22"/>
    <w:rsid w:val="00B574BA"/>
    <w:rsid w:val="00B57861"/>
    <w:rsid w:val="00B60407"/>
    <w:rsid w:val="00B6059C"/>
    <w:rsid w:val="00B60E6E"/>
    <w:rsid w:val="00B6112D"/>
    <w:rsid w:val="00B6156C"/>
    <w:rsid w:val="00B615B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6BA"/>
    <w:rsid w:val="00B6796C"/>
    <w:rsid w:val="00B67B2B"/>
    <w:rsid w:val="00B7021B"/>
    <w:rsid w:val="00B70333"/>
    <w:rsid w:val="00B70A49"/>
    <w:rsid w:val="00B70B4F"/>
    <w:rsid w:val="00B70EDB"/>
    <w:rsid w:val="00B71A5D"/>
    <w:rsid w:val="00B71F86"/>
    <w:rsid w:val="00B7273B"/>
    <w:rsid w:val="00B727B8"/>
    <w:rsid w:val="00B73453"/>
    <w:rsid w:val="00B737C7"/>
    <w:rsid w:val="00B73E00"/>
    <w:rsid w:val="00B73E31"/>
    <w:rsid w:val="00B73EA9"/>
    <w:rsid w:val="00B74A0D"/>
    <w:rsid w:val="00B74EC0"/>
    <w:rsid w:val="00B75542"/>
    <w:rsid w:val="00B75667"/>
    <w:rsid w:val="00B75A5C"/>
    <w:rsid w:val="00B7646F"/>
    <w:rsid w:val="00B76CB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946"/>
    <w:rsid w:val="00B87C60"/>
    <w:rsid w:val="00B90165"/>
    <w:rsid w:val="00B91356"/>
    <w:rsid w:val="00B91670"/>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647"/>
    <w:rsid w:val="00B96CF0"/>
    <w:rsid w:val="00B96DA2"/>
    <w:rsid w:val="00B977E6"/>
    <w:rsid w:val="00BA0451"/>
    <w:rsid w:val="00BA067F"/>
    <w:rsid w:val="00BA13E0"/>
    <w:rsid w:val="00BA17C4"/>
    <w:rsid w:val="00BA270E"/>
    <w:rsid w:val="00BA2729"/>
    <w:rsid w:val="00BA283C"/>
    <w:rsid w:val="00BA2AEB"/>
    <w:rsid w:val="00BA2B41"/>
    <w:rsid w:val="00BA30D8"/>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B46"/>
    <w:rsid w:val="00BB71EC"/>
    <w:rsid w:val="00BB724B"/>
    <w:rsid w:val="00BB740F"/>
    <w:rsid w:val="00BB74F8"/>
    <w:rsid w:val="00BB7DB1"/>
    <w:rsid w:val="00BC0AE6"/>
    <w:rsid w:val="00BC16BF"/>
    <w:rsid w:val="00BC1B4B"/>
    <w:rsid w:val="00BC201A"/>
    <w:rsid w:val="00BC2513"/>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D77"/>
    <w:rsid w:val="00BD0FC4"/>
    <w:rsid w:val="00BD13ED"/>
    <w:rsid w:val="00BD140B"/>
    <w:rsid w:val="00BD1749"/>
    <w:rsid w:val="00BD238C"/>
    <w:rsid w:val="00BD2A08"/>
    <w:rsid w:val="00BD2F55"/>
    <w:rsid w:val="00BD3837"/>
    <w:rsid w:val="00BD385B"/>
    <w:rsid w:val="00BD386B"/>
    <w:rsid w:val="00BD3C69"/>
    <w:rsid w:val="00BD3CE1"/>
    <w:rsid w:val="00BD3D7A"/>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4EE6"/>
    <w:rsid w:val="00BE54AA"/>
    <w:rsid w:val="00BE5515"/>
    <w:rsid w:val="00BE5613"/>
    <w:rsid w:val="00BE5813"/>
    <w:rsid w:val="00BE5C7E"/>
    <w:rsid w:val="00BE5F52"/>
    <w:rsid w:val="00BE6497"/>
    <w:rsid w:val="00BE65B3"/>
    <w:rsid w:val="00BE68B9"/>
    <w:rsid w:val="00BE7265"/>
    <w:rsid w:val="00BE76E2"/>
    <w:rsid w:val="00BE7B27"/>
    <w:rsid w:val="00BF02E6"/>
    <w:rsid w:val="00BF0A66"/>
    <w:rsid w:val="00BF10D2"/>
    <w:rsid w:val="00BF10D6"/>
    <w:rsid w:val="00BF120B"/>
    <w:rsid w:val="00BF1309"/>
    <w:rsid w:val="00BF176D"/>
    <w:rsid w:val="00BF18B9"/>
    <w:rsid w:val="00BF1B70"/>
    <w:rsid w:val="00BF220D"/>
    <w:rsid w:val="00BF2817"/>
    <w:rsid w:val="00BF2C65"/>
    <w:rsid w:val="00BF31CB"/>
    <w:rsid w:val="00BF3AE6"/>
    <w:rsid w:val="00BF3B32"/>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A0B"/>
    <w:rsid w:val="00C06F8C"/>
    <w:rsid w:val="00C07A6C"/>
    <w:rsid w:val="00C07AE3"/>
    <w:rsid w:val="00C07AE4"/>
    <w:rsid w:val="00C07B17"/>
    <w:rsid w:val="00C10599"/>
    <w:rsid w:val="00C10B5C"/>
    <w:rsid w:val="00C10F46"/>
    <w:rsid w:val="00C1114F"/>
    <w:rsid w:val="00C11183"/>
    <w:rsid w:val="00C11197"/>
    <w:rsid w:val="00C1157C"/>
    <w:rsid w:val="00C11816"/>
    <w:rsid w:val="00C11C33"/>
    <w:rsid w:val="00C11C73"/>
    <w:rsid w:val="00C11FE5"/>
    <w:rsid w:val="00C11FF6"/>
    <w:rsid w:val="00C12068"/>
    <w:rsid w:val="00C12EB5"/>
    <w:rsid w:val="00C1328A"/>
    <w:rsid w:val="00C13504"/>
    <w:rsid w:val="00C13C8A"/>
    <w:rsid w:val="00C13EAE"/>
    <w:rsid w:val="00C13F22"/>
    <w:rsid w:val="00C140FE"/>
    <w:rsid w:val="00C14346"/>
    <w:rsid w:val="00C14691"/>
    <w:rsid w:val="00C14EF8"/>
    <w:rsid w:val="00C15135"/>
    <w:rsid w:val="00C158E6"/>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4C"/>
    <w:rsid w:val="00C226CE"/>
    <w:rsid w:val="00C232DD"/>
    <w:rsid w:val="00C2380A"/>
    <w:rsid w:val="00C2423A"/>
    <w:rsid w:val="00C244A0"/>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58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508"/>
    <w:rsid w:val="00C40B7D"/>
    <w:rsid w:val="00C40CD4"/>
    <w:rsid w:val="00C41057"/>
    <w:rsid w:val="00C411E2"/>
    <w:rsid w:val="00C4172D"/>
    <w:rsid w:val="00C41E8D"/>
    <w:rsid w:val="00C42130"/>
    <w:rsid w:val="00C42590"/>
    <w:rsid w:val="00C42784"/>
    <w:rsid w:val="00C429E1"/>
    <w:rsid w:val="00C439F0"/>
    <w:rsid w:val="00C43CE7"/>
    <w:rsid w:val="00C44189"/>
    <w:rsid w:val="00C447FB"/>
    <w:rsid w:val="00C44F96"/>
    <w:rsid w:val="00C44FF2"/>
    <w:rsid w:val="00C4537A"/>
    <w:rsid w:val="00C4587D"/>
    <w:rsid w:val="00C45C66"/>
    <w:rsid w:val="00C46B24"/>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4A1"/>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3D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713"/>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3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24E"/>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97E54"/>
    <w:rsid w:val="00CA09AA"/>
    <w:rsid w:val="00CA0D78"/>
    <w:rsid w:val="00CA0FCC"/>
    <w:rsid w:val="00CA114D"/>
    <w:rsid w:val="00CA1225"/>
    <w:rsid w:val="00CA18D2"/>
    <w:rsid w:val="00CA2919"/>
    <w:rsid w:val="00CA2C56"/>
    <w:rsid w:val="00CA3FD6"/>
    <w:rsid w:val="00CA49C0"/>
    <w:rsid w:val="00CA4A24"/>
    <w:rsid w:val="00CA4A3F"/>
    <w:rsid w:val="00CA4C14"/>
    <w:rsid w:val="00CA4F58"/>
    <w:rsid w:val="00CA51A0"/>
    <w:rsid w:val="00CA5DA3"/>
    <w:rsid w:val="00CA6164"/>
    <w:rsid w:val="00CB01BC"/>
    <w:rsid w:val="00CB03CF"/>
    <w:rsid w:val="00CB047F"/>
    <w:rsid w:val="00CB07CB"/>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AF4"/>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A80"/>
    <w:rsid w:val="00CD6D63"/>
    <w:rsid w:val="00CD6E0B"/>
    <w:rsid w:val="00CD787F"/>
    <w:rsid w:val="00CD7A86"/>
    <w:rsid w:val="00CE025E"/>
    <w:rsid w:val="00CE030D"/>
    <w:rsid w:val="00CE03B6"/>
    <w:rsid w:val="00CE05F2"/>
    <w:rsid w:val="00CE08AB"/>
    <w:rsid w:val="00CE0A05"/>
    <w:rsid w:val="00CE0CBF"/>
    <w:rsid w:val="00CE0F12"/>
    <w:rsid w:val="00CE112E"/>
    <w:rsid w:val="00CE1225"/>
    <w:rsid w:val="00CE132D"/>
    <w:rsid w:val="00CE143E"/>
    <w:rsid w:val="00CE17D2"/>
    <w:rsid w:val="00CE19F2"/>
    <w:rsid w:val="00CE1E73"/>
    <w:rsid w:val="00CE253D"/>
    <w:rsid w:val="00CE3257"/>
    <w:rsid w:val="00CE38AA"/>
    <w:rsid w:val="00CE3CDC"/>
    <w:rsid w:val="00CE3D16"/>
    <w:rsid w:val="00CE4981"/>
    <w:rsid w:val="00CE5386"/>
    <w:rsid w:val="00CE5E50"/>
    <w:rsid w:val="00CE630B"/>
    <w:rsid w:val="00CE69F3"/>
    <w:rsid w:val="00CE6AD5"/>
    <w:rsid w:val="00CE6E24"/>
    <w:rsid w:val="00CE7392"/>
    <w:rsid w:val="00CE76BD"/>
    <w:rsid w:val="00CE781A"/>
    <w:rsid w:val="00CF02AC"/>
    <w:rsid w:val="00CF057C"/>
    <w:rsid w:val="00CF06E6"/>
    <w:rsid w:val="00CF0B5C"/>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97"/>
    <w:rsid w:val="00D02716"/>
    <w:rsid w:val="00D02AFC"/>
    <w:rsid w:val="00D02C36"/>
    <w:rsid w:val="00D02E17"/>
    <w:rsid w:val="00D02F2F"/>
    <w:rsid w:val="00D0397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9F8"/>
    <w:rsid w:val="00D07D73"/>
    <w:rsid w:val="00D07DCA"/>
    <w:rsid w:val="00D07E5F"/>
    <w:rsid w:val="00D1023A"/>
    <w:rsid w:val="00D11672"/>
    <w:rsid w:val="00D116C5"/>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47A"/>
    <w:rsid w:val="00D14BAB"/>
    <w:rsid w:val="00D1552A"/>
    <w:rsid w:val="00D1582F"/>
    <w:rsid w:val="00D15D9D"/>
    <w:rsid w:val="00D1624D"/>
    <w:rsid w:val="00D17869"/>
    <w:rsid w:val="00D1792B"/>
    <w:rsid w:val="00D17F37"/>
    <w:rsid w:val="00D202D3"/>
    <w:rsid w:val="00D20A4C"/>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9F0"/>
    <w:rsid w:val="00D30C46"/>
    <w:rsid w:val="00D30FC7"/>
    <w:rsid w:val="00D314DA"/>
    <w:rsid w:val="00D31B9F"/>
    <w:rsid w:val="00D31BEA"/>
    <w:rsid w:val="00D33313"/>
    <w:rsid w:val="00D333D7"/>
    <w:rsid w:val="00D33410"/>
    <w:rsid w:val="00D33418"/>
    <w:rsid w:val="00D33458"/>
    <w:rsid w:val="00D33AFC"/>
    <w:rsid w:val="00D33C0E"/>
    <w:rsid w:val="00D33F80"/>
    <w:rsid w:val="00D33FCE"/>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C9F"/>
    <w:rsid w:val="00D43E86"/>
    <w:rsid w:val="00D4429F"/>
    <w:rsid w:val="00D44346"/>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07C"/>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23B"/>
    <w:rsid w:val="00D74461"/>
    <w:rsid w:val="00D74AF7"/>
    <w:rsid w:val="00D7505F"/>
    <w:rsid w:val="00D75199"/>
    <w:rsid w:val="00D75277"/>
    <w:rsid w:val="00D75843"/>
    <w:rsid w:val="00D758A1"/>
    <w:rsid w:val="00D75928"/>
    <w:rsid w:val="00D75E85"/>
    <w:rsid w:val="00D75F68"/>
    <w:rsid w:val="00D7643F"/>
    <w:rsid w:val="00D76682"/>
    <w:rsid w:val="00D769F0"/>
    <w:rsid w:val="00D76E0D"/>
    <w:rsid w:val="00D76E83"/>
    <w:rsid w:val="00D771C9"/>
    <w:rsid w:val="00D772E5"/>
    <w:rsid w:val="00D800A1"/>
    <w:rsid w:val="00D8036A"/>
    <w:rsid w:val="00D80AB8"/>
    <w:rsid w:val="00D80C93"/>
    <w:rsid w:val="00D80CB8"/>
    <w:rsid w:val="00D80CCB"/>
    <w:rsid w:val="00D81307"/>
    <w:rsid w:val="00D81465"/>
    <w:rsid w:val="00D816F0"/>
    <w:rsid w:val="00D817FD"/>
    <w:rsid w:val="00D81D71"/>
    <w:rsid w:val="00D820F3"/>
    <w:rsid w:val="00D829AC"/>
    <w:rsid w:val="00D82AA1"/>
    <w:rsid w:val="00D83401"/>
    <w:rsid w:val="00D83850"/>
    <w:rsid w:val="00D84268"/>
    <w:rsid w:val="00D84278"/>
    <w:rsid w:val="00D846C5"/>
    <w:rsid w:val="00D847C6"/>
    <w:rsid w:val="00D85B17"/>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A12"/>
    <w:rsid w:val="00D93EF4"/>
    <w:rsid w:val="00D94909"/>
    <w:rsid w:val="00D94BB0"/>
    <w:rsid w:val="00D94FF3"/>
    <w:rsid w:val="00D95322"/>
    <w:rsid w:val="00D955B0"/>
    <w:rsid w:val="00D957C0"/>
    <w:rsid w:val="00D95BC2"/>
    <w:rsid w:val="00D95BFF"/>
    <w:rsid w:val="00D95F45"/>
    <w:rsid w:val="00D96A1A"/>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C00"/>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43E"/>
    <w:rsid w:val="00DB1539"/>
    <w:rsid w:val="00DB1F98"/>
    <w:rsid w:val="00DB27E1"/>
    <w:rsid w:val="00DB2CDC"/>
    <w:rsid w:val="00DB2CF9"/>
    <w:rsid w:val="00DB2F94"/>
    <w:rsid w:val="00DB2FDC"/>
    <w:rsid w:val="00DB35C7"/>
    <w:rsid w:val="00DB3719"/>
    <w:rsid w:val="00DB38E9"/>
    <w:rsid w:val="00DB39DE"/>
    <w:rsid w:val="00DB3D0B"/>
    <w:rsid w:val="00DB3D52"/>
    <w:rsid w:val="00DB42C3"/>
    <w:rsid w:val="00DB4322"/>
    <w:rsid w:val="00DB452C"/>
    <w:rsid w:val="00DB4F9D"/>
    <w:rsid w:val="00DB5833"/>
    <w:rsid w:val="00DB5A21"/>
    <w:rsid w:val="00DB5BE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6C"/>
    <w:rsid w:val="00DC4D82"/>
    <w:rsid w:val="00DC5015"/>
    <w:rsid w:val="00DC522F"/>
    <w:rsid w:val="00DC5383"/>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2CB4"/>
    <w:rsid w:val="00DF2F7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D22"/>
    <w:rsid w:val="00E05FC4"/>
    <w:rsid w:val="00E06977"/>
    <w:rsid w:val="00E06AF4"/>
    <w:rsid w:val="00E073C8"/>
    <w:rsid w:val="00E07686"/>
    <w:rsid w:val="00E07E45"/>
    <w:rsid w:val="00E1007C"/>
    <w:rsid w:val="00E101F9"/>
    <w:rsid w:val="00E102BD"/>
    <w:rsid w:val="00E1039D"/>
    <w:rsid w:val="00E103F8"/>
    <w:rsid w:val="00E10631"/>
    <w:rsid w:val="00E11954"/>
    <w:rsid w:val="00E11EB8"/>
    <w:rsid w:val="00E1273A"/>
    <w:rsid w:val="00E12933"/>
    <w:rsid w:val="00E12A5A"/>
    <w:rsid w:val="00E12AF0"/>
    <w:rsid w:val="00E136AE"/>
    <w:rsid w:val="00E139D0"/>
    <w:rsid w:val="00E143F1"/>
    <w:rsid w:val="00E144B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FA1"/>
    <w:rsid w:val="00E222C6"/>
    <w:rsid w:val="00E224C9"/>
    <w:rsid w:val="00E22625"/>
    <w:rsid w:val="00E229F7"/>
    <w:rsid w:val="00E22A10"/>
    <w:rsid w:val="00E22A59"/>
    <w:rsid w:val="00E22BF5"/>
    <w:rsid w:val="00E22E2F"/>
    <w:rsid w:val="00E22EE3"/>
    <w:rsid w:val="00E23224"/>
    <w:rsid w:val="00E23467"/>
    <w:rsid w:val="00E23851"/>
    <w:rsid w:val="00E23ACC"/>
    <w:rsid w:val="00E23ADB"/>
    <w:rsid w:val="00E24553"/>
    <w:rsid w:val="00E2475F"/>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1B4A"/>
    <w:rsid w:val="00E31DCF"/>
    <w:rsid w:val="00E3200D"/>
    <w:rsid w:val="00E32E0E"/>
    <w:rsid w:val="00E3305B"/>
    <w:rsid w:val="00E332B5"/>
    <w:rsid w:val="00E33506"/>
    <w:rsid w:val="00E33708"/>
    <w:rsid w:val="00E33802"/>
    <w:rsid w:val="00E33814"/>
    <w:rsid w:val="00E339C6"/>
    <w:rsid w:val="00E33B8C"/>
    <w:rsid w:val="00E33E32"/>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710"/>
    <w:rsid w:val="00E508D6"/>
    <w:rsid w:val="00E515A3"/>
    <w:rsid w:val="00E51E23"/>
    <w:rsid w:val="00E520A0"/>
    <w:rsid w:val="00E520D9"/>
    <w:rsid w:val="00E523F3"/>
    <w:rsid w:val="00E5242F"/>
    <w:rsid w:val="00E529B8"/>
    <w:rsid w:val="00E52F76"/>
    <w:rsid w:val="00E52FE7"/>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952"/>
    <w:rsid w:val="00E61DAC"/>
    <w:rsid w:val="00E61F86"/>
    <w:rsid w:val="00E62AF2"/>
    <w:rsid w:val="00E62C6B"/>
    <w:rsid w:val="00E630F7"/>
    <w:rsid w:val="00E642EF"/>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5ECA"/>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D84"/>
    <w:rsid w:val="00E853AC"/>
    <w:rsid w:val="00E85483"/>
    <w:rsid w:val="00E86057"/>
    <w:rsid w:val="00E861F7"/>
    <w:rsid w:val="00E86647"/>
    <w:rsid w:val="00E86BF7"/>
    <w:rsid w:val="00E87182"/>
    <w:rsid w:val="00E879F0"/>
    <w:rsid w:val="00E87AE6"/>
    <w:rsid w:val="00E87BC7"/>
    <w:rsid w:val="00E87CE8"/>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B3E"/>
    <w:rsid w:val="00E96C84"/>
    <w:rsid w:val="00E96F40"/>
    <w:rsid w:val="00E96FBC"/>
    <w:rsid w:val="00E97353"/>
    <w:rsid w:val="00E9738B"/>
    <w:rsid w:val="00E97507"/>
    <w:rsid w:val="00E97512"/>
    <w:rsid w:val="00EA0281"/>
    <w:rsid w:val="00EA0798"/>
    <w:rsid w:val="00EA0BD3"/>
    <w:rsid w:val="00EA0BFA"/>
    <w:rsid w:val="00EA0C80"/>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611"/>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B08"/>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37E"/>
    <w:rsid w:val="00EC36DD"/>
    <w:rsid w:val="00EC3E81"/>
    <w:rsid w:val="00EC3EC8"/>
    <w:rsid w:val="00EC44E7"/>
    <w:rsid w:val="00EC4D77"/>
    <w:rsid w:val="00EC4D7B"/>
    <w:rsid w:val="00EC4E2E"/>
    <w:rsid w:val="00EC519C"/>
    <w:rsid w:val="00EC555C"/>
    <w:rsid w:val="00EC5B60"/>
    <w:rsid w:val="00EC60A1"/>
    <w:rsid w:val="00EC614D"/>
    <w:rsid w:val="00EC6337"/>
    <w:rsid w:val="00EC6D68"/>
    <w:rsid w:val="00EC6D82"/>
    <w:rsid w:val="00EC7183"/>
    <w:rsid w:val="00EC71AB"/>
    <w:rsid w:val="00EC7EE8"/>
    <w:rsid w:val="00ED0DE8"/>
    <w:rsid w:val="00ED0EB9"/>
    <w:rsid w:val="00ED1A21"/>
    <w:rsid w:val="00ED1A39"/>
    <w:rsid w:val="00ED1CD6"/>
    <w:rsid w:val="00ED2168"/>
    <w:rsid w:val="00ED2C81"/>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2DCE"/>
    <w:rsid w:val="00EE3196"/>
    <w:rsid w:val="00EE3203"/>
    <w:rsid w:val="00EE3318"/>
    <w:rsid w:val="00EE33A6"/>
    <w:rsid w:val="00EE3AFD"/>
    <w:rsid w:val="00EE3DCB"/>
    <w:rsid w:val="00EE44FB"/>
    <w:rsid w:val="00EE4825"/>
    <w:rsid w:val="00EE5112"/>
    <w:rsid w:val="00EE610E"/>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9D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2C8"/>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9E6"/>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B1"/>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2C3"/>
    <w:rsid w:val="00F43F7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A0B"/>
    <w:rsid w:val="00F54B39"/>
    <w:rsid w:val="00F553D1"/>
    <w:rsid w:val="00F558E3"/>
    <w:rsid w:val="00F55AC5"/>
    <w:rsid w:val="00F5625A"/>
    <w:rsid w:val="00F564B4"/>
    <w:rsid w:val="00F56D31"/>
    <w:rsid w:val="00F57183"/>
    <w:rsid w:val="00F57467"/>
    <w:rsid w:val="00F5765A"/>
    <w:rsid w:val="00F57C72"/>
    <w:rsid w:val="00F57E51"/>
    <w:rsid w:val="00F6021A"/>
    <w:rsid w:val="00F6021F"/>
    <w:rsid w:val="00F60845"/>
    <w:rsid w:val="00F60929"/>
    <w:rsid w:val="00F61158"/>
    <w:rsid w:val="00F614D1"/>
    <w:rsid w:val="00F61564"/>
    <w:rsid w:val="00F61FDE"/>
    <w:rsid w:val="00F62143"/>
    <w:rsid w:val="00F62338"/>
    <w:rsid w:val="00F62377"/>
    <w:rsid w:val="00F62504"/>
    <w:rsid w:val="00F62862"/>
    <w:rsid w:val="00F63005"/>
    <w:rsid w:val="00F63289"/>
    <w:rsid w:val="00F639FA"/>
    <w:rsid w:val="00F63A49"/>
    <w:rsid w:val="00F63CD2"/>
    <w:rsid w:val="00F63F71"/>
    <w:rsid w:val="00F6433C"/>
    <w:rsid w:val="00F64561"/>
    <w:rsid w:val="00F648A2"/>
    <w:rsid w:val="00F64928"/>
    <w:rsid w:val="00F64966"/>
    <w:rsid w:val="00F65097"/>
    <w:rsid w:val="00F65961"/>
    <w:rsid w:val="00F65E8A"/>
    <w:rsid w:val="00F65E91"/>
    <w:rsid w:val="00F660B8"/>
    <w:rsid w:val="00F6617D"/>
    <w:rsid w:val="00F66709"/>
    <w:rsid w:val="00F669E3"/>
    <w:rsid w:val="00F66AF7"/>
    <w:rsid w:val="00F672EB"/>
    <w:rsid w:val="00F6753C"/>
    <w:rsid w:val="00F67906"/>
    <w:rsid w:val="00F67A85"/>
    <w:rsid w:val="00F67C1A"/>
    <w:rsid w:val="00F67D0D"/>
    <w:rsid w:val="00F71026"/>
    <w:rsid w:val="00F71042"/>
    <w:rsid w:val="00F710A0"/>
    <w:rsid w:val="00F710D9"/>
    <w:rsid w:val="00F71976"/>
    <w:rsid w:val="00F71F79"/>
    <w:rsid w:val="00F721A1"/>
    <w:rsid w:val="00F724E3"/>
    <w:rsid w:val="00F727AA"/>
    <w:rsid w:val="00F729F2"/>
    <w:rsid w:val="00F72C94"/>
    <w:rsid w:val="00F73B7D"/>
    <w:rsid w:val="00F73DCF"/>
    <w:rsid w:val="00F73F43"/>
    <w:rsid w:val="00F74664"/>
    <w:rsid w:val="00F74791"/>
    <w:rsid w:val="00F747FD"/>
    <w:rsid w:val="00F74A7A"/>
    <w:rsid w:val="00F75C0B"/>
    <w:rsid w:val="00F763DF"/>
    <w:rsid w:val="00F77028"/>
    <w:rsid w:val="00F7792A"/>
    <w:rsid w:val="00F77C47"/>
    <w:rsid w:val="00F77CFA"/>
    <w:rsid w:val="00F802D3"/>
    <w:rsid w:val="00F8078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4D1F"/>
    <w:rsid w:val="00F850EB"/>
    <w:rsid w:val="00F851B4"/>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558"/>
    <w:rsid w:val="00F9590D"/>
    <w:rsid w:val="00F9632D"/>
    <w:rsid w:val="00F9644F"/>
    <w:rsid w:val="00F96479"/>
    <w:rsid w:val="00F965D9"/>
    <w:rsid w:val="00F96C7A"/>
    <w:rsid w:val="00F96E7C"/>
    <w:rsid w:val="00F971D6"/>
    <w:rsid w:val="00F975B5"/>
    <w:rsid w:val="00F97666"/>
    <w:rsid w:val="00F977AE"/>
    <w:rsid w:val="00F97F06"/>
    <w:rsid w:val="00FA0509"/>
    <w:rsid w:val="00FA0ACA"/>
    <w:rsid w:val="00FA0E7C"/>
    <w:rsid w:val="00FA1681"/>
    <w:rsid w:val="00FA17D6"/>
    <w:rsid w:val="00FA1A52"/>
    <w:rsid w:val="00FA1B1E"/>
    <w:rsid w:val="00FA1CBF"/>
    <w:rsid w:val="00FA1D8F"/>
    <w:rsid w:val="00FA1EB0"/>
    <w:rsid w:val="00FA2002"/>
    <w:rsid w:val="00FA224F"/>
    <w:rsid w:val="00FA23B1"/>
    <w:rsid w:val="00FA2526"/>
    <w:rsid w:val="00FA2AB0"/>
    <w:rsid w:val="00FA33A2"/>
    <w:rsid w:val="00FA3871"/>
    <w:rsid w:val="00FA3A0D"/>
    <w:rsid w:val="00FA3C84"/>
    <w:rsid w:val="00FA4131"/>
    <w:rsid w:val="00FA4297"/>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42"/>
    <w:rsid w:val="00FA7A20"/>
    <w:rsid w:val="00FA7AA6"/>
    <w:rsid w:val="00FA7C04"/>
    <w:rsid w:val="00FB0443"/>
    <w:rsid w:val="00FB0540"/>
    <w:rsid w:val="00FB1236"/>
    <w:rsid w:val="00FB15D5"/>
    <w:rsid w:val="00FB18E8"/>
    <w:rsid w:val="00FB19D8"/>
    <w:rsid w:val="00FB22E5"/>
    <w:rsid w:val="00FB2864"/>
    <w:rsid w:val="00FB2D93"/>
    <w:rsid w:val="00FB2F94"/>
    <w:rsid w:val="00FB365F"/>
    <w:rsid w:val="00FB3CD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1E"/>
    <w:rsid w:val="00FC0E12"/>
    <w:rsid w:val="00FC1190"/>
    <w:rsid w:val="00FC16CD"/>
    <w:rsid w:val="00FC1859"/>
    <w:rsid w:val="00FC1AB5"/>
    <w:rsid w:val="00FC22FE"/>
    <w:rsid w:val="00FC23FA"/>
    <w:rsid w:val="00FC2742"/>
    <w:rsid w:val="00FC2AEB"/>
    <w:rsid w:val="00FC35AC"/>
    <w:rsid w:val="00FC37F0"/>
    <w:rsid w:val="00FC3AA3"/>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804"/>
    <w:rsid w:val="00FD282A"/>
    <w:rsid w:val="00FD2A71"/>
    <w:rsid w:val="00FD2BDC"/>
    <w:rsid w:val="00FD3124"/>
    <w:rsid w:val="00FD3905"/>
    <w:rsid w:val="00FD4CC0"/>
    <w:rsid w:val="00FD5999"/>
    <w:rsid w:val="00FD6318"/>
    <w:rsid w:val="00FD652B"/>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8"/>
    <w:rsid w:val="00FE5977"/>
    <w:rsid w:val="00FE5CB2"/>
    <w:rsid w:val="00FE65DB"/>
    <w:rsid w:val="00FE6DEC"/>
    <w:rsid w:val="00FE6EF2"/>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3A5"/>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EDA5"/>
  <w15:docId w15:val="{92D93A6A-5AB4-4F37-A385-8BEEE3E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5Dark-Accent1">
    <w:name w:val="Grid Table 5 Dark Accent 1"/>
    <w:basedOn w:val="TableNormal"/>
    <w:uiPriority w:val="50"/>
    <w:rsid w:val="00D309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070D2C"/>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585472">
      <w:bodyDiv w:val="1"/>
      <w:marLeft w:val="0"/>
      <w:marRight w:val="0"/>
      <w:marTop w:val="0"/>
      <w:marBottom w:val="0"/>
      <w:divBdr>
        <w:top w:val="none" w:sz="0" w:space="0" w:color="auto"/>
        <w:left w:val="none" w:sz="0" w:space="0" w:color="auto"/>
        <w:bottom w:val="none" w:sz="0" w:space="0" w:color="auto"/>
        <w:right w:val="none" w:sz="0" w:space="0" w:color="auto"/>
      </w:divBdr>
    </w:div>
    <w:div w:id="5702247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281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34948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984230">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7332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157879">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8083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7014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3995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5779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8513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768752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HR33RHYHUWRF-4-4922</_dlc_DocId>
    <_dlc_DocIdUrl xmlns="c06861ca-3f08-4d07-bff7-bb15bac121f4">
      <Url>https://projects.qualcomm.com/sites/pentari/_layouts/15/DocIdRedir.aspx?ID=HR33RHYHUWRF-4-4922</Url>
      <Description>HR33RHYHUWRF-4-4922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E6745-A59F-4191-B9C0-CC0B7E42E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809CA-B3B4-4DBB-BA79-4FDD7AAE08A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C6B4537-2613-4B27-BDC5-795D14B26E91}">
  <ds:schemaRefs>
    <ds:schemaRef ds:uri="http://schemas.microsoft.com/sharepoint/v3/contenttype/forms"/>
  </ds:schemaRefs>
</ds:datastoreItem>
</file>

<file path=customXml/itemProps4.xml><?xml version="1.0" encoding="utf-8"?>
<ds:datastoreItem xmlns:ds="http://schemas.openxmlformats.org/officeDocument/2006/customXml" ds:itemID="{925B0008-0887-4F44-8D5B-4264A61B8FCE}">
  <ds:schemaRefs>
    <ds:schemaRef ds:uri="http://schemas.microsoft.com/sharepoint/events"/>
  </ds:schemaRefs>
</ds:datastoreItem>
</file>

<file path=customXml/itemProps5.xml><?xml version="1.0" encoding="utf-8"?>
<ds:datastoreItem xmlns:ds="http://schemas.openxmlformats.org/officeDocument/2006/customXml" ds:itemID="{32AF5ECA-82D5-45BA-9C77-1CE2FF0CB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Yu Zhang</cp:lastModifiedBy>
  <cp:revision>38</cp:revision>
  <cp:lastPrinted>2014-11-07T05:38:00Z</cp:lastPrinted>
  <dcterms:created xsi:type="dcterms:W3CDTF">2017-05-06T09:26:00Z</dcterms:created>
  <dcterms:modified xsi:type="dcterms:W3CDTF">2017-06-17T05:29:00Z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1653073561</vt:i4>
  </property>
  <property fmtid="{D5CDD505-2E9C-101B-9397-08002B2CF9AE}" pid="3" name="_NewReviewCycle">
    <vt:lpwstr/>
  </property>
  <property fmtid="{D5CDD505-2E9C-101B-9397-08002B2CF9AE}" pid="4" name="_EmailSubject">
    <vt:lpwstr>Tdoc for TS2 ready for sub</vt:lpwstr>
  </property>
  <property fmtid="{D5CDD505-2E9C-101B-9397-08002B2CF9AE}" pid="5" name="_AuthorEmail">
    <vt:lpwstr>chenxih@qti.qualcomm.com</vt:lpwstr>
  </property>
  <property fmtid="{D5CDD505-2E9C-101B-9397-08002B2CF9AE}" pid="6" name="_AuthorEmailDisplayName">
    <vt:lpwstr>Chenxi Hao</vt:lpwstr>
  </property>
  <property fmtid="{D5CDD505-2E9C-101B-9397-08002B2CF9AE}" pid="7" name="_PreviousAdHocReviewCycleID">
    <vt:i4>-98562692</vt:i4>
  </property>
  <property fmtid="{D5CDD505-2E9C-101B-9397-08002B2CF9AE}" pid="8" name="_dlc_DocIdItemGuid">
    <vt:lpwstr>fa470971-8451-4883-b231-18a910552397</vt:lpwstr>
  </property>
  <property fmtid="{D5CDD505-2E9C-101B-9397-08002B2CF9AE}" pid="9" name="ContentTypeId">
    <vt:lpwstr>0x010100BC29BFD66497B943AA3B102F0C7B1355</vt:lpwstr>
  </property>
</Properties>
</file>