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24DCD104"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FB3F12" w:rsidRPr="00FB3F12">
        <w:rPr>
          <w:sz w:val="24"/>
          <w:lang w:val="en-US" w:eastAsia="ja-JP"/>
        </w:rPr>
        <w:t>NR Ad-Hoc#2</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2D031E">
        <w:rPr>
          <w:sz w:val="24"/>
          <w:lang w:val="en-US"/>
        </w:rPr>
        <w:t>11117</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092B54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87D3C" w:rsidRPr="00C24F17">
        <w:rPr>
          <w:sz w:val="24"/>
          <w:lang w:val="en-US" w:eastAsia="ja-JP"/>
        </w:rPr>
        <w:t xml:space="preserve">Processing time and HARQ process number </w:t>
      </w:r>
      <w:r w:rsidR="00887D3C">
        <w:rPr>
          <w:rFonts w:eastAsiaTheme="minorEastAsia"/>
          <w:sz w:val="24"/>
          <w:lang w:val="en-US" w:eastAsia="ja-JP"/>
        </w:rPr>
        <w:t>for NR</w:t>
      </w:r>
    </w:p>
    <w:bookmarkEnd w:id="2"/>
    <w:bookmarkEnd w:id="3"/>
    <w:bookmarkEnd w:id="4"/>
    <w:bookmarkEnd w:id="5"/>
    <w:p w14:paraId="02FF14B3" w14:textId="62EAA0A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887D3C">
        <w:rPr>
          <w:sz w:val="24"/>
          <w:lang w:val="en-US" w:eastAsia="ja-JP"/>
        </w:rPr>
        <w:t>3.6</w:t>
      </w:r>
      <w:r w:rsidR="003B55F7">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8E566C7" w14:textId="77777777" w:rsidR="00AB28A6" w:rsidRDefault="00AB28A6" w:rsidP="00AB28A6">
      <w:pPr>
        <w:spacing w:afterLines="50" w:after="120"/>
        <w:jc w:val="both"/>
        <w:rPr>
          <w:rFonts w:eastAsia="ＭＳ 明朝"/>
          <w:sz w:val="22"/>
          <w:lang w:val="en-US"/>
        </w:rPr>
      </w:pPr>
      <w:r>
        <w:rPr>
          <w:rFonts w:eastAsia="ＭＳ 明朝"/>
          <w:sz w:val="22"/>
          <w:lang w:val="en-US"/>
        </w:rPr>
        <w:t>At the previous RAN1 meetings, following agreements were achieved [1] – [3].</w:t>
      </w:r>
    </w:p>
    <w:tbl>
      <w:tblPr>
        <w:tblStyle w:val="afa"/>
        <w:tblW w:w="0" w:type="auto"/>
        <w:tblLook w:val="04A0" w:firstRow="1" w:lastRow="0" w:firstColumn="1" w:lastColumn="0" w:noHBand="0" w:noVBand="1"/>
      </w:tblPr>
      <w:tblGrid>
        <w:gridCol w:w="10170"/>
      </w:tblGrid>
      <w:tr w:rsidR="00AB28A6" w14:paraId="0466BDB0" w14:textId="77777777" w:rsidTr="00785171">
        <w:tc>
          <w:tcPr>
            <w:tcW w:w="10170" w:type="dxa"/>
          </w:tcPr>
          <w:p w14:paraId="53A4B855" w14:textId="77777777" w:rsidR="00AB28A6" w:rsidRPr="00012AE2" w:rsidRDefault="00AB28A6" w:rsidP="00785171">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71407F20"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5259DE31"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16E2A179" w14:textId="1AD25C40" w:rsidR="00AB28A6" w:rsidRPr="004774DB" w:rsidRDefault="00AB28A6" w:rsidP="00785171">
            <w:pPr>
              <w:numPr>
                <w:ilvl w:val="0"/>
                <w:numId w:val="11"/>
              </w:numPr>
              <w:spacing w:after="0"/>
              <w:jc w:val="both"/>
              <w:rPr>
                <w:rFonts w:eastAsia="ＭＳ 明朝"/>
                <w:sz w:val="22"/>
                <w:lang w:val="en-US"/>
              </w:rPr>
            </w:pPr>
            <w:r w:rsidRPr="00012AE2">
              <w:rPr>
                <w:rFonts w:eastAsia="ＭＳ 明朝" w:hint="eastAsia"/>
                <w:sz w:val="22"/>
                <w:lang w:val="en-US"/>
              </w:rPr>
              <w:t>FFS: URLLC case</w:t>
            </w:r>
          </w:p>
          <w:p w14:paraId="0F59629F" w14:textId="77777777" w:rsidR="00AB28A6" w:rsidRPr="00012AE2" w:rsidRDefault="00AB28A6" w:rsidP="00785171">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7329220F"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C0C916A"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59333BA4"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FFS: Conditions on supporting above 2 bullets</w:t>
            </w:r>
          </w:p>
          <w:p w14:paraId="1D83DBE5"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Note: This does not mean the gNB has to schedule back-to-back</w:t>
            </w:r>
          </w:p>
          <w:p w14:paraId="6697A772" w14:textId="77777777" w:rsidR="00AB28A6"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p w14:paraId="62FFB6A6" w14:textId="77777777" w:rsidR="00AB28A6" w:rsidRPr="00CF5AB9" w:rsidRDefault="00AB28A6" w:rsidP="00785171">
            <w:pPr>
              <w:spacing w:after="0"/>
              <w:rPr>
                <w:rFonts w:eastAsia="ＭＳ 明朝"/>
                <w:b/>
                <w:sz w:val="22"/>
                <w:u w:val="single"/>
              </w:rPr>
            </w:pPr>
            <w:r w:rsidRPr="00CF5AB9">
              <w:rPr>
                <w:rFonts w:eastAsia="ＭＳ 明朝" w:hint="eastAsia"/>
                <w:b/>
                <w:sz w:val="22"/>
                <w:highlight w:val="green"/>
                <w:u w:val="single"/>
              </w:rPr>
              <w:t>Agreements:</w:t>
            </w:r>
          </w:p>
          <w:p w14:paraId="070EF046" w14:textId="77777777" w:rsidR="00AB28A6" w:rsidRPr="00CF5AB9" w:rsidRDefault="00AB28A6" w:rsidP="00AB28A6">
            <w:pPr>
              <w:numPr>
                <w:ilvl w:val="0"/>
                <w:numId w:val="12"/>
              </w:numPr>
              <w:spacing w:after="0"/>
              <w:rPr>
                <w:rFonts w:eastAsia="ＭＳ 明朝"/>
                <w:sz w:val="22"/>
              </w:rPr>
            </w:pPr>
            <w:r w:rsidRPr="00CF5AB9">
              <w:rPr>
                <w:rFonts w:eastAsia="ＭＳ 明朝" w:hint="eastAsia"/>
                <w:sz w:val="22"/>
              </w:rPr>
              <w:t>NR UE supports a set of minimum HARQ processing time</w:t>
            </w:r>
          </w:p>
          <w:p w14:paraId="63246B78" w14:textId="77777777" w:rsidR="00AB28A6" w:rsidRPr="00CF5AB9" w:rsidRDefault="00AB28A6" w:rsidP="00AB28A6">
            <w:pPr>
              <w:numPr>
                <w:ilvl w:val="1"/>
                <w:numId w:val="12"/>
              </w:numPr>
              <w:spacing w:after="0"/>
              <w:rPr>
                <w:rFonts w:eastAsia="ＭＳ 明朝"/>
                <w:sz w:val="22"/>
              </w:rPr>
            </w:pPr>
            <w:r w:rsidRPr="00CF5AB9">
              <w:rPr>
                <w:rFonts w:eastAsia="ＭＳ 明朝" w:hint="eastAsia"/>
                <w:sz w:val="22"/>
              </w:rPr>
              <w:t>FFS: set size</w:t>
            </w:r>
          </w:p>
          <w:p w14:paraId="073BC3B9" w14:textId="77777777" w:rsidR="00AB28A6" w:rsidRPr="00CF5AB9" w:rsidRDefault="00AB28A6" w:rsidP="00AB28A6">
            <w:pPr>
              <w:numPr>
                <w:ilvl w:val="0"/>
                <w:numId w:val="12"/>
              </w:numPr>
              <w:spacing w:after="0"/>
              <w:rPr>
                <w:rFonts w:eastAsia="ＭＳ 明朝"/>
                <w:sz w:val="22"/>
              </w:rPr>
            </w:pPr>
            <w:r w:rsidRPr="00CF5AB9">
              <w:rPr>
                <w:rFonts w:eastAsia="ＭＳ 明朝"/>
                <w:sz w:val="22"/>
              </w:rPr>
              <w:t>NR supports different minimum HARQ processing time</w:t>
            </w:r>
            <w:r w:rsidRPr="00CF5AB9">
              <w:rPr>
                <w:rFonts w:eastAsia="ＭＳ 明朝" w:hint="eastAsia"/>
                <w:sz w:val="22"/>
              </w:rPr>
              <w:t xml:space="preserve"> at least for across UEs</w:t>
            </w:r>
          </w:p>
          <w:p w14:paraId="1AD03D9E" w14:textId="77777777" w:rsidR="00AB28A6" w:rsidRPr="00CF5AB9" w:rsidRDefault="00AB28A6" w:rsidP="00AB28A6">
            <w:pPr>
              <w:numPr>
                <w:ilvl w:val="1"/>
                <w:numId w:val="12"/>
              </w:numPr>
              <w:spacing w:after="0"/>
              <w:rPr>
                <w:rFonts w:eastAsia="ＭＳ 明朝"/>
                <w:sz w:val="22"/>
              </w:rPr>
            </w:pPr>
            <w:r w:rsidRPr="00CF5AB9">
              <w:rPr>
                <w:rFonts w:eastAsia="ＭＳ 明朝"/>
                <w:sz w:val="22"/>
              </w:rPr>
              <w:t>The HARQ processing time at least includes:</w:t>
            </w:r>
          </w:p>
          <w:p w14:paraId="41D88CB9" w14:textId="77777777" w:rsidR="00AB28A6" w:rsidRPr="00CF5AB9" w:rsidRDefault="00AB28A6" w:rsidP="00AB28A6">
            <w:pPr>
              <w:numPr>
                <w:ilvl w:val="2"/>
                <w:numId w:val="12"/>
              </w:numPr>
              <w:spacing w:after="0"/>
              <w:rPr>
                <w:rFonts w:eastAsia="ＭＳ 明朝"/>
                <w:sz w:val="22"/>
              </w:rPr>
            </w:pPr>
            <w:r w:rsidRPr="00CF5AB9">
              <w:rPr>
                <w:rFonts w:eastAsia="ＭＳ 明朝"/>
                <w:sz w:val="22"/>
              </w:rPr>
              <w:t>Delay between DL data reception timing to the corresponding HARQ-ACK transmission timing</w:t>
            </w:r>
          </w:p>
          <w:p w14:paraId="2B9B6322" w14:textId="77777777" w:rsidR="00AB28A6" w:rsidRPr="00CF5AB9" w:rsidRDefault="00AB28A6" w:rsidP="00AB28A6">
            <w:pPr>
              <w:numPr>
                <w:ilvl w:val="2"/>
                <w:numId w:val="12"/>
              </w:numPr>
              <w:spacing w:after="0"/>
              <w:rPr>
                <w:rFonts w:eastAsia="ＭＳ 明朝"/>
                <w:sz w:val="22"/>
              </w:rPr>
            </w:pPr>
            <w:r w:rsidRPr="00CF5AB9">
              <w:rPr>
                <w:rFonts w:eastAsia="ＭＳ 明朝"/>
                <w:sz w:val="22"/>
              </w:rPr>
              <w:t xml:space="preserve">Delay between UL grant reception timing to the corresponding </w:t>
            </w:r>
            <w:r w:rsidRPr="00CF5AB9">
              <w:rPr>
                <w:rFonts w:eastAsia="ＭＳ 明朝"/>
                <w:sz w:val="22"/>
              </w:rPr>
              <w:br/>
              <w:t>UL data transmission timing</w:t>
            </w:r>
          </w:p>
          <w:p w14:paraId="0336E599" w14:textId="77777777" w:rsidR="00AB28A6" w:rsidRPr="00CF5AB9" w:rsidRDefault="00AB28A6" w:rsidP="00AB28A6">
            <w:pPr>
              <w:numPr>
                <w:ilvl w:val="1"/>
                <w:numId w:val="12"/>
              </w:numPr>
              <w:spacing w:after="0"/>
              <w:rPr>
                <w:rFonts w:eastAsia="ＭＳ 明朝"/>
                <w:sz w:val="22"/>
              </w:rPr>
            </w:pPr>
            <w:r w:rsidRPr="00CF5AB9">
              <w:rPr>
                <w:rFonts w:eastAsia="ＭＳ 明朝"/>
                <w:sz w:val="22"/>
              </w:rPr>
              <w:t xml:space="preserve">NR UE is required to </w:t>
            </w:r>
            <w:r w:rsidRPr="00CF5AB9">
              <w:rPr>
                <w:rFonts w:eastAsia="ＭＳ 明朝" w:hint="eastAsia"/>
                <w:sz w:val="22"/>
              </w:rPr>
              <w:t>indicate</w:t>
            </w:r>
            <w:r w:rsidRPr="00CF5AB9">
              <w:rPr>
                <w:rFonts w:eastAsia="ＭＳ 明朝"/>
                <w:sz w:val="22"/>
              </w:rPr>
              <w:t xml:space="preserve"> its capability of minimum HARQ processing time to gNB</w:t>
            </w:r>
          </w:p>
          <w:p w14:paraId="6C12D4AE" w14:textId="77777777" w:rsidR="00AB28A6" w:rsidRPr="00CF5AB9" w:rsidRDefault="00AB28A6" w:rsidP="00AB28A6">
            <w:pPr>
              <w:numPr>
                <w:ilvl w:val="2"/>
                <w:numId w:val="12"/>
              </w:numPr>
              <w:spacing w:after="0"/>
              <w:rPr>
                <w:rFonts w:eastAsia="ＭＳ 明朝"/>
                <w:sz w:val="22"/>
              </w:rPr>
            </w:pPr>
            <w:r w:rsidRPr="00CF5AB9">
              <w:rPr>
                <w:rFonts w:eastAsia="ＭＳ 明朝"/>
                <w:sz w:val="22"/>
              </w:rPr>
              <w:t xml:space="preserve">FFS </w:t>
            </w:r>
            <w:r w:rsidRPr="00CF5AB9">
              <w:rPr>
                <w:rFonts w:eastAsia="ＭＳ 明朝" w:hint="eastAsia"/>
                <w:sz w:val="22"/>
              </w:rPr>
              <w:t>how the capability is indicated by UE</w:t>
            </w:r>
          </w:p>
          <w:p w14:paraId="2975F699" w14:textId="77777777" w:rsidR="00AB28A6" w:rsidRPr="00CF5AB9" w:rsidRDefault="00AB28A6" w:rsidP="00AB28A6">
            <w:pPr>
              <w:numPr>
                <w:ilvl w:val="3"/>
                <w:numId w:val="12"/>
              </w:numPr>
              <w:spacing w:after="0"/>
              <w:rPr>
                <w:rFonts w:eastAsia="ＭＳ 明朝"/>
                <w:sz w:val="22"/>
              </w:rPr>
            </w:pPr>
            <w:r w:rsidRPr="00CF5AB9">
              <w:rPr>
                <w:rFonts w:eastAsia="ＭＳ 明朝"/>
                <w:sz w:val="22"/>
              </w:rPr>
              <w:t>e.g. reported processing time granularity</w:t>
            </w:r>
          </w:p>
          <w:p w14:paraId="2D821ED4" w14:textId="77777777" w:rsidR="00AB28A6" w:rsidRPr="00CF5AB9" w:rsidRDefault="00AB28A6" w:rsidP="00AB28A6">
            <w:pPr>
              <w:numPr>
                <w:ilvl w:val="3"/>
                <w:numId w:val="12"/>
              </w:numPr>
              <w:spacing w:after="0"/>
              <w:rPr>
                <w:rFonts w:eastAsia="ＭＳ 明朝"/>
                <w:sz w:val="22"/>
              </w:rPr>
            </w:pPr>
            <w:r w:rsidRPr="00CF5AB9">
              <w:rPr>
                <w:rFonts w:eastAsia="ＭＳ 明朝" w:hint="eastAsia"/>
                <w:sz w:val="22"/>
              </w:rPr>
              <w:t>e.g. dependency of DMRS pattern configuration</w:t>
            </w:r>
          </w:p>
          <w:p w14:paraId="4604444B" w14:textId="0929A7AD" w:rsidR="00AB28A6" w:rsidRPr="004774DB" w:rsidRDefault="00AB28A6" w:rsidP="00785171">
            <w:pPr>
              <w:numPr>
                <w:ilvl w:val="1"/>
                <w:numId w:val="12"/>
              </w:numPr>
              <w:spacing w:after="0"/>
              <w:rPr>
                <w:rFonts w:eastAsia="ＭＳ 明朝"/>
                <w:sz w:val="22"/>
                <w:lang w:val="en-US"/>
              </w:rPr>
            </w:pPr>
            <w:r w:rsidRPr="00CF5AB9">
              <w:rPr>
                <w:rFonts w:eastAsia="ＭＳ 明朝" w:hint="eastAsia"/>
                <w:sz w:val="22"/>
              </w:rPr>
              <w:t xml:space="preserve">FFS definition of </w:t>
            </w:r>
            <w:r w:rsidRPr="00CF5AB9">
              <w:rPr>
                <w:rFonts w:eastAsia="ＭＳ 明朝"/>
                <w:sz w:val="22"/>
              </w:rPr>
              <w:t>minimum HARQ processing time</w:t>
            </w:r>
          </w:p>
          <w:p w14:paraId="2CBCC4F1" w14:textId="77777777" w:rsidR="00AB28A6" w:rsidRPr="00FB7397" w:rsidRDefault="00AB28A6" w:rsidP="00785171">
            <w:pPr>
              <w:spacing w:after="0"/>
              <w:rPr>
                <w:rFonts w:eastAsia="ＭＳ 明朝"/>
                <w:b/>
                <w:iCs/>
                <w:sz w:val="22"/>
                <w:u w:val="single"/>
              </w:rPr>
            </w:pPr>
            <w:r w:rsidRPr="00FB7397">
              <w:rPr>
                <w:rFonts w:eastAsia="ＭＳ 明朝" w:hint="eastAsia"/>
                <w:b/>
                <w:iCs/>
                <w:sz w:val="22"/>
                <w:highlight w:val="green"/>
                <w:u w:val="single"/>
              </w:rPr>
              <w:t>Agreements:</w:t>
            </w:r>
          </w:p>
          <w:p w14:paraId="60DC2744" w14:textId="77777777" w:rsidR="00AB28A6" w:rsidRPr="00FB7397" w:rsidRDefault="00AB28A6" w:rsidP="00AB28A6">
            <w:pPr>
              <w:numPr>
                <w:ilvl w:val="0"/>
                <w:numId w:val="13"/>
              </w:numPr>
              <w:spacing w:after="0"/>
              <w:rPr>
                <w:rFonts w:eastAsia="ＭＳ 明朝"/>
                <w:iCs/>
                <w:sz w:val="22"/>
                <w:lang w:val="en-US"/>
              </w:rPr>
            </w:pPr>
            <w:r w:rsidRPr="00FB7397">
              <w:rPr>
                <w:rFonts w:eastAsia="ＭＳ 明朝"/>
                <w:iCs/>
                <w:sz w:val="22"/>
              </w:rPr>
              <w:t>A</w:t>
            </w:r>
            <w:r w:rsidRPr="00FB7397">
              <w:rPr>
                <w:rFonts w:eastAsia="ＭＳ 明朝"/>
                <w:iCs/>
                <w:sz w:val="22"/>
                <w:lang w:val="en-US"/>
              </w:rPr>
              <w:t xml:space="preserve"> set of reference parameters is used for the purpose of soft buffer dimensioning</w:t>
            </w:r>
          </w:p>
          <w:p w14:paraId="78DB541C"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A reference set of parameters includes at least DL HARQ RTT [</w:t>
            </w:r>
            <w:r w:rsidRPr="00FB7397">
              <w:rPr>
                <w:rFonts w:eastAsia="ＭＳ 明朝"/>
                <w:i/>
                <w:iCs/>
                <w:sz w:val="22"/>
                <w:lang w:val="en-US"/>
              </w:rPr>
              <w:t>Y</w:t>
            </w:r>
            <w:r w:rsidRPr="00FB7397">
              <w:rPr>
                <w:rFonts w:eastAsia="ＭＳ 明朝"/>
                <w:iCs/>
                <w:sz w:val="22"/>
                <w:lang w:val="en-US"/>
              </w:rPr>
              <w:t xml:space="preserve"> ms] and data rate(s) of </w:t>
            </w:r>
            <w:r w:rsidRPr="00FB7397">
              <w:rPr>
                <w:rFonts w:eastAsia="ＭＳ 明朝"/>
                <w:i/>
                <w:iCs/>
                <w:sz w:val="22"/>
                <w:lang w:val="en-US"/>
              </w:rPr>
              <w:t>X</w:t>
            </w:r>
            <w:r w:rsidRPr="00FB7397">
              <w:rPr>
                <w:rFonts w:eastAsia="ＭＳ 明朝"/>
                <w:iCs/>
                <w:sz w:val="22"/>
                <w:lang w:val="en-US"/>
              </w:rPr>
              <w:t xml:space="preserve"> Gbps </w:t>
            </w:r>
          </w:p>
          <w:p w14:paraId="1136B26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 xml:space="preserve">FFS: values of </w:t>
            </w:r>
            <w:r w:rsidRPr="00FB7397">
              <w:rPr>
                <w:rFonts w:eastAsia="ＭＳ 明朝"/>
                <w:i/>
                <w:iCs/>
                <w:sz w:val="22"/>
                <w:lang w:val="en-US"/>
              </w:rPr>
              <w:t>X</w:t>
            </w:r>
            <w:r w:rsidRPr="00FB7397">
              <w:rPr>
                <w:rFonts w:eastAsia="ＭＳ 明朝"/>
                <w:iCs/>
                <w:sz w:val="22"/>
                <w:lang w:val="en-US"/>
              </w:rPr>
              <w:t xml:space="preserve"> and </w:t>
            </w:r>
            <w:r w:rsidRPr="00FB7397">
              <w:rPr>
                <w:rFonts w:eastAsia="ＭＳ 明朝"/>
                <w:i/>
                <w:iCs/>
                <w:sz w:val="22"/>
                <w:lang w:val="en-US"/>
              </w:rPr>
              <w:t>Y</w:t>
            </w:r>
          </w:p>
          <w:p w14:paraId="7A66F98C"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hint="eastAsia"/>
                <w:iCs/>
                <w:sz w:val="22"/>
                <w:lang w:val="en-US"/>
              </w:rPr>
              <w:t>FFS</w:t>
            </w:r>
            <w:r w:rsidRPr="00FB7397">
              <w:rPr>
                <w:rFonts w:eastAsia="ＭＳ 明朝"/>
                <w:iCs/>
                <w:sz w:val="22"/>
                <w:lang w:val="en-US"/>
              </w:rPr>
              <w:t>:</w:t>
            </w:r>
            <w:r w:rsidRPr="00FB7397">
              <w:rPr>
                <w:rFonts w:eastAsia="ＭＳ 明朝" w:hint="eastAsia"/>
                <w:iCs/>
                <w:sz w:val="22"/>
                <w:lang w:val="en-US"/>
              </w:rPr>
              <w:t xml:space="preserve"> other conditions</w:t>
            </w:r>
          </w:p>
          <w:p w14:paraId="5B8071C9"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This does not imply UE has to have a HARQ-ACK timing based on the reference HARQ RTT</w:t>
            </w:r>
          </w:p>
          <w:p w14:paraId="699A04A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FFS: how different UE categories are defined</w:t>
            </w:r>
          </w:p>
          <w:p w14:paraId="54B19CA9"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LBRM is taken into account</w:t>
            </w:r>
          </w:p>
          <w:p w14:paraId="3CD3F45C" w14:textId="77777777" w:rsidR="00AB28A6" w:rsidRPr="00FB7397" w:rsidRDefault="00AB28A6" w:rsidP="00AB28A6">
            <w:pPr>
              <w:numPr>
                <w:ilvl w:val="0"/>
                <w:numId w:val="13"/>
              </w:numPr>
              <w:spacing w:after="0"/>
              <w:rPr>
                <w:rFonts w:eastAsia="ＭＳ 明朝"/>
                <w:iCs/>
                <w:sz w:val="22"/>
                <w:lang w:val="en-US"/>
              </w:rPr>
            </w:pPr>
            <w:r w:rsidRPr="00FB7397">
              <w:rPr>
                <w:rFonts w:eastAsia="ＭＳ 明朝"/>
                <w:iCs/>
                <w:sz w:val="22"/>
                <w:lang w:val="en-US"/>
              </w:rPr>
              <w:t xml:space="preserve">Maximum number of HARQ processes per carrier supported in NR is 8 or 16 </w:t>
            </w:r>
          </w:p>
          <w:p w14:paraId="2A5235A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hint="eastAsia"/>
                <w:iCs/>
                <w:sz w:val="22"/>
                <w:lang w:val="en-US"/>
              </w:rPr>
              <w:t xml:space="preserve">This is </w:t>
            </w:r>
            <w:r w:rsidRPr="00FB7397">
              <w:rPr>
                <w:rFonts w:eastAsia="ＭＳ 明朝"/>
                <w:iCs/>
                <w:sz w:val="22"/>
                <w:lang w:val="en-US"/>
              </w:rPr>
              <w:t xml:space="preserve">at least </w:t>
            </w:r>
            <w:r w:rsidRPr="00FB7397">
              <w:rPr>
                <w:rFonts w:eastAsia="ＭＳ 明朝" w:hint="eastAsia"/>
                <w:iCs/>
                <w:sz w:val="22"/>
                <w:lang w:val="en-US"/>
              </w:rPr>
              <w:t>for the single numerology case</w:t>
            </w:r>
            <w:r w:rsidRPr="00FB7397">
              <w:rPr>
                <w:rFonts w:eastAsia="ＭＳ 明朝"/>
                <w:iCs/>
                <w:sz w:val="22"/>
                <w:lang w:val="en-US"/>
              </w:rPr>
              <w:t xml:space="preserve"> and a slot-level scheduling and single-TRxP transmission</w:t>
            </w:r>
          </w:p>
          <w:p w14:paraId="2EE1256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FFS: down-selection of 8 or 16</w:t>
            </w:r>
          </w:p>
          <w:p w14:paraId="0E64C32D"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FFS: soft-buffer handling</w:t>
            </w:r>
          </w:p>
          <w:p w14:paraId="4AA05842"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 xml:space="preserve">FFS: the value may be different depending on a certain condition (e.g., subcarrier spacing) </w:t>
            </w:r>
          </w:p>
        </w:tc>
      </w:tr>
    </w:tbl>
    <w:p w14:paraId="7487B704" w14:textId="77777777" w:rsidR="00AB28A6" w:rsidRDefault="00AB28A6" w:rsidP="00AB28A6">
      <w:pPr>
        <w:spacing w:afterLines="50" w:after="120"/>
        <w:jc w:val="both"/>
        <w:rPr>
          <w:rFonts w:eastAsia="ＭＳ 明朝"/>
          <w:sz w:val="22"/>
          <w:lang w:val="en-US"/>
        </w:rPr>
      </w:pPr>
    </w:p>
    <w:p w14:paraId="1585097E" w14:textId="77777777" w:rsidR="00AB28A6" w:rsidRPr="00F92981" w:rsidRDefault="00AB28A6" w:rsidP="00AB28A6">
      <w:pPr>
        <w:spacing w:afterLines="50" w:after="120"/>
        <w:jc w:val="both"/>
        <w:rPr>
          <w:rFonts w:eastAsia="ＭＳ 明朝"/>
          <w:sz w:val="22"/>
          <w:lang w:val="en-US"/>
        </w:rPr>
      </w:pPr>
      <w:r>
        <w:rPr>
          <w:rFonts w:eastAsia="ＭＳ 明朝" w:hint="eastAsia"/>
          <w:sz w:val="22"/>
          <w:lang w:val="en-US"/>
        </w:rPr>
        <w:t xml:space="preserve">In this contribution, </w:t>
      </w:r>
      <w:r>
        <w:rPr>
          <w:rFonts w:eastAsia="ＭＳ 明朝"/>
          <w:sz w:val="22"/>
          <w:lang w:val="en-US"/>
        </w:rPr>
        <w:t xml:space="preserve">maximum number of HARQ processes is discussed. </w:t>
      </w:r>
    </w:p>
    <w:p w14:paraId="0E0AD8F3" w14:textId="77777777" w:rsidR="00AB28A6" w:rsidRPr="00AB28A6" w:rsidRDefault="00AB28A6" w:rsidP="00D52C8D">
      <w:pPr>
        <w:spacing w:beforeLines="50" w:before="120" w:afterLines="50" w:after="120"/>
        <w:jc w:val="both"/>
        <w:rPr>
          <w:rFonts w:eastAsia="ＭＳ 明朝"/>
          <w:sz w:val="22"/>
          <w:lang w:val="en-US"/>
        </w:rPr>
      </w:pPr>
    </w:p>
    <w:p w14:paraId="408AFFCA" w14:textId="7A24081A" w:rsidR="009B284C" w:rsidRPr="005D0A85" w:rsidRDefault="00AB28A6" w:rsidP="00A65BF3">
      <w:pPr>
        <w:pStyle w:val="1"/>
        <w:numPr>
          <w:ilvl w:val="0"/>
          <w:numId w:val="5"/>
        </w:numPr>
        <w:spacing w:after="120"/>
        <w:jc w:val="both"/>
        <w:rPr>
          <w:b/>
          <w:lang w:val="en-US"/>
        </w:rPr>
      </w:pPr>
      <w:r>
        <w:rPr>
          <w:b/>
          <w:lang w:val="en-US"/>
        </w:rPr>
        <w:lastRenderedPageBreak/>
        <w:t>Analysis on HARQ RTT</w:t>
      </w:r>
      <w:r w:rsidR="000B296C">
        <w:rPr>
          <w:b/>
          <w:lang w:val="en-US"/>
        </w:rPr>
        <w:t xml:space="preserve"> and necessary number of HARQ processes</w:t>
      </w:r>
    </w:p>
    <w:p w14:paraId="25615055" w14:textId="1F8E2A01" w:rsidR="004774DB" w:rsidRDefault="004774DB" w:rsidP="00CE6AFD">
      <w:pPr>
        <w:spacing w:afterLines="50" w:after="120"/>
        <w:jc w:val="both"/>
        <w:rPr>
          <w:rFonts w:eastAsia="ＭＳ 明朝"/>
          <w:sz w:val="22"/>
          <w:lang w:val="en-US"/>
        </w:rPr>
      </w:pPr>
      <w:r>
        <w:rPr>
          <w:rFonts w:eastAsia="ＭＳ 明朝"/>
          <w:sz w:val="22"/>
          <w:lang w:val="en-US"/>
        </w:rPr>
        <w:t>LTE adopt</w:t>
      </w:r>
      <w:r w:rsidR="00CE6AFD" w:rsidRPr="00D50FB5">
        <w:rPr>
          <w:rFonts w:eastAsia="ＭＳ 明朝"/>
          <w:sz w:val="22"/>
          <w:lang w:val="en-US"/>
        </w:rPr>
        <w:t>s multiple stop-and-wait</w:t>
      </w:r>
      <w:r w:rsidR="00CE6AFD" w:rsidRPr="00D50FB5">
        <w:rPr>
          <w:rFonts w:eastAsia="ＭＳ 明朝" w:hint="eastAsia"/>
          <w:sz w:val="22"/>
          <w:lang w:val="en-US"/>
        </w:rPr>
        <w:t xml:space="preserve"> </w:t>
      </w:r>
      <w:r w:rsidR="00CE6AFD" w:rsidRPr="00D50FB5">
        <w:rPr>
          <w:rFonts w:eastAsia="ＭＳ 明朝"/>
          <w:sz w:val="22"/>
          <w:lang w:val="en-US"/>
        </w:rPr>
        <w:t>HARQ processes operating in parallel to make sure that one UE can achieve peak data rate of the given carrier</w:t>
      </w:r>
      <w:r w:rsidR="00570C61">
        <w:rPr>
          <w:rFonts w:eastAsia="ＭＳ 明朝"/>
          <w:sz w:val="22"/>
          <w:lang w:val="en-US"/>
        </w:rPr>
        <w:t xml:space="preserve"> with</w:t>
      </w:r>
      <w:r w:rsidR="002D031E">
        <w:rPr>
          <w:rFonts w:eastAsia="ＭＳ 明朝"/>
          <w:sz w:val="22"/>
          <w:lang w:val="en-US"/>
        </w:rPr>
        <w:t xml:space="preserve"> allowing</w:t>
      </w:r>
      <w:r w:rsidR="00570C61">
        <w:rPr>
          <w:rFonts w:eastAsia="ＭＳ 明朝"/>
          <w:sz w:val="22"/>
          <w:lang w:val="en-US"/>
        </w:rPr>
        <w:t xml:space="preserve"> reasonable processing time at BS and UE</w:t>
      </w:r>
      <w:r w:rsidR="00CE6AFD" w:rsidRPr="00D50FB5">
        <w:rPr>
          <w:rFonts w:eastAsia="ＭＳ 明朝"/>
          <w:sz w:val="22"/>
          <w:lang w:val="en-US"/>
        </w:rPr>
        <w:t>. The number of the parallel DL/UL HARQ processes is determined by the DL</w:t>
      </w:r>
      <w:r w:rsidR="00CE6AFD">
        <w:rPr>
          <w:rFonts w:eastAsia="ＭＳ 明朝"/>
          <w:sz w:val="22"/>
          <w:lang w:val="en-US"/>
        </w:rPr>
        <w:t>/UL</w:t>
      </w:r>
      <w:r w:rsidR="00CE6AFD" w:rsidRPr="00D50FB5">
        <w:rPr>
          <w:rFonts w:eastAsia="ＭＳ 明朝"/>
          <w:sz w:val="22"/>
          <w:lang w:val="en-US"/>
        </w:rPr>
        <w:t xml:space="preserve"> HARQ RTT which equals to </w:t>
      </w:r>
      <w:r w:rsidR="00CE6AFD">
        <w:rPr>
          <w:rFonts w:eastAsia="ＭＳ 明朝"/>
          <w:sz w:val="22"/>
          <w:lang w:val="en-US"/>
        </w:rPr>
        <w:t xml:space="preserve">the </w:t>
      </w:r>
      <w:r w:rsidR="00CE6AFD" w:rsidRPr="00D50FB5">
        <w:rPr>
          <w:rFonts w:eastAsia="ＭＳ 明朝"/>
          <w:sz w:val="22"/>
          <w:lang w:val="en-US"/>
        </w:rPr>
        <w:t>sum of four parts: DL</w:t>
      </w:r>
      <w:r w:rsidR="00CE6AFD">
        <w:rPr>
          <w:rFonts w:eastAsia="ＭＳ 明朝"/>
          <w:sz w:val="22"/>
          <w:lang w:val="en-US"/>
        </w:rPr>
        <w:t>/UL</w:t>
      </w:r>
      <w:r w:rsidR="00CE6AFD" w:rsidRPr="00D50FB5">
        <w:rPr>
          <w:rFonts w:eastAsia="ＭＳ 明朝"/>
          <w:sz w:val="22"/>
          <w:lang w:val="en-US"/>
        </w:rPr>
        <w:t xml:space="preserve"> data transmission time interval (TTI), processing time at UE</w:t>
      </w:r>
      <w:r w:rsidR="00CE6AFD">
        <w:rPr>
          <w:rFonts w:eastAsia="ＭＳ 明朝"/>
          <w:sz w:val="22"/>
          <w:lang w:val="en-US"/>
        </w:rPr>
        <w:t>/BS</w:t>
      </w:r>
      <w:r w:rsidR="00CE6AFD" w:rsidRPr="00D50FB5">
        <w:rPr>
          <w:rFonts w:eastAsia="ＭＳ 明朝"/>
          <w:sz w:val="22"/>
          <w:lang w:val="en-US"/>
        </w:rPr>
        <w:t xml:space="preserve"> side, TTI of HARQ acknowledgement in the uplink</w:t>
      </w:r>
      <w:r w:rsidR="00CE6AFD">
        <w:rPr>
          <w:rFonts w:eastAsia="ＭＳ 明朝"/>
          <w:sz w:val="22"/>
          <w:lang w:val="en-US"/>
        </w:rPr>
        <w:t>/downlink</w:t>
      </w:r>
      <w:r w:rsidR="00CE6AFD" w:rsidRPr="00D50FB5">
        <w:rPr>
          <w:rFonts w:eastAsia="ＭＳ 明朝"/>
          <w:sz w:val="22"/>
          <w:lang w:val="en-US"/>
        </w:rPr>
        <w:t xml:space="preserve"> and processing time at BS</w:t>
      </w:r>
      <w:r w:rsidR="00CE6AFD">
        <w:rPr>
          <w:rFonts w:eastAsia="ＭＳ 明朝"/>
          <w:sz w:val="22"/>
          <w:lang w:val="en-US"/>
        </w:rPr>
        <w:t>/UE</w:t>
      </w:r>
      <w:r w:rsidR="00CE6AFD" w:rsidRPr="00D50FB5">
        <w:rPr>
          <w:rFonts w:eastAsia="ＭＳ 明朝"/>
          <w:sz w:val="22"/>
          <w:lang w:val="en-US"/>
        </w:rPr>
        <w:t xml:space="preserve"> side. </w:t>
      </w:r>
      <w:r w:rsidR="002D031E">
        <w:rPr>
          <w:rFonts w:eastAsia="ＭＳ 明朝"/>
          <w:sz w:val="22"/>
          <w:lang w:val="en-US"/>
        </w:rPr>
        <w:t>As for the processing time at BS and UE, 3 TTIs (3ms) is assumed. As a consequence, LTE supports at least following as the maximum number of HARQ processes:</w:t>
      </w:r>
    </w:p>
    <w:p w14:paraId="6CD35068" w14:textId="3CD8D270" w:rsidR="002D031E" w:rsidRPr="00FB3F12" w:rsidRDefault="002D031E" w:rsidP="00CE6AFD">
      <w:pPr>
        <w:spacing w:afterLines="50" w:after="120"/>
        <w:jc w:val="both"/>
        <w:rPr>
          <w:rFonts w:eastAsia="ＭＳ 明朝"/>
          <w:b/>
          <w:sz w:val="22"/>
          <w:lang w:val="en-US"/>
        </w:rPr>
      </w:pPr>
      <w:r w:rsidRPr="00FB3F12">
        <w:rPr>
          <w:rFonts w:eastAsia="ＭＳ 明朝"/>
          <w:b/>
          <w:sz w:val="22"/>
          <w:lang w:val="en-US"/>
        </w:rPr>
        <w:t>For downlink:</w:t>
      </w:r>
    </w:p>
    <w:p w14:paraId="650DDC57" w14:textId="5193B8BE" w:rsidR="002D031E" w:rsidRPr="00FB3F12" w:rsidRDefault="002D031E" w:rsidP="00FB3F12">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FDD and CA with FDD-PCell: 8</w:t>
      </w:r>
    </w:p>
    <w:p w14:paraId="621F80D9" w14:textId="762E9CC0" w:rsidR="002D031E" w:rsidRPr="00FB3F12" w:rsidRDefault="002D031E" w:rsidP="00FB3F12">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TDD and CA with TDD-PCell: following tables</w:t>
      </w:r>
    </w:p>
    <w:p w14:paraId="57F48E8E" w14:textId="7933EA3D" w:rsidR="002D031E" w:rsidRPr="00FB3F12" w:rsidRDefault="002D031E" w:rsidP="00FB3F12">
      <w:pPr>
        <w:jc w:val="center"/>
        <w:rPr>
          <w:rFonts w:eastAsia="ＭＳ 明朝"/>
          <w:sz w:val="22"/>
        </w:rPr>
      </w:pPr>
      <w:r w:rsidRPr="00FB3F12">
        <w:rPr>
          <w:rFonts w:eastAsia="ＭＳ 明朝"/>
          <w:sz w:val="22"/>
        </w:rPr>
        <w:t xml:space="preserve">Table 1. </w:t>
      </w:r>
      <w:r w:rsidR="00777968" w:rsidRPr="00FB3F12">
        <w:rPr>
          <w:rFonts w:eastAsia="ＭＳ 明朝"/>
          <w:sz w:val="22"/>
        </w:rPr>
        <w:t>Max</w:t>
      </w:r>
      <w:r w:rsidRPr="00FB3F12">
        <w:rPr>
          <w:rFonts w:eastAsia="ＭＳ 明朝"/>
          <w:sz w:val="22"/>
        </w:rPr>
        <w:t xml:space="preserve"> n</w:t>
      </w:r>
      <w:r w:rsidR="00777968" w:rsidRPr="00FB3F12">
        <w:rPr>
          <w:rFonts w:eastAsia="ＭＳ 明朝"/>
          <w:sz w:val="22"/>
        </w:rPr>
        <w:t>o.</w:t>
      </w:r>
      <w:r w:rsidRPr="00FB3F12">
        <w:rPr>
          <w:rFonts w:eastAsia="ＭＳ 明朝"/>
          <w:sz w:val="22"/>
        </w:rPr>
        <w:t xml:space="preserve"> of DL HARQ processes for TDD</w:t>
      </w:r>
    </w:p>
    <w:tbl>
      <w:tblPr>
        <w:tblW w:w="0" w:type="auto"/>
        <w:jc w:val="center"/>
        <w:tblLook w:val="01E0" w:firstRow="1" w:lastRow="1" w:firstColumn="1" w:lastColumn="1" w:noHBand="0" w:noVBand="0"/>
      </w:tblPr>
      <w:tblGrid>
        <w:gridCol w:w="2611"/>
        <w:gridCol w:w="3675"/>
      </w:tblGrid>
      <w:tr w:rsidR="002D031E" w:rsidRPr="00777968" w14:paraId="27E9C6E1"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C0DD28C" w14:textId="77777777" w:rsidR="002D031E" w:rsidRPr="00FB3F12" w:rsidRDefault="002D031E" w:rsidP="00FB3F12">
            <w:pPr>
              <w:jc w:val="center"/>
              <w:rPr>
                <w:rFonts w:eastAsia="ＭＳ 明朝"/>
                <w:sz w:val="22"/>
              </w:rPr>
            </w:pPr>
            <w:r w:rsidRPr="00FB3F12">
              <w:rPr>
                <w:rFonts w:eastAsia="ＭＳ 明朝"/>
                <w:sz w:val="22"/>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9533375" w14:textId="77777777" w:rsidR="002D031E" w:rsidRPr="00FB3F12" w:rsidRDefault="002D031E" w:rsidP="00FB3F12">
            <w:pPr>
              <w:jc w:val="center"/>
              <w:rPr>
                <w:rFonts w:eastAsia="ＭＳ 明朝"/>
                <w:sz w:val="22"/>
              </w:rPr>
            </w:pPr>
            <w:r w:rsidRPr="00FB3F12">
              <w:rPr>
                <w:rFonts w:eastAsia="ＭＳ 明朝"/>
                <w:sz w:val="22"/>
              </w:rPr>
              <w:t>Maximum number of HARQ processes</w:t>
            </w:r>
          </w:p>
        </w:tc>
      </w:tr>
      <w:tr w:rsidR="002D031E" w:rsidRPr="002D031E" w14:paraId="62736D0B"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4E7F6221" w14:textId="77777777" w:rsidR="002D031E" w:rsidRPr="002D031E" w:rsidRDefault="002D031E" w:rsidP="00FB3F12">
            <w:pPr>
              <w:jc w:val="center"/>
              <w:rPr>
                <w:rFonts w:eastAsia="ＭＳ 明朝"/>
                <w:sz w:val="22"/>
              </w:rPr>
            </w:pPr>
            <w:r w:rsidRPr="002D031E">
              <w:rPr>
                <w:rFonts w:eastAsia="ＭＳ 明朝"/>
                <w:sz w:val="22"/>
              </w:rPr>
              <w:t>0</w:t>
            </w:r>
          </w:p>
        </w:tc>
        <w:tc>
          <w:tcPr>
            <w:tcW w:w="0" w:type="auto"/>
            <w:tcBorders>
              <w:top w:val="single" w:sz="4" w:space="0" w:color="auto"/>
              <w:left w:val="single" w:sz="4" w:space="0" w:color="auto"/>
              <w:bottom w:val="single" w:sz="4" w:space="0" w:color="auto"/>
              <w:right w:val="single" w:sz="4" w:space="0" w:color="auto"/>
            </w:tcBorders>
          </w:tcPr>
          <w:p w14:paraId="07E47544" w14:textId="77777777" w:rsidR="002D031E" w:rsidRPr="002D031E" w:rsidRDefault="002D031E" w:rsidP="00FB3F12">
            <w:pPr>
              <w:jc w:val="center"/>
              <w:rPr>
                <w:rFonts w:eastAsia="ＭＳ 明朝"/>
                <w:sz w:val="22"/>
              </w:rPr>
            </w:pPr>
            <w:r w:rsidRPr="002D031E">
              <w:rPr>
                <w:rFonts w:eastAsia="ＭＳ 明朝"/>
                <w:sz w:val="22"/>
              </w:rPr>
              <w:t>4</w:t>
            </w:r>
          </w:p>
        </w:tc>
      </w:tr>
      <w:tr w:rsidR="002D031E" w:rsidRPr="002D031E" w14:paraId="50B10ACA"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012B39CF"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tcPr>
          <w:p w14:paraId="72556282" w14:textId="77777777" w:rsidR="002D031E" w:rsidRPr="002D031E" w:rsidRDefault="002D031E" w:rsidP="00FB3F12">
            <w:pPr>
              <w:jc w:val="center"/>
              <w:rPr>
                <w:rFonts w:eastAsia="ＭＳ 明朝"/>
                <w:sz w:val="22"/>
              </w:rPr>
            </w:pPr>
            <w:r w:rsidRPr="002D031E">
              <w:rPr>
                <w:rFonts w:eastAsia="ＭＳ 明朝"/>
                <w:sz w:val="22"/>
              </w:rPr>
              <w:t>7</w:t>
            </w:r>
          </w:p>
        </w:tc>
      </w:tr>
      <w:tr w:rsidR="002D031E" w:rsidRPr="002D031E" w14:paraId="04583703"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32F7CC9D"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tcPr>
          <w:p w14:paraId="677165B8" w14:textId="77777777" w:rsidR="002D031E" w:rsidRPr="002D031E" w:rsidRDefault="002D031E" w:rsidP="00FB3F12">
            <w:pPr>
              <w:jc w:val="center"/>
              <w:rPr>
                <w:rFonts w:eastAsia="ＭＳ 明朝"/>
                <w:sz w:val="22"/>
              </w:rPr>
            </w:pPr>
            <w:r w:rsidRPr="002D031E">
              <w:rPr>
                <w:rFonts w:eastAsia="ＭＳ 明朝"/>
                <w:sz w:val="22"/>
              </w:rPr>
              <w:t>10</w:t>
            </w:r>
          </w:p>
        </w:tc>
      </w:tr>
      <w:tr w:rsidR="002D031E" w:rsidRPr="002D031E" w14:paraId="49156C8E"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47432889"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tcPr>
          <w:p w14:paraId="7676DD51" w14:textId="77777777" w:rsidR="002D031E" w:rsidRPr="002D031E" w:rsidRDefault="002D031E" w:rsidP="00FB3F12">
            <w:pPr>
              <w:jc w:val="center"/>
              <w:rPr>
                <w:rFonts w:eastAsia="ＭＳ 明朝"/>
                <w:sz w:val="22"/>
              </w:rPr>
            </w:pPr>
            <w:r w:rsidRPr="002D031E">
              <w:rPr>
                <w:rFonts w:eastAsia="ＭＳ 明朝"/>
                <w:sz w:val="22"/>
              </w:rPr>
              <w:t>9</w:t>
            </w:r>
          </w:p>
        </w:tc>
      </w:tr>
      <w:tr w:rsidR="002D031E" w:rsidRPr="002D031E" w14:paraId="6E69A652"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55F24E70"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tcPr>
          <w:p w14:paraId="4BB80A22" w14:textId="77777777" w:rsidR="002D031E" w:rsidRPr="002D031E" w:rsidRDefault="002D031E" w:rsidP="00FB3F12">
            <w:pPr>
              <w:jc w:val="center"/>
              <w:rPr>
                <w:rFonts w:eastAsia="ＭＳ 明朝"/>
                <w:sz w:val="22"/>
              </w:rPr>
            </w:pPr>
            <w:r w:rsidRPr="002D031E">
              <w:rPr>
                <w:rFonts w:eastAsia="ＭＳ 明朝"/>
                <w:sz w:val="22"/>
              </w:rPr>
              <w:t>12</w:t>
            </w:r>
          </w:p>
        </w:tc>
      </w:tr>
      <w:tr w:rsidR="002D031E" w:rsidRPr="002D031E" w14:paraId="088A39A1"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661E8E2C" w14:textId="77777777" w:rsidR="002D031E" w:rsidRPr="002D031E" w:rsidRDefault="002D031E" w:rsidP="00FB3F12">
            <w:pPr>
              <w:jc w:val="center"/>
              <w:rPr>
                <w:rFonts w:eastAsia="ＭＳ 明朝"/>
                <w:sz w:val="22"/>
              </w:rPr>
            </w:pPr>
            <w:r w:rsidRPr="002D031E">
              <w:rPr>
                <w:rFonts w:eastAsia="ＭＳ 明朝"/>
                <w:sz w:val="22"/>
              </w:rPr>
              <w:t>5</w:t>
            </w:r>
          </w:p>
        </w:tc>
        <w:tc>
          <w:tcPr>
            <w:tcW w:w="0" w:type="auto"/>
            <w:tcBorders>
              <w:top w:val="single" w:sz="4" w:space="0" w:color="auto"/>
              <w:left w:val="single" w:sz="4" w:space="0" w:color="auto"/>
              <w:bottom w:val="single" w:sz="4" w:space="0" w:color="auto"/>
              <w:right w:val="single" w:sz="4" w:space="0" w:color="auto"/>
            </w:tcBorders>
          </w:tcPr>
          <w:p w14:paraId="3D412DE3" w14:textId="77777777" w:rsidR="002D031E" w:rsidRPr="002D031E" w:rsidRDefault="002D031E" w:rsidP="00FB3F12">
            <w:pPr>
              <w:jc w:val="center"/>
              <w:rPr>
                <w:rFonts w:eastAsia="ＭＳ 明朝"/>
                <w:sz w:val="22"/>
              </w:rPr>
            </w:pPr>
            <w:r w:rsidRPr="002D031E">
              <w:rPr>
                <w:rFonts w:eastAsia="ＭＳ 明朝"/>
                <w:sz w:val="22"/>
              </w:rPr>
              <w:t>15</w:t>
            </w:r>
          </w:p>
        </w:tc>
      </w:tr>
      <w:tr w:rsidR="002D031E" w:rsidRPr="002D031E" w14:paraId="1F9CF669"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39D19900"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tcPr>
          <w:p w14:paraId="38E761BA" w14:textId="77777777" w:rsidR="002D031E" w:rsidRPr="002D031E" w:rsidRDefault="002D031E" w:rsidP="00FB3F12">
            <w:pPr>
              <w:jc w:val="center"/>
              <w:rPr>
                <w:rFonts w:eastAsia="ＭＳ 明朝"/>
                <w:sz w:val="22"/>
              </w:rPr>
            </w:pPr>
            <w:r w:rsidRPr="002D031E">
              <w:rPr>
                <w:rFonts w:eastAsia="ＭＳ 明朝"/>
                <w:sz w:val="22"/>
              </w:rPr>
              <w:t>6</w:t>
            </w:r>
          </w:p>
        </w:tc>
      </w:tr>
    </w:tbl>
    <w:p w14:paraId="63A5EBD1" w14:textId="77777777" w:rsidR="002D031E" w:rsidRPr="002D031E" w:rsidRDefault="002D031E" w:rsidP="00FB3F12">
      <w:pPr>
        <w:jc w:val="center"/>
        <w:rPr>
          <w:rFonts w:eastAsia="ＭＳ 明朝"/>
          <w:sz w:val="22"/>
        </w:rPr>
      </w:pPr>
    </w:p>
    <w:p w14:paraId="6F548A50" w14:textId="2B79951E" w:rsidR="002D031E" w:rsidRPr="00FB3F12" w:rsidRDefault="002D031E" w:rsidP="00FB3F12">
      <w:pPr>
        <w:jc w:val="center"/>
        <w:rPr>
          <w:rFonts w:eastAsia="ＭＳ 明朝"/>
          <w:sz w:val="22"/>
          <w:lang w:val="x-none"/>
        </w:rPr>
      </w:pPr>
      <w:r w:rsidRPr="00FB3F12">
        <w:rPr>
          <w:rFonts w:eastAsia="ＭＳ 明朝"/>
          <w:sz w:val="22"/>
          <w:lang w:val="x-none"/>
        </w:rPr>
        <w:t xml:space="preserve">Table 2. Max no. of DL HARQ processes for </w:t>
      </w:r>
      <w:r w:rsidRPr="00FB3F12">
        <w:rPr>
          <w:rFonts w:eastAsia="ＭＳ 明朝"/>
          <w:sz w:val="22"/>
        </w:rPr>
        <w:t>FDD-TDD, primary cell FS2, and serving cell FS1</w:t>
      </w:r>
    </w:p>
    <w:tbl>
      <w:tblPr>
        <w:tblW w:w="0" w:type="auto"/>
        <w:jc w:val="center"/>
        <w:tblLook w:val="01E0" w:firstRow="1" w:lastRow="1" w:firstColumn="1" w:lastColumn="1" w:noHBand="0" w:noVBand="0"/>
      </w:tblPr>
      <w:tblGrid>
        <w:gridCol w:w="2444"/>
        <w:gridCol w:w="3675"/>
      </w:tblGrid>
      <w:tr w:rsidR="002D031E" w:rsidRPr="00777968" w14:paraId="7AE968A5"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194B13A7" w14:textId="77777777" w:rsidR="002D031E" w:rsidRPr="00FB3F12" w:rsidRDefault="002D031E" w:rsidP="00FB3F12">
            <w:pPr>
              <w:jc w:val="center"/>
              <w:rPr>
                <w:rFonts w:eastAsia="ＭＳ 明朝"/>
                <w:sz w:val="22"/>
              </w:rPr>
            </w:pPr>
            <w:r w:rsidRPr="00FB3F12">
              <w:rPr>
                <w:rFonts w:eastAsia="ＭＳ 明朝"/>
                <w:sz w:val="22"/>
              </w:rPr>
              <w:t>DL-reference UL/DL</w:t>
            </w:r>
          </w:p>
          <w:p w14:paraId="703DB96B" w14:textId="77777777" w:rsidR="002D031E" w:rsidRPr="00FB3F12" w:rsidRDefault="002D031E" w:rsidP="00FB3F12">
            <w:pPr>
              <w:jc w:val="center"/>
              <w:rPr>
                <w:rFonts w:eastAsia="ＭＳ 明朝"/>
                <w:sz w:val="22"/>
              </w:rPr>
            </w:pPr>
            <w:r w:rsidRPr="00FB3F12">
              <w:rPr>
                <w:rFonts w:eastAsia="ＭＳ 明朝"/>
                <w:sz w:val="22"/>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AFF3037" w14:textId="77777777" w:rsidR="002D031E" w:rsidRPr="00FB3F12" w:rsidRDefault="002D031E" w:rsidP="00FB3F12">
            <w:pPr>
              <w:jc w:val="center"/>
              <w:rPr>
                <w:rFonts w:eastAsia="ＭＳ 明朝"/>
                <w:sz w:val="22"/>
              </w:rPr>
            </w:pPr>
            <w:r w:rsidRPr="00FB3F12">
              <w:rPr>
                <w:rFonts w:eastAsia="ＭＳ 明朝"/>
                <w:sz w:val="22"/>
              </w:rPr>
              <w:t>Maximum number of HARQ processes</w:t>
            </w:r>
          </w:p>
        </w:tc>
      </w:tr>
      <w:tr w:rsidR="002D031E" w:rsidRPr="002D031E" w14:paraId="1CF25E18"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67608AC2" w14:textId="77777777" w:rsidR="002D031E" w:rsidRPr="002D031E" w:rsidRDefault="002D031E" w:rsidP="00FB3F12">
            <w:pPr>
              <w:jc w:val="center"/>
              <w:rPr>
                <w:rFonts w:eastAsia="ＭＳ 明朝"/>
                <w:sz w:val="22"/>
              </w:rPr>
            </w:pPr>
            <w:r w:rsidRPr="002D031E">
              <w:rPr>
                <w:rFonts w:eastAsia="ＭＳ 明朝"/>
                <w:sz w:val="22"/>
              </w:rPr>
              <w:t>0</w:t>
            </w:r>
          </w:p>
        </w:tc>
        <w:tc>
          <w:tcPr>
            <w:tcW w:w="0" w:type="auto"/>
            <w:tcBorders>
              <w:top w:val="single" w:sz="4" w:space="0" w:color="auto"/>
              <w:left w:val="single" w:sz="4" w:space="0" w:color="auto"/>
              <w:bottom w:val="single" w:sz="4" w:space="0" w:color="auto"/>
              <w:right w:val="single" w:sz="4" w:space="0" w:color="auto"/>
            </w:tcBorders>
          </w:tcPr>
          <w:p w14:paraId="7DB82863" w14:textId="77777777" w:rsidR="002D031E" w:rsidRPr="002D031E" w:rsidRDefault="002D031E" w:rsidP="00FB3F12">
            <w:pPr>
              <w:jc w:val="center"/>
              <w:rPr>
                <w:rFonts w:eastAsia="ＭＳ 明朝"/>
                <w:sz w:val="22"/>
              </w:rPr>
            </w:pPr>
            <w:r w:rsidRPr="002D031E">
              <w:rPr>
                <w:rFonts w:eastAsia="ＭＳ 明朝"/>
                <w:sz w:val="22"/>
              </w:rPr>
              <w:t>10</w:t>
            </w:r>
          </w:p>
        </w:tc>
      </w:tr>
      <w:tr w:rsidR="002D031E" w:rsidRPr="002D031E" w14:paraId="3B2C2E05"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19108993"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tcPr>
          <w:p w14:paraId="2A7A917D" w14:textId="77777777" w:rsidR="002D031E" w:rsidRPr="002D031E" w:rsidRDefault="002D031E" w:rsidP="00FB3F12">
            <w:pPr>
              <w:jc w:val="center"/>
              <w:rPr>
                <w:rFonts w:eastAsia="ＭＳ 明朝"/>
                <w:sz w:val="22"/>
              </w:rPr>
            </w:pPr>
            <w:r w:rsidRPr="002D031E">
              <w:rPr>
                <w:rFonts w:eastAsia="ＭＳ 明朝"/>
                <w:sz w:val="22"/>
              </w:rPr>
              <w:t>11</w:t>
            </w:r>
          </w:p>
        </w:tc>
      </w:tr>
      <w:tr w:rsidR="002D031E" w:rsidRPr="002D031E" w14:paraId="320FF01B"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28EE45D7"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tcPr>
          <w:p w14:paraId="57FA22A5" w14:textId="77777777" w:rsidR="002D031E" w:rsidRPr="002D031E" w:rsidRDefault="002D031E" w:rsidP="00FB3F12">
            <w:pPr>
              <w:jc w:val="center"/>
              <w:rPr>
                <w:rFonts w:eastAsia="ＭＳ 明朝"/>
                <w:sz w:val="22"/>
              </w:rPr>
            </w:pPr>
            <w:r w:rsidRPr="002D031E">
              <w:rPr>
                <w:rFonts w:eastAsia="ＭＳ 明朝"/>
                <w:sz w:val="22"/>
              </w:rPr>
              <w:t>12</w:t>
            </w:r>
          </w:p>
        </w:tc>
      </w:tr>
      <w:tr w:rsidR="002D031E" w:rsidRPr="002D031E" w14:paraId="0456D6CC"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287AFF52"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tcPr>
          <w:p w14:paraId="11A1B985" w14:textId="77777777" w:rsidR="002D031E" w:rsidRPr="002D031E" w:rsidRDefault="002D031E" w:rsidP="00FB3F12">
            <w:pPr>
              <w:jc w:val="center"/>
              <w:rPr>
                <w:rFonts w:eastAsia="ＭＳ 明朝"/>
                <w:sz w:val="22"/>
              </w:rPr>
            </w:pPr>
            <w:r w:rsidRPr="002D031E">
              <w:rPr>
                <w:rFonts w:eastAsia="ＭＳ 明朝"/>
                <w:sz w:val="22"/>
              </w:rPr>
              <w:t>15</w:t>
            </w:r>
          </w:p>
        </w:tc>
      </w:tr>
      <w:tr w:rsidR="002D031E" w:rsidRPr="002D031E" w14:paraId="50FF0590"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127AFB6C"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tcPr>
          <w:p w14:paraId="130C1143" w14:textId="77777777" w:rsidR="002D031E" w:rsidRPr="002D031E" w:rsidRDefault="002D031E" w:rsidP="00FB3F12">
            <w:pPr>
              <w:jc w:val="center"/>
              <w:rPr>
                <w:rFonts w:eastAsia="ＭＳ 明朝"/>
                <w:sz w:val="22"/>
              </w:rPr>
            </w:pPr>
            <w:r w:rsidRPr="002D031E">
              <w:rPr>
                <w:rFonts w:eastAsia="ＭＳ 明朝"/>
                <w:sz w:val="22"/>
              </w:rPr>
              <w:t>16</w:t>
            </w:r>
          </w:p>
        </w:tc>
      </w:tr>
      <w:tr w:rsidR="002D031E" w:rsidRPr="002D031E" w14:paraId="0249F213"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6285576D" w14:textId="77777777" w:rsidR="002D031E" w:rsidRPr="002D031E" w:rsidRDefault="002D031E" w:rsidP="00FB3F12">
            <w:pPr>
              <w:jc w:val="center"/>
              <w:rPr>
                <w:rFonts w:eastAsia="ＭＳ 明朝"/>
                <w:sz w:val="22"/>
              </w:rPr>
            </w:pPr>
            <w:r w:rsidRPr="002D031E">
              <w:rPr>
                <w:rFonts w:eastAsia="ＭＳ 明朝"/>
                <w:sz w:val="22"/>
              </w:rPr>
              <w:t>5</w:t>
            </w:r>
          </w:p>
        </w:tc>
        <w:tc>
          <w:tcPr>
            <w:tcW w:w="0" w:type="auto"/>
            <w:tcBorders>
              <w:top w:val="single" w:sz="4" w:space="0" w:color="auto"/>
              <w:left w:val="single" w:sz="4" w:space="0" w:color="auto"/>
              <w:bottom w:val="single" w:sz="4" w:space="0" w:color="auto"/>
              <w:right w:val="single" w:sz="4" w:space="0" w:color="auto"/>
            </w:tcBorders>
          </w:tcPr>
          <w:p w14:paraId="3077E2F1" w14:textId="77777777" w:rsidR="002D031E" w:rsidRPr="002D031E" w:rsidRDefault="002D031E" w:rsidP="00FB3F12">
            <w:pPr>
              <w:jc w:val="center"/>
              <w:rPr>
                <w:rFonts w:eastAsia="ＭＳ 明朝"/>
                <w:sz w:val="22"/>
              </w:rPr>
            </w:pPr>
            <w:r w:rsidRPr="002D031E">
              <w:rPr>
                <w:rFonts w:eastAsia="ＭＳ 明朝"/>
                <w:sz w:val="22"/>
              </w:rPr>
              <w:t>16</w:t>
            </w:r>
          </w:p>
        </w:tc>
      </w:tr>
      <w:tr w:rsidR="002D031E" w:rsidRPr="002D031E" w14:paraId="6206D4CC"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69D8710E"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tcPr>
          <w:p w14:paraId="2F762219" w14:textId="77777777" w:rsidR="002D031E" w:rsidRPr="002D031E" w:rsidRDefault="002D031E" w:rsidP="00FB3F12">
            <w:pPr>
              <w:jc w:val="center"/>
              <w:rPr>
                <w:rFonts w:eastAsia="ＭＳ 明朝"/>
                <w:sz w:val="22"/>
              </w:rPr>
            </w:pPr>
            <w:r w:rsidRPr="002D031E">
              <w:rPr>
                <w:rFonts w:eastAsia="ＭＳ 明朝"/>
                <w:sz w:val="22"/>
              </w:rPr>
              <w:t>12</w:t>
            </w:r>
          </w:p>
        </w:tc>
      </w:tr>
    </w:tbl>
    <w:p w14:paraId="3B1E8D65" w14:textId="77777777" w:rsidR="002D031E" w:rsidRPr="002D031E" w:rsidRDefault="002D031E" w:rsidP="00FB3F12">
      <w:pPr>
        <w:jc w:val="center"/>
        <w:rPr>
          <w:rFonts w:eastAsia="ＭＳ 明朝"/>
          <w:sz w:val="22"/>
        </w:rPr>
      </w:pPr>
    </w:p>
    <w:p w14:paraId="2906C230" w14:textId="639BFC22" w:rsidR="002D031E" w:rsidRPr="00FB3F12" w:rsidRDefault="002D031E" w:rsidP="002D031E">
      <w:pPr>
        <w:spacing w:afterLines="50" w:after="120"/>
        <w:jc w:val="both"/>
        <w:rPr>
          <w:rFonts w:eastAsia="ＭＳ 明朝"/>
          <w:b/>
          <w:sz w:val="22"/>
          <w:lang w:val="en-US"/>
        </w:rPr>
      </w:pPr>
      <w:r w:rsidRPr="00FB3F12">
        <w:rPr>
          <w:rFonts w:eastAsia="ＭＳ 明朝"/>
          <w:b/>
          <w:sz w:val="22"/>
          <w:lang w:val="en-US"/>
        </w:rPr>
        <w:t>For uplink:</w:t>
      </w:r>
    </w:p>
    <w:p w14:paraId="03548116" w14:textId="77777777" w:rsidR="002D031E" w:rsidRPr="00FB3F12" w:rsidRDefault="002D031E" w:rsidP="002D031E">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FDD and CA with FDD-PCell: 8</w:t>
      </w:r>
    </w:p>
    <w:p w14:paraId="25C69CAF" w14:textId="30219C7D" w:rsidR="002D031E" w:rsidRPr="00FB3F12" w:rsidRDefault="002D031E" w:rsidP="00FB3F12">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TDD and CA with TDD-PCell: following table</w:t>
      </w:r>
    </w:p>
    <w:p w14:paraId="2EE30A78" w14:textId="75FC3EF8" w:rsidR="002D031E" w:rsidRPr="00FB3F12" w:rsidRDefault="00777968" w:rsidP="00FB3F12">
      <w:pPr>
        <w:jc w:val="center"/>
        <w:rPr>
          <w:rFonts w:eastAsia="ＭＳ 明朝"/>
          <w:sz w:val="22"/>
        </w:rPr>
      </w:pPr>
      <w:r w:rsidRPr="00FB3F12">
        <w:rPr>
          <w:rFonts w:eastAsia="ＭＳ 明朝"/>
          <w:sz w:val="22"/>
        </w:rPr>
        <w:t>Table 3.</w:t>
      </w:r>
      <w:r w:rsidR="002D031E" w:rsidRPr="00FB3F12">
        <w:rPr>
          <w:rFonts w:eastAsia="ＭＳ 明朝"/>
          <w:sz w:val="22"/>
        </w:rPr>
        <w:t xml:space="preserve"> N</w:t>
      </w:r>
      <w:r w:rsidRPr="00FB3F12">
        <w:rPr>
          <w:rFonts w:eastAsia="ＭＳ 明朝"/>
          <w:sz w:val="22"/>
        </w:rPr>
        <w:t>o.</w:t>
      </w:r>
      <w:r w:rsidR="002D031E" w:rsidRPr="00FB3F12">
        <w:rPr>
          <w:rFonts w:eastAsia="ＭＳ 明朝"/>
          <w:sz w:val="22"/>
        </w:rPr>
        <w:t xml:space="preserve"> of synchronous UL HARQ processes for TDD</w:t>
      </w:r>
    </w:p>
    <w:tbl>
      <w:tblPr>
        <w:tblW w:w="0" w:type="auto"/>
        <w:jc w:val="center"/>
        <w:tblLook w:val="01E0" w:firstRow="1" w:lastRow="1" w:firstColumn="1" w:lastColumn="1" w:noHBand="0" w:noVBand="0"/>
      </w:tblPr>
      <w:tblGrid>
        <w:gridCol w:w="2611"/>
        <w:gridCol w:w="2752"/>
        <w:gridCol w:w="3070"/>
      </w:tblGrid>
      <w:tr w:rsidR="002D031E" w:rsidRPr="00777968" w14:paraId="491B8084"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157123" w14:textId="77777777" w:rsidR="002D031E" w:rsidRPr="00FB3F12" w:rsidRDefault="002D031E" w:rsidP="00FB3F12">
            <w:pPr>
              <w:jc w:val="center"/>
              <w:rPr>
                <w:rFonts w:eastAsia="ＭＳ 明朝"/>
                <w:sz w:val="22"/>
              </w:rPr>
            </w:pPr>
            <w:r w:rsidRPr="00FB3F12">
              <w:rPr>
                <w:rFonts w:eastAsia="ＭＳ 明朝"/>
                <w:sz w:val="22"/>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A239DB" w14:textId="77777777" w:rsidR="002D031E" w:rsidRPr="00FB3F12" w:rsidRDefault="002D031E" w:rsidP="00FB3F12">
            <w:pPr>
              <w:jc w:val="center"/>
              <w:rPr>
                <w:rFonts w:eastAsia="ＭＳ 明朝"/>
                <w:sz w:val="22"/>
              </w:rPr>
            </w:pPr>
            <w:r w:rsidRPr="00FB3F12">
              <w:rPr>
                <w:rFonts w:eastAsia="ＭＳ 明朝"/>
                <w:sz w:val="22"/>
              </w:rPr>
              <w:t>Number of HARQ processes</w:t>
            </w:r>
          </w:p>
          <w:p w14:paraId="26928736" w14:textId="23BC3D27" w:rsidR="002D031E" w:rsidRPr="00FB3F12" w:rsidRDefault="002D031E" w:rsidP="00FB3F12">
            <w:pPr>
              <w:jc w:val="center"/>
              <w:rPr>
                <w:rFonts w:eastAsia="ＭＳ 明朝"/>
                <w:sz w:val="22"/>
              </w:rPr>
            </w:pPr>
            <w:r w:rsidRPr="00FB3F12">
              <w:rPr>
                <w:rFonts w:eastAsia="ＭＳ 明朝"/>
                <w:sz w:val="22"/>
              </w:rPr>
              <w:t>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59F7CF" w14:textId="0782CF3F" w:rsidR="002D031E" w:rsidRPr="00FB3F12" w:rsidRDefault="002D031E" w:rsidP="00FB3F12">
            <w:pPr>
              <w:jc w:val="center"/>
              <w:rPr>
                <w:rFonts w:eastAsia="ＭＳ 明朝"/>
                <w:sz w:val="22"/>
              </w:rPr>
            </w:pPr>
            <w:r w:rsidRPr="00FB3F12">
              <w:rPr>
                <w:rFonts w:eastAsia="ＭＳ 明朝"/>
                <w:sz w:val="22"/>
              </w:rPr>
              <w:t>Number of HARQ processes</w:t>
            </w:r>
          </w:p>
          <w:p w14:paraId="3C84AE32" w14:textId="77777777" w:rsidR="002D031E" w:rsidRPr="00FB3F12" w:rsidRDefault="002D031E" w:rsidP="00FB3F12">
            <w:pPr>
              <w:jc w:val="center"/>
              <w:rPr>
                <w:rFonts w:eastAsia="ＭＳ 明朝"/>
                <w:sz w:val="22"/>
              </w:rPr>
            </w:pPr>
            <w:r w:rsidRPr="00FB3F12">
              <w:rPr>
                <w:rFonts w:eastAsia="ＭＳ 明朝"/>
                <w:sz w:val="22"/>
              </w:rPr>
              <w:t>for subframe bundling operation</w:t>
            </w:r>
          </w:p>
        </w:tc>
      </w:tr>
      <w:tr w:rsidR="002D031E" w:rsidRPr="002D031E" w14:paraId="157E361A"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1E2550" w14:textId="77777777" w:rsidR="002D031E" w:rsidRPr="002D031E" w:rsidRDefault="002D031E" w:rsidP="00FB3F12">
            <w:pPr>
              <w:jc w:val="center"/>
              <w:rPr>
                <w:rFonts w:eastAsia="ＭＳ 明朝"/>
                <w:sz w:val="22"/>
              </w:rPr>
            </w:pPr>
            <w:r w:rsidRPr="002D031E">
              <w:rPr>
                <w:rFonts w:eastAsia="ＭＳ 明朝"/>
                <w:sz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28A5458" w14:textId="77777777" w:rsidR="002D031E" w:rsidRPr="002D031E" w:rsidRDefault="002D031E" w:rsidP="00FB3F12">
            <w:pPr>
              <w:jc w:val="center"/>
              <w:rPr>
                <w:rFonts w:eastAsia="ＭＳ 明朝"/>
                <w:sz w:val="22"/>
              </w:rPr>
            </w:pPr>
            <w:r w:rsidRPr="002D031E">
              <w:rPr>
                <w:rFonts w:eastAsia="ＭＳ 明朝"/>
                <w:sz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0FD26520" w14:textId="77777777" w:rsidR="002D031E" w:rsidRPr="002D031E" w:rsidRDefault="002D031E" w:rsidP="00FB3F12">
            <w:pPr>
              <w:jc w:val="center"/>
              <w:rPr>
                <w:rFonts w:eastAsia="ＭＳ 明朝"/>
                <w:sz w:val="22"/>
              </w:rPr>
            </w:pPr>
            <w:r w:rsidRPr="002D031E">
              <w:rPr>
                <w:rFonts w:eastAsia="ＭＳ 明朝"/>
                <w:sz w:val="22"/>
              </w:rPr>
              <w:t>3</w:t>
            </w:r>
          </w:p>
        </w:tc>
      </w:tr>
      <w:tr w:rsidR="002D031E" w:rsidRPr="002D031E" w14:paraId="78BB85B1"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EE33C7"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E4512D7"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AF088C2" w14:textId="77777777" w:rsidR="002D031E" w:rsidRPr="002D031E" w:rsidRDefault="002D031E" w:rsidP="00FB3F12">
            <w:pPr>
              <w:jc w:val="center"/>
              <w:rPr>
                <w:rFonts w:eastAsia="ＭＳ 明朝"/>
                <w:sz w:val="22"/>
              </w:rPr>
            </w:pPr>
            <w:r w:rsidRPr="002D031E">
              <w:rPr>
                <w:rFonts w:eastAsia="ＭＳ 明朝"/>
                <w:sz w:val="22"/>
              </w:rPr>
              <w:t>2</w:t>
            </w:r>
          </w:p>
        </w:tc>
      </w:tr>
      <w:tr w:rsidR="002D031E" w:rsidRPr="002D031E" w14:paraId="5FBA2E4A"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04C405"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AE0E33C"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07A5275"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27FCA49"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8EBA48"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728D171F"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29BCFE98"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0D3ED40"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802DC9"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F6934A3"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2152909"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550EA5D"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85D1" w14:textId="77777777" w:rsidR="002D031E" w:rsidRPr="002D031E" w:rsidRDefault="002D031E" w:rsidP="00FB3F12">
            <w:pPr>
              <w:jc w:val="center"/>
              <w:rPr>
                <w:rFonts w:eastAsia="ＭＳ 明朝"/>
                <w:sz w:val="22"/>
              </w:rPr>
            </w:pPr>
            <w:r w:rsidRPr="002D031E">
              <w:rPr>
                <w:rFonts w:eastAsia="ＭＳ 明朝"/>
                <w:sz w:val="22"/>
              </w:rPr>
              <w:t>5</w:t>
            </w:r>
          </w:p>
        </w:tc>
        <w:tc>
          <w:tcPr>
            <w:tcW w:w="0" w:type="auto"/>
            <w:tcBorders>
              <w:top w:val="single" w:sz="4" w:space="0" w:color="auto"/>
              <w:left w:val="single" w:sz="4" w:space="0" w:color="auto"/>
              <w:bottom w:val="single" w:sz="4" w:space="0" w:color="auto"/>
              <w:right w:val="single" w:sz="4" w:space="0" w:color="auto"/>
            </w:tcBorders>
            <w:vAlign w:val="center"/>
          </w:tcPr>
          <w:p w14:paraId="05B78D67"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DB8603D"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6565C95"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3BC256"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B9B1AD5"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861430E" w14:textId="77777777" w:rsidR="002D031E" w:rsidRPr="002D031E" w:rsidRDefault="002D031E" w:rsidP="00FB3F12">
            <w:pPr>
              <w:jc w:val="center"/>
              <w:rPr>
                <w:rFonts w:eastAsia="ＭＳ 明朝"/>
                <w:sz w:val="22"/>
              </w:rPr>
            </w:pPr>
            <w:r w:rsidRPr="002D031E">
              <w:rPr>
                <w:rFonts w:eastAsia="ＭＳ 明朝"/>
                <w:sz w:val="22"/>
              </w:rPr>
              <w:t>3</w:t>
            </w:r>
          </w:p>
        </w:tc>
      </w:tr>
    </w:tbl>
    <w:p w14:paraId="45478062" w14:textId="77777777" w:rsidR="002D031E" w:rsidRDefault="002D031E" w:rsidP="00CE6AFD">
      <w:pPr>
        <w:spacing w:afterLines="50" w:after="120"/>
        <w:jc w:val="both"/>
        <w:rPr>
          <w:rFonts w:eastAsia="ＭＳ 明朝"/>
          <w:sz w:val="22"/>
          <w:lang w:val="en-US"/>
        </w:rPr>
      </w:pPr>
    </w:p>
    <w:p w14:paraId="70E9B728" w14:textId="11969516" w:rsidR="00830429" w:rsidRDefault="004774DB" w:rsidP="00CE6AFD">
      <w:pPr>
        <w:spacing w:afterLines="50" w:after="120"/>
        <w:jc w:val="both"/>
        <w:rPr>
          <w:rFonts w:eastAsia="ＭＳ 明朝"/>
          <w:sz w:val="22"/>
          <w:lang w:val="en-US"/>
        </w:rPr>
      </w:pPr>
      <w:r>
        <w:rPr>
          <w:rFonts w:eastAsia="ＭＳ 明朝" w:hint="eastAsia"/>
          <w:sz w:val="22"/>
          <w:lang w:val="en-US"/>
        </w:rPr>
        <w:t xml:space="preserve">At the previous RAN1 meetings, </w:t>
      </w:r>
      <w:r w:rsidR="002D031E">
        <w:rPr>
          <w:rFonts w:eastAsia="ＭＳ 明朝"/>
          <w:sz w:val="22"/>
          <w:lang w:val="en-US"/>
        </w:rPr>
        <w:t xml:space="preserve">for NR, </w:t>
      </w:r>
      <w:r>
        <w:rPr>
          <w:rFonts w:eastAsia="ＭＳ 明朝"/>
          <w:sz w:val="22"/>
          <w:lang w:val="en-US"/>
        </w:rPr>
        <w:t xml:space="preserve">it was agreed that the maximum number of HARQ processes for a carrier is 8 or 16. </w:t>
      </w:r>
      <w:r w:rsidR="00835018">
        <w:rPr>
          <w:rFonts w:eastAsia="ＭＳ 明朝"/>
          <w:sz w:val="22"/>
          <w:lang w:val="en-US"/>
        </w:rPr>
        <w:t>We consider the value should be 16, due to the following reasons:</w:t>
      </w:r>
    </w:p>
    <w:p w14:paraId="3E035829" w14:textId="77777777" w:rsidR="00E010AC" w:rsidRDefault="00E010AC" w:rsidP="00CE6AFD">
      <w:pPr>
        <w:spacing w:afterLines="50" w:after="120"/>
        <w:jc w:val="both"/>
        <w:rPr>
          <w:rFonts w:eastAsia="ＭＳ 明朝"/>
          <w:sz w:val="22"/>
          <w:lang w:val="en-US"/>
        </w:rPr>
      </w:pPr>
    </w:p>
    <w:p w14:paraId="265D19C7" w14:textId="38AE0584" w:rsidR="00835018" w:rsidRPr="00E010AC" w:rsidRDefault="00835018" w:rsidP="00835018">
      <w:pPr>
        <w:pStyle w:val="afc"/>
        <w:numPr>
          <w:ilvl w:val="0"/>
          <w:numId w:val="14"/>
        </w:numPr>
        <w:spacing w:afterLines="50" w:after="120"/>
        <w:ind w:leftChars="0"/>
        <w:jc w:val="both"/>
        <w:rPr>
          <w:rFonts w:eastAsia="ＭＳ 明朝"/>
          <w:b/>
          <w:sz w:val="22"/>
          <w:lang w:val="en-US"/>
        </w:rPr>
      </w:pPr>
      <w:r w:rsidRPr="00E010AC">
        <w:rPr>
          <w:rFonts w:eastAsia="ＭＳ 明朝"/>
          <w:b/>
          <w:sz w:val="22"/>
          <w:lang w:val="en-US"/>
        </w:rPr>
        <w:t>Support of shorter TTI with reasonable processing time at BS and/or UE</w:t>
      </w:r>
    </w:p>
    <w:p w14:paraId="0B7A8C15" w14:textId="58E22CC1" w:rsidR="00835018" w:rsidRDefault="00835018" w:rsidP="00CE6AFD">
      <w:pPr>
        <w:spacing w:afterLines="50" w:after="120"/>
        <w:jc w:val="both"/>
        <w:rPr>
          <w:rFonts w:eastAsia="ＭＳ 明朝"/>
          <w:sz w:val="22"/>
          <w:lang w:val="en-US"/>
        </w:rPr>
      </w:pPr>
      <w:r>
        <w:rPr>
          <w:rFonts w:eastAsia="ＭＳ 明朝" w:hint="eastAsia"/>
          <w:sz w:val="22"/>
          <w:lang w:val="en-US"/>
        </w:rPr>
        <w:t>Follow</w:t>
      </w:r>
      <w:r>
        <w:rPr>
          <w:rFonts w:eastAsia="ＭＳ 明朝"/>
          <w:sz w:val="22"/>
          <w:lang w:val="en-US"/>
        </w:rPr>
        <w:t>i</w:t>
      </w:r>
      <w:r>
        <w:rPr>
          <w:rFonts w:eastAsia="ＭＳ 明朝" w:hint="eastAsia"/>
          <w:sz w:val="22"/>
          <w:lang w:val="en-US"/>
        </w:rPr>
        <w:t>ng tables</w:t>
      </w:r>
      <w:r>
        <w:rPr>
          <w:rFonts w:eastAsia="ＭＳ 明朝"/>
          <w:sz w:val="22"/>
          <w:lang w:val="en-US"/>
        </w:rPr>
        <w:t xml:space="preserve"> describes necessary number of HARQ processes for a given TTI duration and BS/UE processing time</w:t>
      </w:r>
      <w:r w:rsidR="00091425">
        <w:rPr>
          <w:rFonts w:eastAsia="ＭＳ 明朝"/>
          <w:sz w:val="22"/>
          <w:lang w:val="en-US"/>
        </w:rPr>
        <w:t xml:space="preserve">. Here, it is assumed that gNB needs processing time of at least 3 TTIs. </w:t>
      </w:r>
      <w:r w:rsidR="00E010AC">
        <w:rPr>
          <w:rFonts w:eastAsia="ＭＳ 明朝"/>
          <w:sz w:val="22"/>
          <w:lang w:val="en-US"/>
        </w:rPr>
        <w:t>However, this is sometimes not sufficient because of certain fixed delays, e.g., front-haul propagation delay between BBU and RRH (5us/km and hence, e.g., for 30km, the delay is 150</w:t>
      </w:r>
      <w:r w:rsidR="00570C61">
        <w:rPr>
          <w:rFonts w:eastAsia="ＭＳ 明朝"/>
          <w:sz w:val="22"/>
          <w:lang w:val="en-US"/>
        </w:rPr>
        <w:t xml:space="preserve">us), BBU-BBU interaction delay </w:t>
      </w:r>
      <w:r w:rsidR="00E010AC">
        <w:rPr>
          <w:rFonts w:eastAsia="ＭＳ 明朝"/>
          <w:sz w:val="22"/>
          <w:lang w:val="en-US"/>
        </w:rPr>
        <w:t>when multiple BBUs ar</w:t>
      </w:r>
      <w:r w:rsidR="00570C61">
        <w:rPr>
          <w:rFonts w:eastAsia="ＭＳ 明朝"/>
          <w:sz w:val="22"/>
          <w:lang w:val="en-US"/>
        </w:rPr>
        <w:t>e used for accommodating the UE</w:t>
      </w:r>
      <w:r w:rsidR="00E010AC">
        <w:rPr>
          <w:rFonts w:eastAsia="ＭＳ 明朝"/>
          <w:sz w:val="22"/>
          <w:lang w:val="en-US"/>
        </w:rPr>
        <w:t xml:space="preserve">, etc. From the following tables, it can be said that even if the UE </w:t>
      </w:r>
      <w:r w:rsidR="00830429">
        <w:rPr>
          <w:rFonts w:eastAsia="ＭＳ 明朝"/>
          <w:sz w:val="22"/>
          <w:lang w:val="en-US"/>
        </w:rPr>
        <w:t>is capable of</w:t>
      </w:r>
      <w:r w:rsidR="00E010AC">
        <w:rPr>
          <w:rFonts w:eastAsia="ＭＳ 明朝"/>
          <w:sz w:val="22"/>
          <w:lang w:val="en-US"/>
        </w:rPr>
        <w:t xml:space="preserve"> self-contained operation (HARQ-ACK feedback within the TTI where the DL data is scheduled), the necessary number of HARQ processes exceeds 8</w:t>
      </w:r>
      <w:r w:rsidR="00570C61">
        <w:rPr>
          <w:rFonts w:eastAsia="ＭＳ 明朝"/>
          <w:sz w:val="22"/>
          <w:lang w:val="en-US"/>
        </w:rPr>
        <w:t xml:space="preserve"> especially when the TTI duration is shorter such as 0.125ms</w:t>
      </w:r>
      <w:r w:rsidR="00E010AC">
        <w:rPr>
          <w:rFonts w:eastAsia="ＭＳ 明朝"/>
          <w:sz w:val="22"/>
          <w:lang w:val="en-US"/>
        </w:rPr>
        <w:t>.</w:t>
      </w:r>
    </w:p>
    <w:p w14:paraId="0CC35F46" w14:textId="77DBD80E" w:rsidR="00E010AC" w:rsidRDefault="00E010AC" w:rsidP="00FB3F12">
      <w:pPr>
        <w:jc w:val="center"/>
        <w:rPr>
          <w:rFonts w:eastAsia="ＭＳ 明朝"/>
          <w:sz w:val="22"/>
          <w:lang w:val="en-US"/>
        </w:rPr>
      </w:pPr>
      <w:r>
        <w:rPr>
          <w:rFonts w:eastAsia="ＭＳ 明朝" w:hint="eastAsia"/>
          <w:sz w:val="22"/>
          <w:lang w:val="en-US"/>
        </w:rPr>
        <w:t xml:space="preserve">Table </w:t>
      </w:r>
      <w:r w:rsidR="00830429">
        <w:rPr>
          <w:rFonts w:eastAsia="ＭＳ 明朝"/>
          <w:sz w:val="22"/>
          <w:lang w:val="en-US"/>
        </w:rPr>
        <w:t xml:space="preserve">4. </w:t>
      </w:r>
      <w:r>
        <w:rPr>
          <w:rFonts w:eastAsia="ＭＳ 明朝" w:hint="eastAsia"/>
          <w:sz w:val="22"/>
          <w:lang w:val="en-US"/>
        </w:rPr>
        <w:t xml:space="preserve">Necessary number of HARQ processes for a </w:t>
      </w:r>
      <w:r>
        <w:rPr>
          <w:rFonts w:eastAsia="ＭＳ 明朝"/>
          <w:sz w:val="22"/>
          <w:lang w:val="en-US"/>
        </w:rPr>
        <w:t>given</w:t>
      </w:r>
      <w:r>
        <w:rPr>
          <w:rFonts w:eastAsia="ＭＳ 明朝" w:hint="eastAsia"/>
          <w:sz w:val="22"/>
          <w:lang w:val="en-US"/>
        </w:rPr>
        <w:t xml:space="preserve"> </w:t>
      </w:r>
      <w:r>
        <w:rPr>
          <w:rFonts w:eastAsia="ＭＳ 明朝"/>
          <w:sz w:val="22"/>
          <w:lang w:val="en-US"/>
        </w:rPr>
        <w:t>TTI duration and BS/UE processing times.</w:t>
      </w:r>
    </w:p>
    <w:p w14:paraId="4C09857B" w14:textId="0D27E42A" w:rsidR="00E010AC" w:rsidRPr="00E010AC" w:rsidRDefault="00E010AC" w:rsidP="00FB3F12">
      <w:pPr>
        <w:jc w:val="center"/>
        <w:rPr>
          <w:rFonts w:eastAsia="ＭＳ 明朝"/>
          <w:sz w:val="22"/>
          <w:lang w:val="en-US"/>
        </w:rPr>
      </w:pPr>
      <w:r>
        <w:rPr>
          <w:rFonts w:eastAsia="ＭＳ 明朝"/>
          <w:sz w:val="22"/>
          <w:lang w:val="en-US"/>
        </w:rPr>
        <w:t>(a) UE processing time is assumed to be 3 TTIs</w:t>
      </w:r>
    </w:p>
    <w:p w14:paraId="554A8072" w14:textId="5D2E0600" w:rsidR="00835018" w:rsidRDefault="00835018" w:rsidP="00FB3F12">
      <w:pPr>
        <w:jc w:val="both"/>
        <w:rPr>
          <w:rFonts w:eastAsia="ＭＳ 明朝"/>
          <w:sz w:val="22"/>
          <w:lang w:val="en-US"/>
        </w:rPr>
      </w:pPr>
      <w:r w:rsidRPr="00835018">
        <w:rPr>
          <w:rFonts w:hint="eastAsia"/>
          <w:noProof/>
        </w:rPr>
        <w:drawing>
          <wp:inline distT="0" distB="0" distL="0" distR="0" wp14:anchorId="48DBFA23" wp14:editId="3FB4E07F">
            <wp:extent cx="6332220" cy="1083826"/>
            <wp:effectExtent l="0" t="0" r="0" b="254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83826"/>
                    </a:xfrm>
                    <a:prstGeom prst="rect">
                      <a:avLst/>
                    </a:prstGeom>
                    <a:noFill/>
                    <a:ln>
                      <a:noFill/>
                    </a:ln>
                  </pic:spPr>
                </pic:pic>
              </a:graphicData>
            </a:graphic>
          </wp:inline>
        </w:drawing>
      </w:r>
    </w:p>
    <w:p w14:paraId="014D2805" w14:textId="3137BE11" w:rsidR="00835018" w:rsidRPr="00E010AC" w:rsidRDefault="00E010AC" w:rsidP="00FB3F12">
      <w:pPr>
        <w:jc w:val="center"/>
        <w:rPr>
          <w:rFonts w:eastAsia="ＭＳ 明朝"/>
          <w:sz w:val="22"/>
          <w:lang w:val="en-US"/>
        </w:rPr>
      </w:pPr>
      <w:r>
        <w:rPr>
          <w:rFonts w:eastAsia="ＭＳ 明朝"/>
          <w:sz w:val="22"/>
          <w:lang w:val="en-US"/>
        </w:rPr>
        <w:t>(b) UE processing time is assumed to be 1 TTI</w:t>
      </w:r>
    </w:p>
    <w:p w14:paraId="28041059" w14:textId="57D88676" w:rsidR="00835018" w:rsidRDefault="00835018" w:rsidP="00FB3F12">
      <w:pPr>
        <w:jc w:val="both"/>
        <w:rPr>
          <w:rFonts w:eastAsia="ＭＳ 明朝"/>
          <w:sz w:val="22"/>
          <w:lang w:val="en-US"/>
        </w:rPr>
      </w:pPr>
      <w:r w:rsidRPr="00835018">
        <w:rPr>
          <w:rFonts w:hint="eastAsia"/>
          <w:noProof/>
        </w:rPr>
        <w:drawing>
          <wp:inline distT="0" distB="0" distL="0" distR="0" wp14:anchorId="69CF6910" wp14:editId="76D17D39">
            <wp:extent cx="6332220" cy="1083826"/>
            <wp:effectExtent l="0" t="0" r="0" b="254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83826"/>
                    </a:xfrm>
                    <a:prstGeom prst="rect">
                      <a:avLst/>
                    </a:prstGeom>
                    <a:noFill/>
                    <a:ln>
                      <a:noFill/>
                    </a:ln>
                  </pic:spPr>
                </pic:pic>
              </a:graphicData>
            </a:graphic>
          </wp:inline>
        </w:drawing>
      </w:r>
    </w:p>
    <w:p w14:paraId="6A2C68EC" w14:textId="025336BC" w:rsidR="00835018" w:rsidRPr="00E010AC" w:rsidRDefault="00E010AC" w:rsidP="00FB3F12">
      <w:pPr>
        <w:jc w:val="center"/>
        <w:rPr>
          <w:rFonts w:eastAsia="ＭＳ 明朝"/>
          <w:sz w:val="22"/>
          <w:lang w:val="en-US"/>
        </w:rPr>
      </w:pPr>
      <w:r>
        <w:rPr>
          <w:rFonts w:eastAsia="ＭＳ 明朝"/>
          <w:sz w:val="22"/>
          <w:lang w:val="en-US"/>
        </w:rPr>
        <w:t>(c) UE processing time is assumed to be 0 TTI (self-contained HARQ-ACK feedback)</w:t>
      </w:r>
    </w:p>
    <w:p w14:paraId="1B7C6A24" w14:textId="37F24433" w:rsidR="00835018" w:rsidRDefault="00835018" w:rsidP="00FB3F12">
      <w:pPr>
        <w:jc w:val="both"/>
        <w:rPr>
          <w:rFonts w:eastAsia="ＭＳ 明朝"/>
          <w:sz w:val="22"/>
          <w:lang w:val="en-US"/>
        </w:rPr>
      </w:pPr>
      <w:r w:rsidRPr="00835018">
        <w:rPr>
          <w:noProof/>
        </w:rPr>
        <w:drawing>
          <wp:inline distT="0" distB="0" distL="0" distR="0" wp14:anchorId="4CFFB022" wp14:editId="12CB900D">
            <wp:extent cx="6332220" cy="1083826"/>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083826"/>
                    </a:xfrm>
                    <a:prstGeom prst="rect">
                      <a:avLst/>
                    </a:prstGeom>
                    <a:noFill/>
                    <a:ln>
                      <a:noFill/>
                    </a:ln>
                  </pic:spPr>
                </pic:pic>
              </a:graphicData>
            </a:graphic>
          </wp:inline>
        </w:drawing>
      </w:r>
    </w:p>
    <w:p w14:paraId="1A3D4B4B" w14:textId="654A7713" w:rsidR="00835018" w:rsidRDefault="00835018" w:rsidP="00CE6AFD">
      <w:pPr>
        <w:spacing w:afterLines="50" w:after="120"/>
        <w:jc w:val="both"/>
        <w:rPr>
          <w:rFonts w:eastAsia="ＭＳ 明朝"/>
          <w:sz w:val="22"/>
          <w:lang w:val="en-US"/>
        </w:rPr>
      </w:pPr>
    </w:p>
    <w:p w14:paraId="74C7086A" w14:textId="053B94FD" w:rsidR="00E010AC" w:rsidRPr="00E010AC" w:rsidRDefault="00E010AC" w:rsidP="00E010AC">
      <w:pPr>
        <w:pStyle w:val="afc"/>
        <w:numPr>
          <w:ilvl w:val="0"/>
          <w:numId w:val="14"/>
        </w:numPr>
        <w:spacing w:afterLines="50" w:after="120"/>
        <w:ind w:leftChars="0"/>
        <w:jc w:val="both"/>
        <w:rPr>
          <w:rFonts w:eastAsia="ＭＳ 明朝"/>
          <w:b/>
          <w:sz w:val="22"/>
          <w:lang w:val="en-US"/>
        </w:rPr>
      </w:pPr>
      <w:r w:rsidRPr="00E010AC">
        <w:rPr>
          <w:rFonts w:eastAsia="ＭＳ 明朝" w:hint="eastAsia"/>
          <w:b/>
          <w:sz w:val="22"/>
          <w:lang w:val="en-US"/>
        </w:rPr>
        <w:t xml:space="preserve">Support of </w:t>
      </w:r>
      <w:r w:rsidRPr="00E010AC">
        <w:rPr>
          <w:rFonts w:eastAsia="ＭＳ 明朝"/>
          <w:b/>
          <w:sz w:val="22"/>
          <w:lang w:val="en-US"/>
        </w:rPr>
        <w:t>TDD operation</w:t>
      </w:r>
    </w:p>
    <w:p w14:paraId="51BA44F2" w14:textId="29A47F5F" w:rsidR="00E010AC" w:rsidRDefault="00E010AC" w:rsidP="00CE6AFD">
      <w:pPr>
        <w:spacing w:afterLines="50" w:after="120"/>
        <w:jc w:val="both"/>
        <w:rPr>
          <w:rFonts w:eastAsia="ＭＳ 明朝"/>
          <w:sz w:val="22"/>
          <w:lang w:val="en-US"/>
        </w:rPr>
      </w:pPr>
      <w:r>
        <w:rPr>
          <w:rFonts w:eastAsia="ＭＳ 明朝" w:hint="eastAsia"/>
          <w:sz w:val="22"/>
          <w:lang w:val="en-US"/>
        </w:rPr>
        <w:t>Above analysis is based on the assumption that HARQ-ACK feedback resource is always available</w:t>
      </w:r>
      <w:r>
        <w:rPr>
          <w:rFonts w:eastAsia="ＭＳ 明朝"/>
          <w:sz w:val="22"/>
          <w:lang w:val="en-US"/>
        </w:rPr>
        <w:t xml:space="preserve"> in all </w:t>
      </w:r>
      <w:r w:rsidR="00830429">
        <w:rPr>
          <w:rFonts w:eastAsia="ＭＳ 明朝"/>
          <w:sz w:val="22"/>
          <w:lang w:val="en-US"/>
        </w:rPr>
        <w:t xml:space="preserve">the </w:t>
      </w:r>
      <w:r>
        <w:rPr>
          <w:rFonts w:eastAsia="ＭＳ 明朝"/>
          <w:sz w:val="22"/>
          <w:lang w:val="en-US"/>
        </w:rPr>
        <w:t>slots</w:t>
      </w:r>
      <w:r>
        <w:rPr>
          <w:rFonts w:eastAsia="ＭＳ 明朝" w:hint="eastAsia"/>
          <w:sz w:val="22"/>
          <w:lang w:val="en-US"/>
        </w:rPr>
        <w:t xml:space="preserve">. </w:t>
      </w:r>
      <w:r>
        <w:rPr>
          <w:rFonts w:eastAsia="ＭＳ 明朝"/>
          <w:sz w:val="22"/>
          <w:lang w:val="en-US"/>
        </w:rPr>
        <w:t>This is true for FDD (and for TDD where UL control channel i</w:t>
      </w:r>
      <w:r w:rsidR="00570C61">
        <w:rPr>
          <w:rFonts w:eastAsia="ＭＳ 明朝"/>
          <w:sz w:val="22"/>
          <w:lang w:val="en-US"/>
        </w:rPr>
        <w:t>s always present at the end of each</w:t>
      </w:r>
      <w:r>
        <w:rPr>
          <w:rFonts w:eastAsia="ＭＳ 明朝"/>
          <w:sz w:val="22"/>
          <w:lang w:val="en-US"/>
        </w:rPr>
        <w:t xml:space="preserve"> slot), but not for some other operational scenario. For example, it is possible for the network to utilize TDD carrier such that DL/UL transmission direction is </w:t>
      </w:r>
      <w:r w:rsidR="00CB5C53">
        <w:rPr>
          <w:rFonts w:eastAsia="ＭＳ 明朝" w:hint="eastAsia"/>
          <w:sz w:val="22"/>
          <w:lang w:val="en-US"/>
        </w:rPr>
        <w:t>s</w:t>
      </w:r>
      <w:r w:rsidR="00CB5C53">
        <w:rPr>
          <w:rFonts w:eastAsia="ＭＳ 明朝"/>
          <w:sz w:val="22"/>
          <w:lang w:val="en-US"/>
        </w:rPr>
        <w:t xml:space="preserve">witched </w:t>
      </w:r>
      <w:r>
        <w:rPr>
          <w:rFonts w:eastAsia="ＭＳ 明朝"/>
          <w:sz w:val="22"/>
          <w:lang w:val="en-US"/>
        </w:rPr>
        <w:t xml:space="preserve">per multiple slots. </w:t>
      </w:r>
      <w:r w:rsidR="002E632A">
        <w:rPr>
          <w:rFonts w:eastAsia="ＭＳ 明朝"/>
          <w:sz w:val="22"/>
          <w:lang w:val="en-US"/>
        </w:rPr>
        <w:t xml:space="preserve">This resource usage is useful when the short-PUCCH is not enough </w:t>
      </w:r>
      <w:r w:rsidR="00570C61">
        <w:rPr>
          <w:rFonts w:eastAsia="ＭＳ 明朝"/>
          <w:sz w:val="22"/>
          <w:lang w:val="en-US"/>
        </w:rPr>
        <w:t>due to</w:t>
      </w:r>
      <w:r w:rsidR="002E632A">
        <w:rPr>
          <w:rFonts w:eastAsia="ＭＳ 明朝"/>
          <w:sz w:val="22"/>
          <w:lang w:val="en-US"/>
        </w:rPr>
        <w:t xml:space="preserve"> coverage/capacity</w:t>
      </w:r>
      <w:r w:rsidR="00570C61">
        <w:rPr>
          <w:rFonts w:eastAsia="ＭＳ 明朝"/>
          <w:sz w:val="22"/>
          <w:lang w:val="en-US"/>
        </w:rPr>
        <w:t xml:space="preserve"> reasons</w:t>
      </w:r>
      <w:r w:rsidR="002E632A">
        <w:rPr>
          <w:rFonts w:eastAsia="ＭＳ 明朝"/>
          <w:sz w:val="22"/>
          <w:lang w:val="en-US"/>
        </w:rPr>
        <w:t xml:space="preserve">. </w:t>
      </w:r>
      <w:r>
        <w:rPr>
          <w:rFonts w:eastAsia="ＭＳ 明朝"/>
          <w:sz w:val="22"/>
          <w:lang w:val="en-US"/>
        </w:rPr>
        <w:t xml:space="preserve">In this case, HARQ-ACK feedback timing is further delayed due to less available UL transmission </w:t>
      </w:r>
      <w:r w:rsidR="00570C61">
        <w:rPr>
          <w:rFonts w:eastAsia="ＭＳ 明朝"/>
          <w:sz w:val="22"/>
          <w:lang w:val="en-US"/>
        </w:rPr>
        <w:t>resource</w:t>
      </w:r>
      <w:r>
        <w:rPr>
          <w:rFonts w:eastAsia="ＭＳ 明朝"/>
          <w:sz w:val="22"/>
          <w:lang w:val="en-US"/>
        </w:rPr>
        <w:t xml:space="preserve">. </w:t>
      </w:r>
    </w:p>
    <w:p w14:paraId="4D319333" w14:textId="123EBD46" w:rsidR="00E010AC" w:rsidRDefault="002E632A" w:rsidP="00CE6AFD">
      <w:pPr>
        <w:spacing w:afterLines="50" w:after="120"/>
        <w:jc w:val="both"/>
        <w:rPr>
          <w:rFonts w:eastAsia="ＭＳ 明朝"/>
          <w:sz w:val="22"/>
          <w:lang w:val="en-US"/>
        </w:rPr>
      </w:pPr>
      <w:r>
        <w:rPr>
          <w:rFonts w:eastAsia="ＭＳ 明朝" w:hint="eastAsia"/>
          <w:sz w:val="22"/>
          <w:lang w:val="en-US"/>
        </w:rPr>
        <w:t xml:space="preserve">Besides, if the NR carrier is </w:t>
      </w:r>
      <w:r>
        <w:rPr>
          <w:rFonts w:eastAsia="ＭＳ 明朝"/>
          <w:sz w:val="22"/>
          <w:lang w:val="en-US"/>
        </w:rPr>
        <w:t>adjacent</w:t>
      </w:r>
      <w:r>
        <w:rPr>
          <w:rFonts w:eastAsia="ＭＳ 明朝" w:hint="eastAsia"/>
          <w:sz w:val="22"/>
          <w:lang w:val="en-US"/>
        </w:rPr>
        <w:t xml:space="preserve"> with TD-LTE carrier, </w:t>
      </w:r>
      <w:r>
        <w:rPr>
          <w:rFonts w:eastAsia="ＭＳ 明朝"/>
          <w:sz w:val="22"/>
          <w:lang w:val="en-US"/>
        </w:rPr>
        <w:t xml:space="preserve">the UL/DL transmission direction </w:t>
      </w:r>
      <w:r w:rsidR="00C61523">
        <w:rPr>
          <w:rFonts w:eastAsia="ＭＳ 明朝"/>
          <w:sz w:val="22"/>
          <w:lang w:val="en-US"/>
        </w:rPr>
        <w:t xml:space="preserve">is </w:t>
      </w:r>
      <w:r w:rsidR="00CB5C53">
        <w:rPr>
          <w:rFonts w:eastAsia="ＭＳ 明朝"/>
          <w:sz w:val="22"/>
          <w:lang w:val="en-US"/>
        </w:rPr>
        <w:t>further restricted</w:t>
      </w:r>
      <w:r w:rsidR="00C61523">
        <w:rPr>
          <w:rFonts w:eastAsia="ＭＳ 明朝"/>
          <w:sz w:val="22"/>
          <w:lang w:val="en-US"/>
        </w:rPr>
        <w:t xml:space="preserve"> by the configuration of the</w:t>
      </w:r>
      <w:r>
        <w:rPr>
          <w:rFonts w:eastAsia="ＭＳ 明朝"/>
          <w:sz w:val="22"/>
          <w:lang w:val="en-US"/>
        </w:rPr>
        <w:t xml:space="preserve"> TD-LTE carrier. In this case, </w:t>
      </w:r>
      <w:r w:rsidR="00C85C3E">
        <w:rPr>
          <w:rFonts w:eastAsia="ＭＳ 明朝"/>
          <w:sz w:val="22"/>
          <w:lang w:val="en-US"/>
        </w:rPr>
        <w:t xml:space="preserve">taking UL-DL configuration #2 as an example, </w:t>
      </w:r>
      <w:r>
        <w:rPr>
          <w:rFonts w:eastAsia="ＭＳ 明朝"/>
          <w:sz w:val="22"/>
          <w:lang w:val="en-US"/>
        </w:rPr>
        <w:t xml:space="preserve">if the NR carrier uses TTI = 0.5ms (e.g., SCS = 30kHz with 14-symbol slot or SCS = 15kHz with 7-symbol slot), </w:t>
      </w:r>
      <w:r w:rsidR="00C85C3E">
        <w:rPr>
          <w:rFonts w:eastAsia="ＭＳ 明朝"/>
          <w:sz w:val="22"/>
          <w:lang w:val="en-US"/>
        </w:rPr>
        <w:t xml:space="preserve">8 HARQ processes with continuous scheduling for achieving peak data rate of the carrier requires up to </w:t>
      </w:r>
      <w:r w:rsidR="00570C61">
        <w:rPr>
          <w:rFonts w:eastAsia="ＭＳ 明朝"/>
          <w:sz w:val="22"/>
          <w:lang w:val="en-US"/>
        </w:rPr>
        <w:t>the</w:t>
      </w:r>
      <w:r w:rsidR="00C85C3E">
        <w:rPr>
          <w:rFonts w:eastAsia="ＭＳ 明朝"/>
          <w:sz w:val="22"/>
          <w:lang w:val="en-US"/>
        </w:rPr>
        <w:t xml:space="preserve"> processing time </w:t>
      </w:r>
      <w:r w:rsidR="00570C61">
        <w:rPr>
          <w:rFonts w:eastAsia="ＭＳ 明朝"/>
          <w:sz w:val="22"/>
          <w:lang w:val="en-US"/>
        </w:rPr>
        <w:t xml:space="preserve">of one TTI duration (= 0.5ms) </w:t>
      </w:r>
      <w:r w:rsidR="00C85C3E">
        <w:rPr>
          <w:rFonts w:eastAsia="ＭＳ 明朝"/>
          <w:sz w:val="22"/>
          <w:lang w:val="en-US"/>
        </w:rPr>
        <w:t xml:space="preserve">for </w:t>
      </w:r>
      <w:r w:rsidR="00C61523">
        <w:rPr>
          <w:rFonts w:eastAsia="ＭＳ 明朝"/>
          <w:sz w:val="22"/>
          <w:lang w:val="en-US"/>
        </w:rPr>
        <w:t xml:space="preserve">both BS and </w:t>
      </w:r>
      <w:r w:rsidR="00C85C3E">
        <w:rPr>
          <w:rFonts w:eastAsia="ＭＳ 明朝"/>
          <w:sz w:val="22"/>
          <w:lang w:val="en-US"/>
        </w:rPr>
        <w:t xml:space="preserve">UE (see Fig. 1). </w:t>
      </w:r>
      <w:r w:rsidR="00156ED7">
        <w:rPr>
          <w:rFonts w:eastAsia="ＭＳ 明朝"/>
          <w:sz w:val="22"/>
          <w:lang w:val="en-US"/>
        </w:rPr>
        <w:t>I</w:t>
      </w:r>
      <w:r w:rsidR="000B296C">
        <w:rPr>
          <w:rFonts w:eastAsia="ＭＳ 明朝"/>
          <w:sz w:val="22"/>
          <w:lang w:val="en-US"/>
        </w:rPr>
        <w:t>f the UL-DL configuration of</w:t>
      </w:r>
      <w:r w:rsidR="00156ED7">
        <w:rPr>
          <w:rFonts w:eastAsia="ＭＳ 明朝"/>
          <w:sz w:val="22"/>
          <w:lang w:val="en-US"/>
        </w:rPr>
        <w:t xml:space="preserve"> TD-LTE carrier is #5, for the NR carrier with the aligned UL-DL transmission direction, 8 HARQ processes can no longer achieve the peak data rate of the carrier</w:t>
      </w:r>
      <w:r w:rsidR="000B296C">
        <w:rPr>
          <w:rFonts w:eastAsia="ＭＳ 明朝"/>
          <w:sz w:val="22"/>
          <w:lang w:val="en-US"/>
        </w:rPr>
        <w:t>; 18 HARQ processes are necessary to achieve the peak data rate</w:t>
      </w:r>
      <w:r w:rsidR="00F76440">
        <w:rPr>
          <w:rFonts w:eastAsia="ＭＳ 明朝"/>
          <w:sz w:val="22"/>
          <w:lang w:val="en-US"/>
        </w:rPr>
        <w:t xml:space="preserve"> if the TTI = 0.5ms</w:t>
      </w:r>
      <w:r w:rsidR="004A611D">
        <w:rPr>
          <w:rFonts w:eastAsia="ＭＳ 明朝"/>
          <w:sz w:val="22"/>
          <w:lang w:val="en-US"/>
        </w:rPr>
        <w:t>.</w:t>
      </w:r>
      <w:r w:rsidR="00F76440">
        <w:rPr>
          <w:rFonts w:eastAsia="ＭＳ 明朝"/>
          <w:sz w:val="22"/>
          <w:lang w:val="en-US"/>
        </w:rPr>
        <w:t xml:space="preserve"> Even if TTI = 1ms, </w:t>
      </w:r>
      <w:r w:rsidR="00830429">
        <w:rPr>
          <w:rFonts w:eastAsia="ＭＳ 明朝"/>
          <w:sz w:val="22"/>
          <w:lang w:val="en-US"/>
        </w:rPr>
        <w:t xml:space="preserve">for UL-DL configuration #5, </w:t>
      </w:r>
      <w:r w:rsidR="00F76440">
        <w:rPr>
          <w:rFonts w:eastAsia="ＭＳ 明朝"/>
          <w:sz w:val="22"/>
          <w:lang w:val="en-US"/>
        </w:rPr>
        <w:t xml:space="preserve">9 HARQ processes are necessary, </w:t>
      </w:r>
      <w:r w:rsidR="00CB5C53">
        <w:rPr>
          <w:rFonts w:eastAsia="ＭＳ 明朝"/>
          <w:sz w:val="22"/>
          <w:lang w:val="en-US"/>
        </w:rPr>
        <w:t>with</w:t>
      </w:r>
      <w:r w:rsidR="00F76440">
        <w:rPr>
          <w:rFonts w:eastAsia="ＭＳ 明朝"/>
          <w:sz w:val="22"/>
          <w:lang w:val="en-US"/>
        </w:rPr>
        <w:t xml:space="preserve"> the assumption that the UE is able to transmit HARQ-ACK for UL slot right after the DL slots.</w:t>
      </w:r>
      <w:r w:rsidR="00280195">
        <w:rPr>
          <w:rFonts w:eastAsia="ＭＳ 明朝"/>
          <w:sz w:val="22"/>
          <w:lang w:val="en-US"/>
        </w:rPr>
        <w:t xml:space="preserve"> In case more processing time is necessary, necessary number of HARQ processes becomes more.</w:t>
      </w:r>
    </w:p>
    <w:p w14:paraId="798F8CE4" w14:textId="2691F6CF" w:rsidR="00C85C3E" w:rsidRDefault="000B296C" w:rsidP="00CE6AFD">
      <w:pPr>
        <w:spacing w:afterLines="50" w:after="120"/>
        <w:jc w:val="both"/>
        <w:rPr>
          <w:rFonts w:eastAsia="ＭＳ 明朝"/>
          <w:sz w:val="22"/>
          <w:lang w:val="en-US"/>
        </w:rPr>
      </w:pPr>
      <w:r w:rsidRPr="000B296C">
        <w:rPr>
          <w:noProof/>
        </w:rPr>
        <w:lastRenderedPageBreak/>
        <w:drawing>
          <wp:inline distT="0" distB="0" distL="0" distR="0" wp14:anchorId="68F65D44" wp14:editId="6E2DA60C">
            <wp:extent cx="6332220" cy="134697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346976"/>
                    </a:xfrm>
                    <a:prstGeom prst="rect">
                      <a:avLst/>
                    </a:prstGeom>
                    <a:noFill/>
                    <a:ln>
                      <a:noFill/>
                    </a:ln>
                  </pic:spPr>
                </pic:pic>
              </a:graphicData>
            </a:graphic>
          </wp:inline>
        </w:drawing>
      </w:r>
    </w:p>
    <w:p w14:paraId="5E5751BF" w14:textId="176F1DAA" w:rsidR="00C85C3E" w:rsidRDefault="00156ED7" w:rsidP="00156ED7">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r>
      <w:r>
        <w:rPr>
          <w:rFonts w:eastAsia="ＭＳ 明朝"/>
          <w:sz w:val="22"/>
          <w:lang w:val="en-US"/>
        </w:rPr>
        <w:t>Adjacent</w:t>
      </w:r>
      <w:r>
        <w:rPr>
          <w:rFonts w:eastAsia="ＭＳ 明朝" w:hint="eastAsia"/>
          <w:sz w:val="22"/>
          <w:lang w:val="en-US"/>
        </w:rPr>
        <w:t xml:space="preserve"> operation of NR carrier and TD-LTE carrier</w:t>
      </w:r>
      <w:r w:rsidR="004A611D">
        <w:rPr>
          <w:rFonts w:eastAsia="ＭＳ 明朝"/>
          <w:sz w:val="22"/>
          <w:lang w:val="en-US"/>
        </w:rPr>
        <w:t xml:space="preserve"> w/ UL-DL configuration #2</w:t>
      </w:r>
      <w:r>
        <w:rPr>
          <w:rFonts w:eastAsia="ＭＳ 明朝" w:hint="eastAsia"/>
          <w:sz w:val="22"/>
          <w:lang w:val="en-US"/>
        </w:rPr>
        <w:t>.</w:t>
      </w:r>
    </w:p>
    <w:p w14:paraId="49FE8C08" w14:textId="239DC947" w:rsidR="00E010AC" w:rsidRDefault="00E010AC" w:rsidP="00CE6AFD">
      <w:pPr>
        <w:spacing w:afterLines="50" w:after="120"/>
        <w:jc w:val="both"/>
        <w:rPr>
          <w:rFonts w:eastAsia="ＭＳ 明朝"/>
          <w:sz w:val="22"/>
          <w:lang w:val="en-US"/>
        </w:rPr>
      </w:pPr>
    </w:p>
    <w:p w14:paraId="49B10B3D" w14:textId="7128828E" w:rsidR="004A611D" w:rsidRDefault="004A611D" w:rsidP="004A611D">
      <w:pPr>
        <w:spacing w:afterLines="50" w:after="120"/>
        <w:jc w:val="both"/>
        <w:rPr>
          <w:rFonts w:eastAsia="ＭＳ 明朝"/>
          <w:sz w:val="22"/>
          <w:lang w:val="en-US"/>
        </w:rPr>
      </w:pPr>
      <w:r w:rsidRPr="004A611D">
        <w:rPr>
          <w:noProof/>
        </w:rPr>
        <w:drawing>
          <wp:inline distT="0" distB="0" distL="0" distR="0" wp14:anchorId="2C23CB99" wp14:editId="0A9B45AA">
            <wp:extent cx="6332220" cy="1350016"/>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350016"/>
                    </a:xfrm>
                    <a:prstGeom prst="rect">
                      <a:avLst/>
                    </a:prstGeom>
                    <a:noFill/>
                    <a:ln>
                      <a:noFill/>
                    </a:ln>
                  </pic:spPr>
                </pic:pic>
              </a:graphicData>
            </a:graphic>
          </wp:inline>
        </w:drawing>
      </w:r>
    </w:p>
    <w:p w14:paraId="2808F668" w14:textId="0AE2EC11" w:rsidR="004A611D" w:rsidRDefault="004A611D" w:rsidP="004A611D">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r>
      <w:r>
        <w:rPr>
          <w:rFonts w:eastAsia="ＭＳ 明朝"/>
          <w:sz w:val="22"/>
          <w:lang w:val="en-US"/>
        </w:rPr>
        <w:t>Adjacent</w:t>
      </w:r>
      <w:r>
        <w:rPr>
          <w:rFonts w:eastAsia="ＭＳ 明朝" w:hint="eastAsia"/>
          <w:sz w:val="22"/>
          <w:lang w:val="en-US"/>
        </w:rPr>
        <w:t xml:space="preserve"> operation of NR carrier and TD-LTE carrier</w:t>
      </w:r>
      <w:r>
        <w:rPr>
          <w:rFonts w:eastAsia="ＭＳ 明朝"/>
          <w:sz w:val="22"/>
          <w:lang w:val="en-US"/>
        </w:rPr>
        <w:t xml:space="preserve"> w/ UL-DL configuration #5</w:t>
      </w:r>
      <w:r>
        <w:rPr>
          <w:rFonts w:eastAsia="ＭＳ 明朝" w:hint="eastAsia"/>
          <w:sz w:val="22"/>
          <w:lang w:val="en-US"/>
        </w:rPr>
        <w:t>.</w:t>
      </w:r>
    </w:p>
    <w:p w14:paraId="773F5BBE" w14:textId="59D19C95" w:rsidR="00E010AC" w:rsidRDefault="00E010AC" w:rsidP="00CE6AFD">
      <w:pPr>
        <w:spacing w:afterLines="50" w:after="120"/>
        <w:jc w:val="both"/>
        <w:rPr>
          <w:rFonts w:eastAsia="ＭＳ 明朝"/>
          <w:sz w:val="22"/>
          <w:lang w:val="en-US"/>
        </w:rPr>
      </w:pPr>
    </w:p>
    <w:p w14:paraId="5970F4A4" w14:textId="072EE15B" w:rsidR="00F76440" w:rsidRDefault="00F76440" w:rsidP="00CE6AFD">
      <w:pPr>
        <w:spacing w:afterLines="50" w:after="120"/>
        <w:jc w:val="both"/>
        <w:rPr>
          <w:rFonts w:eastAsia="ＭＳ 明朝"/>
          <w:sz w:val="22"/>
          <w:lang w:val="en-US"/>
        </w:rPr>
      </w:pPr>
      <w:r>
        <w:rPr>
          <w:rFonts w:eastAsia="ＭＳ 明朝" w:hint="eastAsia"/>
          <w:sz w:val="22"/>
          <w:lang w:val="en-US"/>
        </w:rPr>
        <w:t>Whether to support maximum number of HARQ processes 8 or 16 could impact on the following two aspects:</w:t>
      </w:r>
    </w:p>
    <w:p w14:paraId="2C881170" w14:textId="1D459E40" w:rsidR="00F76440" w:rsidRDefault="00F76440" w:rsidP="00F76440">
      <w:pPr>
        <w:pStyle w:val="afc"/>
        <w:numPr>
          <w:ilvl w:val="0"/>
          <w:numId w:val="13"/>
        </w:numPr>
        <w:spacing w:afterLines="50" w:after="120"/>
        <w:ind w:leftChars="0"/>
        <w:jc w:val="both"/>
        <w:rPr>
          <w:rFonts w:eastAsia="ＭＳ 明朝"/>
          <w:sz w:val="22"/>
          <w:lang w:val="en-US"/>
        </w:rPr>
      </w:pPr>
      <w:r>
        <w:rPr>
          <w:rFonts w:eastAsia="ＭＳ 明朝"/>
          <w:sz w:val="22"/>
          <w:lang w:val="en-US"/>
        </w:rPr>
        <w:t>Field size of HARQ process ID indicator in the DCI scheduling DL data</w:t>
      </w:r>
    </w:p>
    <w:p w14:paraId="12D4B047" w14:textId="252E623C" w:rsidR="00F76440" w:rsidRPr="00F76440" w:rsidRDefault="00F76440" w:rsidP="00F76440">
      <w:pPr>
        <w:pStyle w:val="afc"/>
        <w:numPr>
          <w:ilvl w:val="0"/>
          <w:numId w:val="13"/>
        </w:numPr>
        <w:spacing w:afterLines="50" w:after="120"/>
        <w:ind w:leftChars="0"/>
        <w:jc w:val="both"/>
        <w:rPr>
          <w:rFonts w:eastAsia="ＭＳ 明朝"/>
          <w:sz w:val="22"/>
          <w:lang w:val="en-US"/>
        </w:rPr>
      </w:pPr>
      <w:r>
        <w:rPr>
          <w:rFonts w:eastAsia="ＭＳ 明朝"/>
          <w:sz w:val="22"/>
          <w:lang w:val="en-US"/>
        </w:rPr>
        <w:t>Soft-buffer size and management</w:t>
      </w:r>
    </w:p>
    <w:p w14:paraId="11AA46F4" w14:textId="3BC0FF46" w:rsidR="00F76440" w:rsidRPr="00F76440" w:rsidRDefault="00F76440" w:rsidP="00D26EB1">
      <w:pPr>
        <w:spacing w:afterLines="50" w:after="120"/>
        <w:jc w:val="both"/>
        <w:rPr>
          <w:rFonts w:eastAsia="ＭＳ 明朝"/>
          <w:sz w:val="22"/>
          <w:lang w:val="en-US"/>
        </w:rPr>
      </w:pPr>
      <w:r>
        <w:rPr>
          <w:rFonts w:eastAsia="ＭＳ 明朝" w:hint="eastAsia"/>
          <w:sz w:val="22"/>
          <w:lang w:val="en-US"/>
        </w:rPr>
        <w:t xml:space="preserve">We consider that soft-buffer size and management can be </w:t>
      </w:r>
      <w:r w:rsidR="00C61523">
        <w:rPr>
          <w:rFonts w:eastAsia="ＭＳ 明朝"/>
          <w:sz w:val="22"/>
          <w:lang w:val="en-US"/>
        </w:rPr>
        <w:t xml:space="preserve">decoupled </w:t>
      </w:r>
      <w:r w:rsidR="00280195">
        <w:rPr>
          <w:rFonts w:eastAsia="ＭＳ 明朝"/>
          <w:sz w:val="22"/>
          <w:lang w:val="en-US"/>
        </w:rPr>
        <w:t xml:space="preserve">from the discussion on </w:t>
      </w:r>
      <w:r>
        <w:rPr>
          <w:rFonts w:eastAsia="ＭＳ 明朝"/>
          <w:sz w:val="22"/>
          <w:lang w:val="en-US"/>
        </w:rPr>
        <w:t>the maximum number of HARQ processes supported for NR. This was already realized in LTE; in case of TDD, maximum number of HARQ processes is more than 8, but soft-buffer size is defined assuming that sufficient number of soft bits is available for up to 8 HARQ processes.</w:t>
      </w:r>
      <w:r w:rsidR="00280195">
        <w:rPr>
          <w:rFonts w:eastAsia="ＭＳ 明朝"/>
          <w:sz w:val="22"/>
          <w:lang w:val="en-US"/>
        </w:rPr>
        <w:t xml:space="preserve"> With the assumption that maximum number of HARQ processes of the carrier is 16, necessary soft-buffer size could be determined based on the investigation/evaluation.</w:t>
      </w:r>
    </w:p>
    <w:p w14:paraId="2F5806DD" w14:textId="60D3CA32" w:rsidR="00ED252C" w:rsidRPr="00927ED1" w:rsidRDefault="00ED252C" w:rsidP="00D26EB1">
      <w:pPr>
        <w:spacing w:afterLines="50" w:after="120"/>
        <w:jc w:val="both"/>
        <w:rPr>
          <w:rFonts w:eastAsia="ＭＳ 明朝"/>
          <w:b/>
          <w:sz w:val="22"/>
          <w:u w:val="single"/>
          <w:lang w:val="en-US"/>
        </w:rPr>
      </w:pPr>
      <w:r w:rsidRPr="00927ED1">
        <w:rPr>
          <w:rFonts w:eastAsia="ＭＳ 明朝" w:hint="eastAsia"/>
          <w:b/>
          <w:sz w:val="22"/>
          <w:u w:val="single"/>
          <w:lang w:val="en-US"/>
        </w:rPr>
        <w:t>Proposals:</w:t>
      </w:r>
    </w:p>
    <w:p w14:paraId="3800C41F" w14:textId="0FED554B" w:rsidR="00ED252C" w:rsidRDefault="00F76440" w:rsidP="00927ED1">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M</w:t>
      </w:r>
      <w:r>
        <w:rPr>
          <w:rFonts w:eastAsia="ＭＳ 明朝"/>
          <w:i/>
          <w:sz w:val="22"/>
          <w:lang w:val="en-US"/>
        </w:rPr>
        <w:t>aximum number of HARQ processes for a given carrier supported for NR is 16.</w:t>
      </w:r>
    </w:p>
    <w:p w14:paraId="1EEDCBF4" w14:textId="1AB2A6B2" w:rsidR="00F76440" w:rsidRPr="00927ED1" w:rsidRDefault="00F76440" w:rsidP="00F76440">
      <w:pPr>
        <w:pStyle w:val="afc"/>
        <w:numPr>
          <w:ilvl w:val="1"/>
          <w:numId w:val="10"/>
        </w:numPr>
        <w:spacing w:afterLines="50" w:after="120"/>
        <w:ind w:leftChars="0"/>
        <w:jc w:val="both"/>
        <w:rPr>
          <w:rFonts w:eastAsia="ＭＳ 明朝"/>
          <w:i/>
          <w:sz w:val="22"/>
          <w:lang w:val="en-US"/>
        </w:rPr>
      </w:pPr>
      <w:r>
        <w:rPr>
          <w:rFonts w:eastAsia="ＭＳ 明朝"/>
          <w:i/>
          <w:sz w:val="22"/>
          <w:lang w:val="en-US"/>
        </w:rPr>
        <w:t>Note: Smaller value should be configurable.</w:t>
      </w:r>
    </w:p>
    <w:p w14:paraId="4761639B" w14:textId="36727421" w:rsidR="00927ED1" w:rsidRPr="00927ED1" w:rsidRDefault="00F76440" w:rsidP="00927ED1">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 xml:space="preserve">Soft-buffer size/management is </w:t>
      </w:r>
      <w:r w:rsidR="00FA41C2">
        <w:rPr>
          <w:rFonts w:eastAsia="ＭＳ 明朝"/>
          <w:i/>
          <w:sz w:val="22"/>
          <w:lang w:val="en-US"/>
        </w:rPr>
        <w:t>discussed separately from the maximum number of HARQ processes for a given carrier.</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55E6CE13" w:rsidR="00895E2D" w:rsidRDefault="00280195" w:rsidP="00386F11">
      <w:pPr>
        <w:widowControl w:val="0"/>
        <w:spacing w:after="120"/>
        <w:jc w:val="both"/>
        <w:rPr>
          <w:sz w:val="22"/>
          <w:szCs w:val="22"/>
          <w:lang w:val="en-US"/>
        </w:rPr>
      </w:pPr>
      <w:r>
        <w:rPr>
          <w:rFonts w:hint="eastAsia"/>
          <w:sz w:val="22"/>
          <w:szCs w:val="22"/>
          <w:lang w:val="en-US"/>
        </w:rPr>
        <w:t>In this contribution, we discussed maximum number of HARQ processes for NR, and made following proposals.</w:t>
      </w:r>
    </w:p>
    <w:p w14:paraId="3186E003" w14:textId="77777777" w:rsidR="00280195" w:rsidRPr="00927ED1" w:rsidRDefault="00280195" w:rsidP="00280195">
      <w:pPr>
        <w:spacing w:afterLines="50" w:after="120"/>
        <w:jc w:val="both"/>
        <w:rPr>
          <w:rFonts w:eastAsia="ＭＳ 明朝"/>
          <w:b/>
          <w:sz w:val="22"/>
          <w:u w:val="single"/>
          <w:lang w:val="en-US"/>
        </w:rPr>
      </w:pPr>
      <w:r w:rsidRPr="00927ED1">
        <w:rPr>
          <w:rFonts w:eastAsia="ＭＳ 明朝" w:hint="eastAsia"/>
          <w:b/>
          <w:sz w:val="22"/>
          <w:u w:val="single"/>
          <w:lang w:val="en-US"/>
        </w:rPr>
        <w:t>Proposals:</w:t>
      </w:r>
    </w:p>
    <w:p w14:paraId="1E4C903C" w14:textId="77777777" w:rsidR="00280195" w:rsidRDefault="00280195" w:rsidP="00280195">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M</w:t>
      </w:r>
      <w:r>
        <w:rPr>
          <w:rFonts w:eastAsia="ＭＳ 明朝"/>
          <w:i/>
          <w:sz w:val="22"/>
          <w:lang w:val="en-US"/>
        </w:rPr>
        <w:t>aximum number of HARQ processes for a given carrier supported for NR is 16.</w:t>
      </w:r>
    </w:p>
    <w:p w14:paraId="7A4609A9" w14:textId="77777777" w:rsidR="00280195" w:rsidRPr="00927ED1" w:rsidRDefault="00280195" w:rsidP="00280195">
      <w:pPr>
        <w:pStyle w:val="afc"/>
        <w:numPr>
          <w:ilvl w:val="1"/>
          <w:numId w:val="10"/>
        </w:numPr>
        <w:spacing w:afterLines="50" w:after="120"/>
        <w:ind w:leftChars="0"/>
        <w:jc w:val="both"/>
        <w:rPr>
          <w:rFonts w:eastAsia="ＭＳ 明朝"/>
          <w:i/>
          <w:sz w:val="22"/>
          <w:lang w:val="en-US"/>
        </w:rPr>
      </w:pPr>
      <w:r>
        <w:rPr>
          <w:rFonts w:eastAsia="ＭＳ 明朝"/>
          <w:i/>
          <w:sz w:val="22"/>
          <w:lang w:val="en-US"/>
        </w:rPr>
        <w:t>Note: Smaller value should be configurable.</w:t>
      </w:r>
    </w:p>
    <w:p w14:paraId="6BED9D9D" w14:textId="77777777" w:rsidR="00280195" w:rsidRPr="00927ED1" w:rsidRDefault="00280195" w:rsidP="00280195">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 xml:space="preserve">Soft-buffer size/management is </w:t>
      </w:r>
      <w:r>
        <w:rPr>
          <w:rFonts w:eastAsia="ＭＳ 明朝"/>
          <w:i/>
          <w:sz w:val="22"/>
          <w:lang w:val="en-US"/>
        </w:rPr>
        <w:t>discussed separately from the maximum number of HARQ processes for a given carrier.</w:t>
      </w:r>
    </w:p>
    <w:p w14:paraId="127C8765" w14:textId="77777777" w:rsidR="00280195" w:rsidRPr="00280195" w:rsidRDefault="00280195" w:rsidP="00386F11">
      <w:pPr>
        <w:widowControl w:val="0"/>
        <w:spacing w:after="120"/>
        <w:jc w:val="both"/>
        <w:rPr>
          <w:sz w:val="22"/>
          <w:szCs w:val="22"/>
          <w:lang w:val="en-US"/>
        </w:rPr>
      </w:pPr>
    </w:p>
    <w:p w14:paraId="28A6310E" w14:textId="77777777" w:rsidR="002D031E" w:rsidRPr="007B3BA0" w:rsidRDefault="002D031E" w:rsidP="002D031E">
      <w:pPr>
        <w:pStyle w:val="1"/>
        <w:spacing w:after="120"/>
        <w:jc w:val="both"/>
        <w:rPr>
          <w:b/>
          <w:lang w:val="en-US"/>
        </w:rPr>
      </w:pPr>
      <w:r w:rsidRPr="007B3BA0">
        <w:rPr>
          <w:b/>
          <w:lang w:val="en-US"/>
        </w:rPr>
        <w:lastRenderedPageBreak/>
        <w:t>References</w:t>
      </w:r>
    </w:p>
    <w:p w14:paraId="0AB4A82D" w14:textId="77777777" w:rsidR="002D031E" w:rsidRDefault="002D031E" w:rsidP="002D031E">
      <w:pPr>
        <w:widowControl w:val="0"/>
        <w:numPr>
          <w:ilvl w:val="0"/>
          <w:numId w:val="15"/>
        </w:numPr>
        <w:spacing w:after="120"/>
        <w:jc w:val="both"/>
        <w:rPr>
          <w:sz w:val="22"/>
          <w:szCs w:val="22"/>
          <w:lang w:val="en-US"/>
        </w:rPr>
      </w:pPr>
      <w:r>
        <w:rPr>
          <w:sz w:val="22"/>
          <w:szCs w:val="22"/>
          <w:lang w:val="en-US"/>
        </w:rPr>
        <w:t>3GPP RAN1#86bis Chairman’s note.</w:t>
      </w:r>
    </w:p>
    <w:p w14:paraId="4FA481C4" w14:textId="6614304F" w:rsidR="002D031E" w:rsidRDefault="002D031E" w:rsidP="002D031E">
      <w:pPr>
        <w:widowControl w:val="0"/>
        <w:numPr>
          <w:ilvl w:val="0"/>
          <w:numId w:val="15"/>
        </w:numPr>
        <w:spacing w:after="120"/>
        <w:jc w:val="both"/>
        <w:rPr>
          <w:sz w:val="22"/>
          <w:szCs w:val="22"/>
          <w:lang w:val="en-US"/>
        </w:rPr>
      </w:pPr>
      <w:r>
        <w:rPr>
          <w:sz w:val="22"/>
          <w:szCs w:val="22"/>
          <w:lang w:val="en-US"/>
        </w:rPr>
        <w:t>3GPP RAN1 January NR AH Chairman’s note.</w:t>
      </w:r>
    </w:p>
    <w:p w14:paraId="2F8E45A2" w14:textId="631379DC" w:rsidR="002D031E" w:rsidRDefault="002D031E" w:rsidP="002D031E">
      <w:pPr>
        <w:widowControl w:val="0"/>
        <w:numPr>
          <w:ilvl w:val="0"/>
          <w:numId w:val="15"/>
        </w:numPr>
        <w:spacing w:after="120"/>
        <w:jc w:val="both"/>
        <w:rPr>
          <w:sz w:val="22"/>
          <w:szCs w:val="22"/>
          <w:lang w:val="en-US"/>
        </w:rPr>
      </w:pPr>
      <w:r>
        <w:rPr>
          <w:sz w:val="22"/>
          <w:szCs w:val="22"/>
          <w:lang w:val="en-US"/>
        </w:rPr>
        <w:t>3GPP RAN1#89 Chairman’s note.</w:t>
      </w:r>
    </w:p>
    <w:p w14:paraId="19376196" w14:textId="77777777" w:rsidR="00895E2D" w:rsidRPr="002D031E"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2506F" w14:textId="77777777" w:rsidR="00DB1CDD" w:rsidRDefault="00DB1CDD">
      <w:r>
        <w:separator/>
      </w:r>
    </w:p>
  </w:endnote>
  <w:endnote w:type="continuationSeparator" w:id="0">
    <w:p w14:paraId="52E3EA85" w14:textId="77777777" w:rsidR="00DB1CDD" w:rsidRDefault="00DB1CDD">
      <w:r>
        <w:continuationSeparator/>
      </w:r>
    </w:p>
  </w:endnote>
  <w:endnote w:type="continuationNotice" w:id="1">
    <w:p w14:paraId="432C4905" w14:textId="77777777" w:rsidR="00DB1CDD" w:rsidRDefault="00DB1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BC0240B"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B3F1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B3F1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53FC9" w14:textId="77777777" w:rsidR="00DB1CDD" w:rsidRDefault="00DB1CDD">
      <w:r>
        <w:separator/>
      </w:r>
    </w:p>
  </w:footnote>
  <w:footnote w:type="continuationSeparator" w:id="0">
    <w:p w14:paraId="35353D95" w14:textId="77777777" w:rsidR="00DB1CDD" w:rsidRDefault="00DB1CDD">
      <w:r>
        <w:continuationSeparator/>
      </w:r>
    </w:p>
  </w:footnote>
  <w:footnote w:type="continuationNotice" w:id="1">
    <w:p w14:paraId="45D3CCE8" w14:textId="77777777" w:rsidR="00DB1CDD" w:rsidRDefault="00DB1C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14"/>
  </w:num>
  <w:num w:numId="5">
    <w:abstractNumId w:val="8"/>
  </w:num>
  <w:num w:numId="6">
    <w:abstractNumId w:val="5"/>
  </w:num>
  <w:num w:numId="7">
    <w:abstractNumId w:val="1"/>
  </w:num>
  <w:num w:numId="8">
    <w:abstractNumId w:val="9"/>
  </w:num>
  <w:num w:numId="9">
    <w:abstractNumId w:val="11"/>
  </w:num>
  <w:num w:numId="10">
    <w:abstractNumId w:val="7"/>
  </w:num>
  <w:num w:numId="11">
    <w:abstractNumId w:val="13"/>
  </w:num>
  <w:num w:numId="12">
    <w:abstractNumId w:val="2"/>
  </w:num>
  <w:num w:numId="13">
    <w:abstractNumId w:val="12"/>
  </w:num>
  <w:num w:numId="14">
    <w:abstractNumId w:val="3"/>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55AD"/>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195"/>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31E"/>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5F7"/>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968"/>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429"/>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6C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1CDD"/>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2E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3F12"/>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0CDB1-1C7C-4122-A538-61A9E49F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1256</Words>
  <Characters>7160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2017-06-17T03:58:00Z</dcterms:created>
  <dcterms:modified xsi:type="dcterms:W3CDTF">2017-06-17T03:58:00Z</dcterms:modified>
</cp:coreProperties>
</file>