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485D5A92" w:rsidR="00AB16D3" w:rsidRPr="008D2088" w:rsidRDefault="00AB16D3" w:rsidP="00AB16D3">
      <w:pPr>
        <w:pStyle w:val="Header"/>
        <w:rPr>
          <w:bCs/>
          <w:noProof w:val="0"/>
          <w:sz w:val="24"/>
          <w:lang w:val="en-GB"/>
        </w:rPr>
      </w:pPr>
      <w:r w:rsidRPr="008D2088">
        <w:rPr>
          <w:bCs/>
          <w:noProof w:val="0"/>
          <w:sz w:val="24"/>
          <w:lang w:val="en-GB"/>
        </w:rPr>
        <w:t>3GPP TSG RAN WG1</w:t>
      </w:r>
      <w:r w:rsidR="00B325A0">
        <w:rPr>
          <w:bCs/>
          <w:noProof w:val="0"/>
          <w:sz w:val="24"/>
          <w:lang w:val="en-GB"/>
        </w:rPr>
        <w:t xml:space="preserve"> NR</w:t>
      </w:r>
      <w:r w:rsidR="00CC65F0">
        <w:rPr>
          <w:bCs/>
          <w:noProof w:val="0"/>
          <w:sz w:val="24"/>
          <w:lang w:val="en-GB"/>
        </w:rPr>
        <w:t>#2</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B325A0">
        <w:rPr>
          <w:bCs/>
          <w:noProof w:val="0"/>
          <w:sz w:val="24"/>
          <w:lang w:val="en-GB"/>
        </w:rPr>
        <w:tab/>
      </w:r>
      <w:r w:rsidR="00B325A0">
        <w:rPr>
          <w:bCs/>
          <w:noProof w:val="0"/>
          <w:sz w:val="24"/>
          <w:lang w:val="en-GB"/>
        </w:rPr>
        <w:tab/>
      </w:r>
      <w:r w:rsidR="00B325A0">
        <w:rPr>
          <w:bCs/>
          <w:noProof w:val="0"/>
          <w:sz w:val="24"/>
          <w:lang w:val="en-GB"/>
        </w:rPr>
        <w:tab/>
      </w:r>
      <w:r w:rsidR="003B60BE" w:rsidRPr="003B60BE">
        <w:rPr>
          <w:bCs/>
          <w:noProof w:val="0"/>
          <w:sz w:val="24"/>
          <w:lang w:val="en-GB"/>
        </w:rPr>
        <w:t>R1-1710885</w:t>
      </w:r>
      <w:r w:rsidR="003B60BE" w:rsidRPr="003B60BE" w:rsidDel="003B60BE">
        <w:rPr>
          <w:bCs/>
          <w:noProof w:val="0"/>
          <w:sz w:val="24"/>
          <w:lang w:val="en-GB"/>
        </w:rPr>
        <w:t xml:space="preserve"> </w:t>
      </w:r>
    </w:p>
    <w:p w14:paraId="04ED3E0C" w14:textId="2B3E992F" w:rsidR="002F115E" w:rsidRPr="00461210" w:rsidRDefault="00CC65F0" w:rsidP="002F115E">
      <w:pPr>
        <w:pStyle w:val="Header"/>
        <w:tabs>
          <w:tab w:val="right" w:pos="9639"/>
        </w:tabs>
        <w:rPr>
          <w:bCs/>
          <w:noProof w:val="0"/>
          <w:sz w:val="24"/>
          <w:lang w:val="en-GB"/>
        </w:rPr>
      </w:pPr>
      <w:r>
        <w:rPr>
          <w:noProof w:val="0"/>
          <w:sz w:val="24"/>
          <w:lang w:val="en-GB"/>
        </w:rPr>
        <w:t>Qingdao</w:t>
      </w:r>
      <w:r w:rsidR="002F115E">
        <w:rPr>
          <w:noProof w:val="0"/>
          <w:sz w:val="24"/>
          <w:lang w:val="en-GB"/>
        </w:rPr>
        <w:t xml:space="preserve">, China, </w:t>
      </w:r>
      <w:r>
        <w:rPr>
          <w:noProof w:val="0"/>
          <w:sz w:val="24"/>
          <w:lang w:val="en-GB"/>
        </w:rPr>
        <w:t>27</w:t>
      </w:r>
      <w:r w:rsidR="002F115E" w:rsidRPr="00FF159C">
        <w:rPr>
          <w:noProof w:val="0"/>
          <w:sz w:val="24"/>
          <w:vertAlign w:val="superscript"/>
          <w:lang w:val="en-GB"/>
        </w:rPr>
        <w:t>th</w:t>
      </w:r>
      <w:r w:rsidR="002F115E">
        <w:rPr>
          <w:noProof w:val="0"/>
          <w:sz w:val="24"/>
          <w:lang w:val="en-GB"/>
        </w:rPr>
        <w:t>-</w:t>
      </w:r>
      <w:r w:rsidR="00A73C8F">
        <w:rPr>
          <w:noProof w:val="0"/>
          <w:sz w:val="24"/>
          <w:lang w:val="en-GB"/>
        </w:rPr>
        <w:t xml:space="preserve"> </w:t>
      </w:r>
      <w:bookmarkStart w:id="0" w:name="_GoBack"/>
      <w:bookmarkEnd w:id="0"/>
      <w:r>
        <w:rPr>
          <w:noProof w:val="0"/>
          <w:sz w:val="24"/>
          <w:lang w:val="en-GB"/>
        </w:rPr>
        <w:t>30</w:t>
      </w:r>
      <w:r w:rsidR="002F115E" w:rsidRPr="00FF159C">
        <w:rPr>
          <w:noProof w:val="0"/>
          <w:sz w:val="24"/>
          <w:vertAlign w:val="superscript"/>
          <w:lang w:val="en-GB"/>
        </w:rPr>
        <w:t>th</w:t>
      </w:r>
      <w:r w:rsidR="002F115E">
        <w:rPr>
          <w:noProof w:val="0"/>
          <w:sz w:val="24"/>
          <w:lang w:val="en-GB"/>
        </w:rPr>
        <w:t xml:space="preserve"> </w:t>
      </w:r>
      <w:r>
        <w:rPr>
          <w:noProof w:val="0"/>
          <w:sz w:val="24"/>
          <w:lang w:val="en-GB"/>
        </w:rPr>
        <w:t>June</w:t>
      </w:r>
      <w:r w:rsidR="002F115E">
        <w:rPr>
          <w:bCs/>
          <w:sz w:val="24"/>
        </w:rPr>
        <w:t xml:space="preserve"> </w:t>
      </w:r>
      <w:r w:rsidR="002F115E" w:rsidRPr="00235B77">
        <w:rPr>
          <w:bCs/>
          <w:sz w:val="24"/>
        </w:rPr>
        <w:t>201</w:t>
      </w:r>
      <w:r w:rsidR="002F115E">
        <w:rPr>
          <w:bCs/>
          <w:sz w:val="24"/>
        </w:rPr>
        <w:t>7</w:t>
      </w:r>
    </w:p>
    <w:p w14:paraId="48E1CB0D" w14:textId="77777777" w:rsidR="00CA26CE" w:rsidRPr="0016316A" w:rsidRDefault="00CA26CE" w:rsidP="00CA26CE">
      <w:pPr>
        <w:pStyle w:val="Header"/>
        <w:rPr>
          <w:bCs/>
          <w:noProof w:val="0"/>
          <w:sz w:val="24"/>
          <w:lang w:val="en-GB" w:eastAsia="ja-JP"/>
        </w:rPr>
      </w:pPr>
    </w:p>
    <w:p w14:paraId="48E1CB0E" w14:textId="3C8D7F36"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C65F0">
        <w:rPr>
          <w:rFonts w:cs="Arial"/>
          <w:b/>
          <w:bCs/>
          <w:sz w:val="24"/>
        </w:rPr>
        <w:t>5</w:t>
      </w:r>
      <w:r w:rsidR="00625A4E">
        <w:rPr>
          <w:rFonts w:cs="Arial"/>
          <w:b/>
          <w:bCs/>
          <w:sz w:val="24"/>
        </w:rPr>
        <w:t>.1.3.</w:t>
      </w:r>
      <w:r w:rsidR="0003116C">
        <w:rPr>
          <w:rFonts w:cs="Arial"/>
          <w:b/>
          <w:bCs/>
          <w:sz w:val="24"/>
        </w:rPr>
        <w:t>4.1.1</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7F59A76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3BC">
        <w:rPr>
          <w:rFonts w:ascii="Arial" w:hAnsi="Arial" w:cs="Arial"/>
          <w:b/>
          <w:bCs/>
          <w:sz w:val="24"/>
        </w:rPr>
        <w:t>On cross-carrier scheduling and joint UCI design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4C01BC38" w:rsidR="0034111C" w:rsidRPr="0016316A" w:rsidRDefault="0034111C" w:rsidP="00CF0B1C">
      <w:pPr>
        <w:pStyle w:val="Heading1"/>
        <w:ind w:left="0" w:firstLine="0"/>
      </w:pPr>
      <w:r w:rsidRPr="0016316A">
        <w:t>1</w:t>
      </w:r>
      <w:r w:rsidR="00CF0B1C">
        <w:t>.</w:t>
      </w:r>
      <w:r w:rsidRPr="0016316A">
        <w:tab/>
      </w:r>
      <w:r w:rsidR="00EE7FA7" w:rsidRPr="0016316A">
        <w:t>Introduction</w:t>
      </w:r>
    </w:p>
    <w:p w14:paraId="48E1CB1D" w14:textId="6470C1F7" w:rsidR="0078539D" w:rsidRDefault="003353BC" w:rsidP="009C0F3D">
      <w:pPr>
        <w:spacing w:after="120"/>
        <w:jc w:val="both"/>
        <w:rPr>
          <w:szCs w:val="22"/>
          <w:lang w:val="en-US"/>
        </w:rPr>
      </w:pPr>
      <w:r>
        <w:rPr>
          <w:szCs w:val="22"/>
          <w:lang w:val="en-US"/>
        </w:rPr>
        <w:t>In RAN1#89, companies agreed the support of cross-carrier scheduling and joint UCI</w:t>
      </w:r>
      <w:r w:rsidR="00EF0F24">
        <w:rPr>
          <w:szCs w:val="22"/>
          <w:lang w:val="en-US"/>
        </w:rPr>
        <w:t xml:space="preserve"> also</w:t>
      </w:r>
      <w:r>
        <w:rPr>
          <w:szCs w:val="22"/>
          <w:lang w:val="en-US"/>
        </w:rPr>
        <w:t xml:space="preserve"> across different numerologies</w:t>
      </w:r>
    </w:p>
    <w:p w14:paraId="60C0589A" w14:textId="77777777" w:rsidR="00CE724E" w:rsidRPr="003353BC" w:rsidRDefault="00096ED1" w:rsidP="003353BC">
      <w:pPr>
        <w:spacing w:after="120"/>
        <w:jc w:val="both"/>
        <w:rPr>
          <w:i/>
          <w:szCs w:val="22"/>
          <w:lang w:val="fi-FI"/>
        </w:rPr>
      </w:pPr>
      <w:r w:rsidRPr="003353BC">
        <w:rPr>
          <w:b/>
          <w:bCs/>
          <w:i/>
          <w:szCs w:val="22"/>
          <w:highlight w:val="green"/>
          <w:u w:val="single"/>
        </w:rPr>
        <w:t>Agreements:</w:t>
      </w:r>
    </w:p>
    <w:p w14:paraId="4E13F658"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 xml:space="preserve">Support cross-carrier scheduling for aggregated carriers with the same and different numerology. </w:t>
      </w:r>
    </w:p>
    <w:p w14:paraId="6EDE651C"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FFS: the timing relationship between DCI and the corresponding PDSCH/PUSCH</w:t>
      </w:r>
    </w:p>
    <w:p w14:paraId="64D9C686"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impact on the maximum number of HARQ processes</w:t>
      </w:r>
    </w:p>
    <w:p w14:paraId="11A1FD7E"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w:t>
      </w:r>
    </w:p>
    <w:p w14:paraId="0E867317"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 xml:space="preserve">Support joint UCI feedback for aggregated carriers with the same or different numerology. </w:t>
      </w:r>
    </w:p>
    <w:p w14:paraId="56F9E231"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 xml:space="preserve">FFS: the timing relationship between PDSCH and the corresponding HARQ-ACK </w:t>
      </w:r>
    </w:p>
    <w:p w14:paraId="4B674B6A"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 xml:space="preserve">FFS: impact on maximum number of HARQ process </w:t>
      </w:r>
    </w:p>
    <w:p w14:paraId="54C504A3"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w:t>
      </w:r>
    </w:p>
    <w:p w14:paraId="254FC6F8"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Support SRS fast switching among N uplink carriers</w:t>
      </w:r>
    </w:p>
    <w:p w14:paraId="0090E533"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The number of M uplink carriers supported by the UE for simultaneous transmission can be smaller than N</w:t>
      </w:r>
    </w:p>
    <w:p w14:paraId="51B5857B" w14:textId="77777777" w:rsidR="00CE724E" w:rsidRPr="003353BC" w:rsidRDefault="00096ED1" w:rsidP="003353BC">
      <w:pPr>
        <w:numPr>
          <w:ilvl w:val="2"/>
          <w:numId w:val="22"/>
        </w:numPr>
        <w:tabs>
          <w:tab w:val="clear" w:pos="2160"/>
        </w:tabs>
        <w:spacing w:after="120"/>
        <w:jc w:val="both"/>
        <w:rPr>
          <w:i/>
          <w:szCs w:val="22"/>
          <w:lang w:val="en-US"/>
        </w:rPr>
      </w:pPr>
      <w:r w:rsidRPr="003353BC">
        <w:rPr>
          <w:i/>
          <w:szCs w:val="22"/>
        </w:rPr>
        <w:t>Note: M can be 1 or larger depending on UE capability</w:t>
      </w:r>
    </w:p>
    <w:p w14:paraId="3BCEA31D"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 on combination of different frequency bands)</w:t>
      </w:r>
    </w:p>
    <w:p w14:paraId="01547644"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Support one PUCCH in one cell group for NR DC/CA</w:t>
      </w:r>
    </w:p>
    <w:p w14:paraId="2049C34E"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T</w:t>
      </w:r>
      <w:r w:rsidRPr="003353BC">
        <w:rPr>
          <w:i/>
          <w:szCs w:val="22"/>
        </w:rPr>
        <w:t>he carrier for PUCCH transmission can be configured within one cell group</w:t>
      </w:r>
    </w:p>
    <w:p w14:paraId="48D64E72"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 on combination of different frequency bands)</w:t>
      </w:r>
    </w:p>
    <w:p w14:paraId="4CF31761" w14:textId="1A4D5EF2" w:rsidR="003353BC" w:rsidRDefault="003353BC" w:rsidP="009C0F3D">
      <w:pPr>
        <w:spacing w:after="120"/>
        <w:jc w:val="both"/>
        <w:rPr>
          <w:szCs w:val="22"/>
          <w:lang w:val="en-US"/>
        </w:rPr>
      </w:pPr>
    </w:p>
    <w:p w14:paraId="0EE649F4" w14:textId="0421A6F3" w:rsidR="003353BC" w:rsidRPr="003353BC" w:rsidRDefault="00EF0F24" w:rsidP="009C0F3D">
      <w:pPr>
        <w:spacing w:after="120"/>
        <w:jc w:val="both"/>
        <w:rPr>
          <w:bCs/>
          <w:lang w:val="en-US"/>
        </w:rPr>
      </w:pPr>
      <w:r>
        <w:rPr>
          <w:szCs w:val="22"/>
          <w:lang w:val="en-US"/>
        </w:rPr>
        <w:t xml:space="preserve">The </w:t>
      </w:r>
      <w:r w:rsidR="00AE02C3">
        <w:rPr>
          <w:szCs w:val="22"/>
          <w:lang w:val="en-US"/>
        </w:rPr>
        <w:t>aspect</w:t>
      </w:r>
      <w:r>
        <w:rPr>
          <w:szCs w:val="22"/>
          <w:lang w:val="en-US"/>
        </w:rPr>
        <w:t xml:space="preserve"> of different numerologies </w:t>
      </w:r>
      <w:r w:rsidR="003353BC">
        <w:rPr>
          <w:szCs w:val="22"/>
          <w:lang w:val="en-US"/>
        </w:rPr>
        <w:t xml:space="preserve">complicates the design of cross-carrier scheduling and UCI. </w:t>
      </w:r>
      <w:r w:rsidR="00AE02C3">
        <w:rPr>
          <w:szCs w:val="22"/>
          <w:lang w:val="en-US"/>
        </w:rPr>
        <w:t>Therefore</w:t>
      </w:r>
      <w:r w:rsidR="00C339EA">
        <w:rPr>
          <w:szCs w:val="22"/>
          <w:lang w:val="en-US"/>
        </w:rPr>
        <w:t>,</w:t>
      </w:r>
      <w:r w:rsidR="003353BC">
        <w:rPr>
          <w:szCs w:val="22"/>
          <w:lang w:val="en-US"/>
        </w:rPr>
        <w:t xml:space="preserve"> we will concentrate </w:t>
      </w:r>
      <w:r w:rsidR="00AE02C3">
        <w:rPr>
          <w:szCs w:val="22"/>
          <w:lang w:val="en-US"/>
        </w:rPr>
        <w:t xml:space="preserve">on </w:t>
      </w:r>
      <w:r w:rsidR="003353BC">
        <w:rPr>
          <w:szCs w:val="22"/>
          <w:lang w:val="en-US"/>
        </w:rPr>
        <w:t>cross-numerology</w:t>
      </w:r>
      <w:r w:rsidR="00AE02C3">
        <w:rPr>
          <w:szCs w:val="22"/>
          <w:lang w:val="en-US"/>
        </w:rPr>
        <w:t xml:space="preserve"> scheduling in Section 2 and</w:t>
      </w:r>
      <w:r w:rsidR="003353BC">
        <w:rPr>
          <w:szCs w:val="22"/>
          <w:lang w:val="en-US"/>
        </w:rPr>
        <w:t xml:space="preserve"> </w:t>
      </w:r>
      <w:r w:rsidR="00AE02C3">
        <w:rPr>
          <w:szCs w:val="22"/>
          <w:lang w:val="en-US"/>
        </w:rPr>
        <w:t xml:space="preserve">on </w:t>
      </w:r>
      <w:r w:rsidR="003353BC">
        <w:rPr>
          <w:szCs w:val="22"/>
          <w:lang w:val="en-US"/>
        </w:rPr>
        <w:t xml:space="preserve">joint cross-numerology UCI design </w:t>
      </w:r>
      <w:r w:rsidR="00AE02C3">
        <w:rPr>
          <w:szCs w:val="22"/>
          <w:lang w:val="en-US"/>
        </w:rPr>
        <w:t>in Section 3</w:t>
      </w:r>
      <w:r w:rsidR="003353BC">
        <w:rPr>
          <w:szCs w:val="22"/>
          <w:lang w:val="en-US"/>
        </w:rPr>
        <w:t xml:space="preserve">.  </w:t>
      </w:r>
    </w:p>
    <w:p w14:paraId="4C6FC4ED" w14:textId="0811F11B" w:rsidR="009A0C5B" w:rsidRDefault="003353BC" w:rsidP="003353BC">
      <w:pPr>
        <w:pStyle w:val="Heading1"/>
        <w:ind w:left="0" w:firstLine="0"/>
        <w:rPr>
          <w:lang w:eastAsia="zh-CN"/>
        </w:rPr>
      </w:pPr>
      <w:r>
        <w:rPr>
          <w:lang w:eastAsia="zh-CN"/>
        </w:rPr>
        <w:t xml:space="preserve">2. </w:t>
      </w:r>
      <w:r w:rsidR="0013767D">
        <w:rPr>
          <w:lang w:eastAsia="zh-CN"/>
        </w:rPr>
        <w:t xml:space="preserve">DL cross-numerology </w:t>
      </w:r>
      <w:r w:rsidR="009A0C5B">
        <w:rPr>
          <w:lang w:eastAsia="zh-CN"/>
        </w:rPr>
        <w:t>scheduling</w:t>
      </w:r>
    </w:p>
    <w:p w14:paraId="60E6284E" w14:textId="4AF5BE70" w:rsidR="00C53E39" w:rsidRDefault="00A52B95" w:rsidP="003D3C8A">
      <w:pPr>
        <w:jc w:val="both"/>
        <w:rPr>
          <w:bCs/>
          <w:lang w:val="en-US" w:eastAsia="zh-CN"/>
        </w:rPr>
      </w:pPr>
      <w:r>
        <w:rPr>
          <w:lang w:eastAsia="zh-CN"/>
        </w:rPr>
        <w:t>The main motivation to support</w:t>
      </w:r>
      <w:r w:rsidR="0013767D">
        <w:rPr>
          <w:bCs/>
          <w:lang w:val="en-US" w:eastAsia="zh-CN"/>
        </w:rPr>
        <w:t xml:space="preserve"> cross-carrier</w:t>
      </w:r>
      <w:r>
        <w:rPr>
          <w:bCs/>
          <w:lang w:val="en-US" w:eastAsia="zh-CN"/>
        </w:rPr>
        <w:t xml:space="preserve"> scheduling</w:t>
      </w:r>
      <w:r w:rsidR="0013767D">
        <w:rPr>
          <w:bCs/>
          <w:lang w:val="en-US" w:eastAsia="zh-CN"/>
        </w:rPr>
        <w:t xml:space="preserve"> for aggregated carriers with the </w:t>
      </w:r>
      <w:r w:rsidR="0013767D" w:rsidRPr="004E2FC2">
        <w:rPr>
          <w:bCs/>
          <w:color w:val="FF0000"/>
          <w:lang w:val="en-US" w:eastAsia="zh-CN"/>
        </w:rPr>
        <w:t>different</w:t>
      </w:r>
      <w:r w:rsidR="0013767D">
        <w:rPr>
          <w:bCs/>
          <w:color w:val="FF0000"/>
          <w:lang w:val="en-US" w:eastAsia="zh-CN"/>
        </w:rPr>
        <w:t xml:space="preserve"> </w:t>
      </w:r>
      <w:r w:rsidR="0013767D">
        <w:rPr>
          <w:bCs/>
          <w:lang w:val="en-US" w:eastAsia="zh-CN"/>
        </w:rPr>
        <w:t xml:space="preserve">numerology </w:t>
      </w:r>
      <w:r>
        <w:rPr>
          <w:bCs/>
          <w:lang w:val="en-US" w:eastAsia="zh-CN"/>
        </w:rPr>
        <w:t>was</w:t>
      </w:r>
      <w:r w:rsidR="0013767D">
        <w:rPr>
          <w:bCs/>
          <w:lang w:val="en-US" w:eastAsia="zh-CN"/>
        </w:rPr>
        <w:t xml:space="preserve"> </w:t>
      </w:r>
      <w:r w:rsidR="006B385F">
        <w:rPr>
          <w:bCs/>
          <w:lang w:val="en-US" w:eastAsia="zh-CN"/>
        </w:rPr>
        <w:t xml:space="preserve">the </w:t>
      </w:r>
      <w:r w:rsidR="0013767D">
        <w:rPr>
          <w:bCs/>
          <w:lang w:val="en-US" w:eastAsia="zh-CN"/>
        </w:rPr>
        <w:t>use</w:t>
      </w:r>
      <w:r w:rsidR="006B385F">
        <w:rPr>
          <w:bCs/>
          <w:lang w:val="en-US" w:eastAsia="zh-CN"/>
        </w:rPr>
        <w:t>-</w:t>
      </w:r>
      <w:r w:rsidR="0013767D">
        <w:rPr>
          <w:bCs/>
          <w:lang w:val="en-US" w:eastAsia="zh-CN"/>
        </w:rPr>
        <w:t xml:space="preserve">case </w:t>
      </w:r>
      <w:r w:rsidR="00E92433">
        <w:rPr>
          <w:bCs/>
          <w:lang w:val="en-US" w:eastAsia="zh-CN"/>
        </w:rPr>
        <w:t xml:space="preserve">of </w:t>
      </w:r>
      <w:r w:rsidR="0013767D">
        <w:rPr>
          <w:bCs/>
          <w:lang w:val="en-US" w:eastAsia="zh-CN"/>
        </w:rPr>
        <w:t>the low</w:t>
      </w:r>
      <w:r w:rsidR="00CA3B39">
        <w:rPr>
          <w:bCs/>
          <w:lang w:val="en-US" w:eastAsia="zh-CN"/>
        </w:rPr>
        <w:t>-</w:t>
      </w:r>
      <w:r w:rsidR="0013767D">
        <w:rPr>
          <w:bCs/>
          <w:lang w:val="en-US" w:eastAsia="zh-CN"/>
        </w:rPr>
        <w:t>band</w:t>
      </w:r>
      <w:r w:rsidR="00E15D34">
        <w:rPr>
          <w:bCs/>
          <w:lang w:val="en-US" w:eastAsia="zh-CN"/>
        </w:rPr>
        <w:t xml:space="preserve"> </w:t>
      </w:r>
      <w:r w:rsidR="00EF6A2C">
        <w:rPr>
          <w:bCs/>
          <w:lang w:val="en-US" w:eastAsia="zh-CN"/>
        </w:rPr>
        <w:t>CC1 (</w:t>
      </w:r>
      <w:r w:rsidR="00CA3B39">
        <w:rPr>
          <w:bCs/>
          <w:lang w:val="en-US" w:eastAsia="zh-CN"/>
        </w:rPr>
        <w:t xml:space="preserve">typically </w:t>
      </w:r>
      <w:r w:rsidR="00E15D34">
        <w:rPr>
          <w:bCs/>
          <w:lang w:val="en-US" w:eastAsia="zh-CN"/>
        </w:rPr>
        <w:t>with small SCS</w:t>
      </w:r>
      <w:r w:rsidR="0013767D">
        <w:rPr>
          <w:bCs/>
          <w:lang w:val="en-US" w:eastAsia="zh-CN"/>
        </w:rPr>
        <w:t xml:space="preserve">) </w:t>
      </w:r>
      <w:r w:rsidR="00771322">
        <w:rPr>
          <w:bCs/>
          <w:lang w:val="en-US" w:eastAsia="zh-CN"/>
        </w:rPr>
        <w:t>scheduling the</w:t>
      </w:r>
      <w:r w:rsidR="004575CD">
        <w:rPr>
          <w:bCs/>
          <w:lang w:val="en-US" w:eastAsia="zh-CN"/>
        </w:rPr>
        <w:t xml:space="preserve"> PDSCH on</w:t>
      </w:r>
      <w:r w:rsidR="00771322">
        <w:rPr>
          <w:bCs/>
          <w:lang w:val="en-US" w:eastAsia="zh-CN"/>
        </w:rPr>
        <w:t xml:space="preserve"> </w:t>
      </w:r>
      <w:r w:rsidR="0013767D">
        <w:rPr>
          <w:bCs/>
          <w:lang w:val="en-US" w:eastAsia="zh-CN"/>
        </w:rPr>
        <w:t>high</w:t>
      </w:r>
      <w:r w:rsidR="00CA3B39">
        <w:rPr>
          <w:bCs/>
          <w:lang w:val="en-US" w:eastAsia="zh-CN"/>
        </w:rPr>
        <w:t>-</w:t>
      </w:r>
      <w:r w:rsidR="0013767D">
        <w:rPr>
          <w:bCs/>
          <w:lang w:val="en-US" w:eastAsia="zh-CN"/>
        </w:rPr>
        <w:t>band</w:t>
      </w:r>
      <w:r w:rsidR="00EF6A2C">
        <w:rPr>
          <w:bCs/>
          <w:lang w:val="en-US" w:eastAsia="zh-CN"/>
        </w:rPr>
        <w:t xml:space="preserve"> CC2 (</w:t>
      </w:r>
      <w:r w:rsidR="00E15D34">
        <w:rPr>
          <w:bCs/>
          <w:lang w:val="en-US" w:eastAsia="zh-CN"/>
        </w:rPr>
        <w:t>with</w:t>
      </w:r>
      <w:r w:rsidR="00CA3B39">
        <w:rPr>
          <w:bCs/>
          <w:lang w:val="en-US" w:eastAsia="zh-CN"/>
        </w:rPr>
        <w:t xml:space="preserve"> typically</w:t>
      </w:r>
      <w:r w:rsidR="00E15D34">
        <w:rPr>
          <w:bCs/>
          <w:lang w:val="en-US" w:eastAsia="zh-CN"/>
        </w:rPr>
        <w:t xml:space="preserve"> large SCS</w:t>
      </w:r>
      <w:r w:rsidR="0013767D">
        <w:rPr>
          <w:bCs/>
          <w:lang w:val="en-US" w:eastAsia="zh-CN"/>
        </w:rPr>
        <w:t xml:space="preserve">). </w:t>
      </w:r>
      <w:r w:rsidR="00AE02C3">
        <w:rPr>
          <w:bCs/>
          <w:lang w:val="en-US" w:eastAsia="zh-CN"/>
        </w:rPr>
        <w:t>B</w:t>
      </w:r>
      <w:r w:rsidR="006B385F">
        <w:rPr>
          <w:bCs/>
          <w:lang w:val="en-US" w:eastAsia="zh-CN"/>
        </w:rPr>
        <w:t>ased on RAN4 agreements, t</w:t>
      </w:r>
      <w:r w:rsidR="00C53E39">
        <w:rPr>
          <w:bCs/>
          <w:lang w:val="en-US" w:eastAsia="zh-CN"/>
        </w:rPr>
        <w:t xml:space="preserve">he bands &gt;24GHz will be operating </w:t>
      </w:r>
      <w:r w:rsidR="00434D2B">
        <w:rPr>
          <w:bCs/>
          <w:lang w:val="en-US" w:eastAsia="zh-CN"/>
        </w:rPr>
        <w:t>with</w:t>
      </w:r>
      <w:r w:rsidR="00C53E39">
        <w:rPr>
          <w:bCs/>
          <w:lang w:val="en-US" w:eastAsia="zh-CN"/>
        </w:rPr>
        <w:t xml:space="preserve"> 60,</w:t>
      </w:r>
      <w:r w:rsidR="00576CD1">
        <w:rPr>
          <w:bCs/>
          <w:lang w:val="en-US" w:eastAsia="zh-CN"/>
        </w:rPr>
        <w:t xml:space="preserve"> </w:t>
      </w:r>
      <w:r w:rsidR="00C53E39">
        <w:rPr>
          <w:bCs/>
          <w:lang w:val="en-US" w:eastAsia="zh-CN"/>
        </w:rPr>
        <w:t>120 or 240(FFS) kHz SCS, while bands &lt;6GHz w</w:t>
      </w:r>
      <w:r w:rsidR="00E92433">
        <w:rPr>
          <w:bCs/>
          <w:lang w:val="en-US" w:eastAsia="zh-CN"/>
        </w:rPr>
        <w:t>ill</w:t>
      </w:r>
      <w:r w:rsidR="00C53E39">
        <w:rPr>
          <w:bCs/>
          <w:lang w:val="en-US" w:eastAsia="zh-CN"/>
        </w:rPr>
        <w:t xml:space="preserve"> be operated </w:t>
      </w:r>
      <w:r w:rsidR="00434D2B">
        <w:rPr>
          <w:bCs/>
          <w:lang w:val="en-US" w:eastAsia="zh-CN"/>
        </w:rPr>
        <w:t>with</w:t>
      </w:r>
      <w:r w:rsidR="00C53E39">
        <w:rPr>
          <w:bCs/>
          <w:lang w:val="en-US" w:eastAsia="zh-CN"/>
        </w:rPr>
        <w:t xml:space="preserve"> 15,</w:t>
      </w:r>
      <w:r w:rsidR="00E92433">
        <w:rPr>
          <w:bCs/>
          <w:lang w:val="en-US" w:eastAsia="zh-CN"/>
        </w:rPr>
        <w:t xml:space="preserve"> </w:t>
      </w:r>
      <w:r w:rsidR="00C53E39">
        <w:rPr>
          <w:bCs/>
          <w:lang w:val="en-US" w:eastAsia="zh-CN"/>
        </w:rPr>
        <w:t xml:space="preserve">30 and 60kHz SCS. </w:t>
      </w:r>
      <w:r w:rsidR="000C7302">
        <w:rPr>
          <w:bCs/>
          <w:lang w:val="en-US" w:eastAsia="zh-CN"/>
        </w:rPr>
        <w:t>However</w:t>
      </w:r>
      <w:r w:rsidR="0030205B">
        <w:rPr>
          <w:bCs/>
          <w:lang w:val="en-US" w:eastAsia="zh-CN"/>
        </w:rPr>
        <w:t>,</w:t>
      </w:r>
      <w:r w:rsidR="002661CB">
        <w:rPr>
          <w:bCs/>
          <w:lang w:val="en-US" w:eastAsia="zh-CN"/>
        </w:rPr>
        <w:t xml:space="preserve"> the slot length is band</w:t>
      </w:r>
      <w:r w:rsidR="0030205B">
        <w:rPr>
          <w:bCs/>
          <w:lang w:val="en-US" w:eastAsia="zh-CN"/>
        </w:rPr>
        <w:t>-</w:t>
      </w:r>
      <w:r w:rsidR="002661CB">
        <w:rPr>
          <w:bCs/>
          <w:lang w:val="en-US" w:eastAsia="zh-CN"/>
        </w:rPr>
        <w:t>depended/configurable</w:t>
      </w:r>
      <w:r w:rsidR="0030205B">
        <w:rPr>
          <w:bCs/>
          <w:lang w:val="en-US" w:eastAsia="zh-CN"/>
        </w:rPr>
        <w:t xml:space="preserve"> and slot-aggregation </w:t>
      </w:r>
      <w:r w:rsidR="00CA3B39">
        <w:rPr>
          <w:bCs/>
          <w:lang w:val="en-US" w:eastAsia="zh-CN"/>
        </w:rPr>
        <w:t>can be used</w:t>
      </w:r>
      <w:r w:rsidR="00AE02C3">
        <w:rPr>
          <w:bCs/>
          <w:lang w:val="en-US" w:eastAsia="zh-CN"/>
        </w:rPr>
        <w:t xml:space="preserve"> as well</w:t>
      </w:r>
      <w:r w:rsidR="00434D2B">
        <w:rPr>
          <w:bCs/>
          <w:lang w:val="en-US" w:eastAsia="zh-CN"/>
        </w:rPr>
        <w:t>, see</w:t>
      </w:r>
      <w:r w:rsidR="000C7302">
        <w:rPr>
          <w:bCs/>
          <w:lang w:val="en-US" w:eastAsia="zh-CN"/>
        </w:rPr>
        <w:t xml:space="preserve"> </w:t>
      </w:r>
      <w:r w:rsidR="000C7302">
        <w:rPr>
          <w:bCs/>
          <w:lang w:val="en-US" w:eastAsia="zh-CN"/>
        </w:rPr>
        <w:fldChar w:fldCharType="begin"/>
      </w:r>
      <w:r w:rsidR="000C7302">
        <w:rPr>
          <w:bCs/>
          <w:lang w:val="en-US" w:eastAsia="zh-CN"/>
        </w:rPr>
        <w:instrText xml:space="preserve"> REF _Ref484877133 \r \h </w:instrText>
      </w:r>
      <w:r w:rsidR="000C7302">
        <w:rPr>
          <w:bCs/>
          <w:lang w:val="en-US" w:eastAsia="zh-CN"/>
        </w:rPr>
      </w:r>
      <w:r w:rsidR="000C7302">
        <w:rPr>
          <w:bCs/>
          <w:lang w:val="en-US" w:eastAsia="zh-CN"/>
        </w:rPr>
        <w:fldChar w:fldCharType="separate"/>
      </w:r>
      <w:r w:rsidR="000C7302">
        <w:rPr>
          <w:bCs/>
          <w:lang w:val="en-US" w:eastAsia="zh-CN"/>
        </w:rPr>
        <w:t>[1]</w:t>
      </w:r>
      <w:r w:rsidR="000C7302">
        <w:rPr>
          <w:bCs/>
          <w:lang w:val="en-US" w:eastAsia="zh-CN"/>
        </w:rPr>
        <w:fldChar w:fldCharType="end"/>
      </w:r>
      <w:r w:rsidR="002661CB">
        <w:rPr>
          <w:bCs/>
          <w:lang w:val="en-US" w:eastAsia="zh-CN"/>
        </w:rPr>
        <w:t xml:space="preserve">. </w:t>
      </w:r>
      <w:r w:rsidR="000C7302">
        <w:rPr>
          <w:bCs/>
          <w:lang w:val="en-US" w:eastAsia="zh-CN"/>
        </w:rPr>
        <w:t>Therefore,</w:t>
      </w:r>
      <w:r w:rsidR="00C53E39">
        <w:rPr>
          <w:bCs/>
          <w:lang w:val="en-US" w:eastAsia="zh-CN"/>
        </w:rPr>
        <w:t xml:space="preserve"> </w:t>
      </w:r>
      <w:r w:rsidR="0030205B">
        <w:rPr>
          <w:bCs/>
          <w:lang w:val="en-US" w:eastAsia="zh-CN"/>
        </w:rPr>
        <w:t xml:space="preserve">RAN1 </w:t>
      </w:r>
      <w:r w:rsidR="002661CB">
        <w:rPr>
          <w:bCs/>
          <w:lang w:val="en-US" w:eastAsia="zh-CN"/>
        </w:rPr>
        <w:t>specification has to</w:t>
      </w:r>
      <w:r w:rsidR="000C7302">
        <w:rPr>
          <w:bCs/>
          <w:lang w:val="en-US" w:eastAsia="zh-CN"/>
        </w:rPr>
        <w:t xml:space="preserve"> anyway</w:t>
      </w:r>
      <w:r w:rsidR="002661CB">
        <w:rPr>
          <w:bCs/>
          <w:lang w:val="en-US" w:eastAsia="zh-CN"/>
        </w:rPr>
        <w:t xml:space="preserve"> support</w:t>
      </w:r>
      <w:r w:rsidR="00CA3B39">
        <w:rPr>
          <w:bCs/>
          <w:lang w:val="en-US" w:eastAsia="zh-CN"/>
        </w:rPr>
        <w:t xml:space="preserve"> both</w:t>
      </w:r>
      <w:r w:rsidR="007A257A">
        <w:rPr>
          <w:bCs/>
          <w:lang w:val="en-US" w:eastAsia="zh-CN"/>
        </w:rPr>
        <w:t>:</w:t>
      </w:r>
      <w:r w:rsidR="002661CB">
        <w:rPr>
          <w:bCs/>
          <w:lang w:val="en-US" w:eastAsia="zh-CN"/>
        </w:rPr>
        <w:t xml:space="preserve"> one-to-many</w:t>
      </w:r>
      <w:r w:rsidR="0030205B">
        <w:rPr>
          <w:bCs/>
          <w:lang w:val="en-US" w:eastAsia="zh-CN"/>
        </w:rPr>
        <w:t xml:space="preserve"> slot-based cross-CC</w:t>
      </w:r>
      <w:r w:rsidR="002661CB">
        <w:rPr>
          <w:bCs/>
          <w:lang w:val="en-US" w:eastAsia="zh-CN"/>
        </w:rPr>
        <w:t xml:space="preserve"> scheduling </w:t>
      </w:r>
      <w:r w:rsidR="000C7302">
        <w:rPr>
          <w:bCs/>
          <w:lang w:val="en-US" w:eastAsia="zh-CN"/>
        </w:rPr>
        <w:t>and</w:t>
      </w:r>
      <w:r w:rsidR="002661CB">
        <w:rPr>
          <w:bCs/>
          <w:lang w:val="en-US" w:eastAsia="zh-CN"/>
        </w:rPr>
        <w:t xml:space="preserve"> many-to-one</w:t>
      </w:r>
      <w:r w:rsidR="00CA3B39">
        <w:rPr>
          <w:bCs/>
          <w:lang w:val="en-US" w:eastAsia="zh-CN"/>
        </w:rPr>
        <w:t xml:space="preserve"> slot-based c</w:t>
      </w:r>
      <w:r w:rsidR="0030205B">
        <w:rPr>
          <w:bCs/>
          <w:lang w:val="en-US" w:eastAsia="zh-CN"/>
        </w:rPr>
        <w:t>r</w:t>
      </w:r>
      <w:r w:rsidR="00CA3B39">
        <w:rPr>
          <w:bCs/>
          <w:lang w:val="en-US" w:eastAsia="zh-CN"/>
        </w:rPr>
        <w:t>o</w:t>
      </w:r>
      <w:r w:rsidR="0030205B">
        <w:rPr>
          <w:bCs/>
          <w:lang w:val="en-US" w:eastAsia="zh-CN"/>
        </w:rPr>
        <w:t>ss-CC sche</w:t>
      </w:r>
      <w:r w:rsidR="002661CB">
        <w:rPr>
          <w:bCs/>
          <w:lang w:val="en-US" w:eastAsia="zh-CN"/>
        </w:rPr>
        <w:t>d</w:t>
      </w:r>
      <w:r w:rsidR="0030205B">
        <w:rPr>
          <w:bCs/>
          <w:lang w:val="en-US" w:eastAsia="zh-CN"/>
        </w:rPr>
        <w:t>u</w:t>
      </w:r>
      <w:r w:rsidR="002661CB">
        <w:rPr>
          <w:bCs/>
          <w:lang w:val="en-US" w:eastAsia="zh-CN"/>
        </w:rPr>
        <w:t xml:space="preserve">ling. </w:t>
      </w:r>
    </w:p>
    <w:p w14:paraId="3713FCAF" w14:textId="6916F861" w:rsidR="006B385F" w:rsidRDefault="002661CB" w:rsidP="003D3C8A">
      <w:pPr>
        <w:jc w:val="both"/>
        <w:rPr>
          <w:b/>
          <w:bCs/>
          <w:lang w:val="en-US" w:eastAsia="zh-CN"/>
        </w:rPr>
      </w:pPr>
      <w:r w:rsidRPr="00CA3B39">
        <w:rPr>
          <w:b/>
          <w:bCs/>
          <w:lang w:val="en-US" w:eastAsia="zh-CN"/>
        </w:rPr>
        <w:t>Observation-1</w:t>
      </w:r>
      <w:r w:rsidR="00C53E39" w:rsidRPr="00CA3B39">
        <w:rPr>
          <w:b/>
          <w:bCs/>
          <w:lang w:val="en-US" w:eastAsia="zh-CN"/>
        </w:rPr>
        <w:t xml:space="preserve">: </w:t>
      </w:r>
      <w:r w:rsidR="0030205B" w:rsidRPr="00CA3B39">
        <w:rPr>
          <w:b/>
          <w:bCs/>
          <w:lang w:val="en-US" w:eastAsia="zh-CN"/>
        </w:rPr>
        <w:t xml:space="preserve">RAN1 </w:t>
      </w:r>
      <w:r w:rsidR="0030205B" w:rsidRPr="00AE02C3">
        <w:rPr>
          <w:b/>
          <w:bCs/>
          <w:lang w:val="en-US" w:eastAsia="zh-CN"/>
        </w:rPr>
        <w:t>s</w:t>
      </w:r>
      <w:r w:rsidRPr="00AE02C3">
        <w:rPr>
          <w:b/>
          <w:bCs/>
          <w:lang w:val="en-US" w:eastAsia="zh-CN"/>
        </w:rPr>
        <w:t xml:space="preserve">pecification should support </w:t>
      </w:r>
      <w:r w:rsidR="003F6F75">
        <w:rPr>
          <w:b/>
          <w:bCs/>
          <w:lang w:val="en-US" w:eastAsia="zh-CN"/>
        </w:rPr>
        <w:t>both</w:t>
      </w:r>
      <w:r w:rsidR="007A257A">
        <w:rPr>
          <w:b/>
          <w:bCs/>
          <w:lang w:val="en-US" w:eastAsia="zh-CN"/>
        </w:rPr>
        <w:t>:</w:t>
      </w:r>
      <w:r w:rsidR="003F6F75">
        <w:rPr>
          <w:b/>
          <w:bCs/>
          <w:lang w:val="en-US" w:eastAsia="zh-CN"/>
        </w:rPr>
        <w:t xml:space="preserve"> </w:t>
      </w:r>
      <w:r w:rsidRPr="00AE02C3">
        <w:rPr>
          <w:b/>
          <w:bCs/>
          <w:lang w:val="en-US" w:eastAsia="zh-CN"/>
        </w:rPr>
        <w:t>one-to-many slot-based cross-</w:t>
      </w:r>
      <w:r w:rsidR="00597A41">
        <w:rPr>
          <w:b/>
          <w:bCs/>
          <w:lang w:val="en-US" w:eastAsia="zh-CN"/>
        </w:rPr>
        <w:t xml:space="preserve">CC </w:t>
      </w:r>
      <w:r w:rsidRPr="00AE02C3">
        <w:rPr>
          <w:b/>
          <w:bCs/>
          <w:lang w:val="en-US" w:eastAsia="zh-CN"/>
        </w:rPr>
        <w:t>scheduling</w:t>
      </w:r>
      <w:r w:rsidR="00597A41" w:rsidRPr="00EF0F24">
        <w:rPr>
          <w:b/>
          <w:bCs/>
          <w:lang w:val="en-US" w:eastAsia="zh-CN"/>
        </w:rPr>
        <w:t xml:space="preserve"> </w:t>
      </w:r>
      <w:r w:rsidR="003F6F75">
        <w:rPr>
          <w:b/>
          <w:bCs/>
          <w:lang w:val="en-US" w:eastAsia="zh-CN"/>
        </w:rPr>
        <w:t>and</w:t>
      </w:r>
      <w:r w:rsidRPr="00AE02C3">
        <w:rPr>
          <w:b/>
          <w:bCs/>
          <w:lang w:val="en-US" w:eastAsia="zh-CN"/>
        </w:rPr>
        <w:t xml:space="preserve"> many-to-one slot-based cross-CC scheduling</w:t>
      </w:r>
      <w:r w:rsidR="00C53E39" w:rsidRPr="00A52B95">
        <w:rPr>
          <w:b/>
          <w:bCs/>
          <w:lang w:val="en-US" w:eastAsia="zh-CN"/>
        </w:rPr>
        <w:t>.</w:t>
      </w:r>
    </w:p>
    <w:p w14:paraId="04688F8B" w14:textId="3FD72177" w:rsidR="00C53E39" w:rsidRDefault="002661CB" w:rsidP="003D3C8A">
      <w:pPr>
        <w:jc w:val="both"/>
        <w:rPr>
          <w:bCs/>
          <w:lang w:val="en-US" w:eastAsia="zh-CN"/>
        </w:rPr>
      </w:pPr>
      <w:r>
        <w:rPr>
          <w:bCs/>
          <w:lang w:val="en-US" w:eastAsia="zh-CN"/>
        </w:rPr>
        <w:lastRenderedPageBreak/>
        <w:t>For the case of one-to-many</w:t>
      </w:r>
      <w:r w:rsidR="00EF6A2C">
        <w:rPr>
          <w:bCs/>
          <w:lang w:val="en-US" w:eastAsia="zh-CN"/>
        </w:rPr>
        <w:t xml:space="preserve"> scheduling</w:t>
      </w:r>
      <w:r w:rsidR="0030205B">
        <w:rPr>
          <w:bCs/>
          <w:lang w:val="en-US" w:eastAsia="zh-CN"/>
        </w:rPr>
        <w:t>,</w:t>
      </w:r>
      <w:r w:rsidR="00A52B95">
        <w:rPr>
          <w:bCs/>
          <w:lang w:val="en-US" w:eastAsia="zh-CN"/>
        </w:rPr>
        <w:t xml:space="preserve"> one scheduling instance in </w:t>
      </w:r>
      <w:r w:rsidR="00E92433">
        <w:rPr>
          <w:bCs/>
          <w:lang w:val="en-US" w:eastAsia="zh-CN"/>
        </w:rPr>
        <w:t xml:space="preserve">a slot of a </w:t>
      </w:r>
      <w:r w:rsidR="00A52B95">
        <w:rPr>
          <w:bCs/>
          <w:lang w:val="en-US" w:eastAsia="zh-CN"/>
        </w:rPr>
        <w:t>small</w:t>
      </w:r>
      <w:r w:rsidR="00E92433">
        <w:rPr>
          <w:bCs/>
          <w:lang w:val="en-US" w:eastAsia="zh-CN"/>
        </w:rPr>
        <w:t>-</w:t>
      </w:r>
      <w:r w:rsidR="00A52B95">
        <w:rPr>
          <w:bCs/>
          <w:lang w:val="en-US" w:eastAsia="zh-CN"/>
        </w:rPr>
        <w:t>SCS</w:t>
      </w:r>
      <w:r w:rsidR="006B385F">
        <w:rPr>
          <w:bCs/>
          <w:lang w:val="en-US" w:eastAsia="zh-CN"/>
        </w:rPr>
        <w:t xml:space="preserve"> </w:t>
      </w:r>
      <w:r w:rsidR="00E92433">
        <w:rPr>
          <w:bCs/>
          <w:lang w:val="en-US" w:eastAsia="zh-CN"/>
        </w:rPr>
        <w:t>carrier</w:t>
      </w:r>
      <w:r w:rsidR="00A52B95">
        <w:rPr>
          <w:bCs/>
          <w:lang w:val="en-US" w:eastAsia="zh-CN"/>
        </w:rPr>
        <w:t xml:space="preserve"> corresponds to multiple slots in large</w:t>
      </w:r>
      <w:r w:rsidR="00E92433">
        <w:rPr>
          <w:bCs/>
          <w:lang w:val="en-US" w:eastAsia="zh-CN"/>
        </w:rPr>
        <w:t>-</w:t>
      </w:r>
      <w:r w:rsidR="00A52B95">
        <w:rPr>
          <w:bCs/>
          <w:lang w:val="en-US" w:eastAsia="zh-CN"/>
        </w:rPr>
        <w:t>SCS</w:t>
      </w:r>
      <w:r w:rsidR="00E92433">
        <w:rPr>
          <w:bCs/>
          <w:lang w:val="en-US" w:eastAsia="zh-CN"/>
        </w:rPr>
        <w:t xml:space="preserve"> carrier,</w:t>
      </w:r>
      <w:r w:rsidR="00A52B95">
        <w:rPr>
          <w:bCs/>
          <w:lang w:val="en-US" w:eastAsia="zh-CN"/>
        </w:rPr>
        <w:t xml:space="preserve"> </w:t>
      </w:r>
      <w:r w:rsidR="0013767D">
        <w:rPr>
          <w:bCs/>
          <w:lang w:val="en-US" w:eastAsia="zh-CN"/>
        </w:rPr>
        <w:t>e.g. 1</w:t>
      </w:r>
      <w:r w:rsidR="003F6F75">
        <w:rPr>
          <w:bCs/>
          <w:lang w:val="en-US" w:eastAsia="zh-CN"/>
        </w:rPr>
        <w:t>-</w:t>
      </w:r>
      <w:r w:rsidR="0013767D">
        <w:rPr>
          <w:bCs/>
          <w:lang w:val="en-US" w:eastAsia="zh-CN"/>
        </w:rPr>
        <w:t>ms</w:t>
      </w:r>
      <w:r w:rsidR="00A52B95">
        <w:rPr>
          <w:bCs/>
          <w:lang w:val="en-US" w:eastAsia="zh-CN"/>
        </w:rPr>
        <w:t xml:space="preserve"> slot</w:t>
      </w:r>
      <w:r w:rsidR="0013767D">
        <w:rPr>
          <w:bCs/>
          <w:lang w:val="en-US" w:eastAsia="zh-CN"/>
        </w:rPr>
        <w:t xml:space="preserve"> </w:t>
      </w:r>
      <w:r w:rsidR="00A52B95">
        <w:rPr>
          <w:bCs/>
          <w:lang w:val="en-US" w:eastAsia="zh-CN"/>
        </w:rPr>
        <w:t xml:space="preserve">at 15kHz SCS corresponds to </w:t>
      </w:r>
      <w:r w:rsidR="00E92433">
        <w:rPr>
          <w:bCs/>
          <w:lang w:val="en-US" w:eastAsia="zh-CN"/>
        </w:rPr>
        <w:t>eight</w:t>
      </w:r>
      <w:r w:rsidR="0013767D">
        <w:rPr>
          <w:bCs/>
          <w:lang w:val="en-US" w:eastAsia="zh-CN"/>
        </w:rPr>
        <w:t xml:space="preserve"> </w:t>
      </w:r>
      <w:r w:rsidR="00A52B95">
        <w:rPr>
          <w:bCs/>
          <w:lang w:val="en-US" w:eastAsia="zh-CN"/>
        </w:rPr>
        <w:t xml:space="preserve">slots of </w:t>
      </w:r>
      <w:r w:rsidR="0013767D">
        <w:rPr>
          <w:bCs/>
          <w:lang w:val="en-US" w:eastAsia="zh-CN"/>
        </w:rPr>
        <w:t>0.125</w:t>
      </w:r>
      <w:r w:rsidR="0013767D">
        <w:rPr>
          <w:rFonts w:hint="eastAsia"/>
          <w:bCs/>
          <w:lang w:val="en-US" w:eastAsia="zh-CN"/>
        </w:rPr>
        <w:t>ms</w:t>
      </w:r>
      <w:r w:rsidR="0013767D">
        <w:rPr>
          <w:bCs/>
          <w:lang w:val="en-US" w:eastAsia="zh-CN"/>
        </w:rPr>
        <w:t xml:space="preserve"> </w:t>
      </w:r>
      <w:r w:rsidR="00A52B95">
        <w:rPr>
          <w:bCs/>
          <w:lang w:val="en-US" w:eastAsia="zh-CN"/>
        </w:rPr>
        <w:t>at 120kHz SCS</w:t>
      </w:r>
      <w:r w:rsidR="0013767D">
        <w:rPr>
          <w:bCs/>
          <w:lang w:val="en-US" w:eastAsia="zh-CN"/>
        </w:rPr>
        <w:t xml:space="preserve">. </w:t>
      </w:r>
      <w:r w:rsidR="006B385F">
        <w:rPr>
          <w:bCs/>
          <w:lang w:val="en-US" w:eastAsia="zh-CN"/>
        </w:rPr>
        <w:t>Therefore, a natural scheduling choice</w:t>
      </w:r>
      <w:r w:rsidR="0030205B">
        <w:rPr>
          <w:bCs/>
          <w:lang w:val="en-US" w:eastAsia="zh-CN"/>
        </w:rPr>
        <w:t xml:space="preserve"> in this case</w:t>
      </w:r>
      <w:r w:rsidR="006B385F">
        <w:rPr>
          <w:bCs/>
          <w:lang w:val="en-US" w:eastAsia="zh-CN"/>
        </w:rPr>
        <w:t xml:space="preserve"> </w:t>
      </w:r>
      <w:r w:rsidR="003F6F75">
        <w:rPr>
          <w:bCs/>
          <w:lang w:val="en-US" w:eastAsia="zh-CN"/>
        </w:rPr>
        <w:t>is</w:t>
      </w:r>
      <w:r w:rsidR="006B385F">
        <w:rPr>
          <w:bCs/>
          <w:lang w:val="en-US" w:eastAsia="zh-CN"/>
        </w:rPr>
        <w:t xml:space="preserve"> the multi-slot scheduling, which avoids necessity to transmit 8</w:t>
      </w:r>
      <w:r w:rsidR="00367150">
        <w:rPr>
          <w:bCs/>
          <w:lang w:val="en-US" w:eastAsia="zh-CN"/>
        </w:rPr>
        <w:t xml:space="preserve"> separate </w:t>
      </w:r>
      <w:r w:rsidR="006B385F">
        <w:rPr>
          <w:bCs/>
          <w:lang w:val="en-US" w:eastAsia="zh-CN"/>
        </w:rPr>
        <w:t xml:space="preserve">DCIs in single PDCCH of 15kHz SCS carrier to achieve </w:t>
      </w:r>
      <w:r w:rsidR="00434D2B">
        <w:rPr>
          <w:bCs/>
          <w:lang w:val="en-US" w:eastAsia="zh-CN"/>
        </w:rPr>
        <w:t>continuous transmission on</w:t>
      </w:r>
      <w:r w:rsidR="006B385F">
        <w:rPr>
          <w:bCs/>
          <w:lang w:val="en-US" w:eastAsia="zh-CN"/>
        </w:rPr>
        <w:t xml:space="preserve"> 120kHz SCS carrier. </w:t>
      </w:r>
      <w:r w:rsidR="003F6F75">
        <w:rPr>
          <w:bCs/>
          <w:lang w:val="en-US" w:eastAsia="zh-CN"/>
        </w:rPr>
        <w:t>Another question is</w:t>
      </w:r>
      <w:r w:rsidR="00B8489C">
        <w:rPr>
          <w:bCs/>
          <w:lang w:val="en-US" w:eastAsia="zh-CN"/>
        </w:rPr>
        <w:t xml:space="preserve"> whether separate TBS would be mapped to each slot or single TBS would be mapped across all the slots. </w:t>
      </w:r>
      <w:r w:rsidR="003D3C8A">
        <w:rPr>
          <w:bCs/>
          <w:lang w:val="en-US" w:eastAsia="zh-CN"/>
        </w:rPr>
        <w:t>Our preferen</w:t>
      </w:r>
      <w:r w:rsidR="0030205B">
        <w:rPr>
          <w:bCs/>
          <w:lang w:val="en-US" w:eastAsia="zh-CN"/>
        </w:rPr>
        <w:t>ce is towards one TBS per slot</w:t>
      </w:r>
      <w:r w:rsidR="00367150">
        <w:rPr>
          <w:bCs/>
          <w:lang w:val="en-US" w:eastAsia="zh-CN"/>
        </w:rPr>
        <w:t xml:space="preserve"> to be able to gain the latency advantages of shorter slot lengths</w:t>
      </w:r>
      <w:r w:rsidR="0030205B">
        <w:rPr>
          <w:bCs/>
          <w:lang w:val="en-US" w:eastAsia="zh-CN"/>
        </w:rPr>
        <w:t xml:space="preserve">. For the case of many-to-one </w:t>
      </w:r>
      <w:r w:rsidR="00FB3F15">
        <w:rPr>
          <w:bCs/>
          <w:lang w:val="en-US" w:eastAsia="zh-CN"/>
        </w:rPr>
        <w:t>scheduling</w:t>
      </w:r>
      <w:r w:rsidR="00367150">
        <w:rPr>
          <w:bCs/>
          <w:lang w:val="en-US" w:eastAsia="zh-CN"/>
        </w:rPr>
        <w:t xml:space="preserve"> when scheduling from CC1 with a shorter slot length a transmission on CC2 having a longer slot length</w:t>
      </w:r>
      <w:r w:rsidR="00FB3F15">
        <w:rPr>
          <w:bCs/>
          <w:lang w:val="en-US" w:eastAsia="zh-CN"/>
        </w:rPr>
        <w:t xml:space="preserve">, more scheduling instances in CC1 could schedule the same slot on CC2. In this case, the DCI can be the same as for </w:t>
      </w:r>
      <w:r w:rsidR="00367150">
        <w:rPr>
          <w:bCs/>
          <w:lang w:val="en-US" w:eastAsia="zh-CN"/>
        </w:rPr>
        <w:t>same slot-length</w:t>
      </w:r>
      <w:r w:rsidR="00FB3F15">
        <w:rPr>
          <w:bCs/>
          <w:lang w:val="en-US" w:eastAsia="zh-CN"/>
        </w:rPr>
        <w:t xml:space="preserve">, and scheduling could be restricted to </w:t>
      </w:r>
      <w:r w:rsidR="00367150">
        <w:rPr>
          <w:bCs/>
          <w:lang w:val="en-US" w:eastAsia="zh-CN"/>
        </w:rPr>
        <w:t xml:space="preserve">only </w:t>
      </w:r>
      <w:r w:rsidR="00FB3F15">
        <w:rPr>
          <w:bCs/>
          <w:lang w:val="en-US" w:eastAsia="zh-CN"/>
        </w:rPr>
        <w:t xml:space="preserve">the first slot of the CC1 to </w:t>
      </w:r>
      <w:r w:rsidR="003F6F75">
        <w:rPr>
          <w:bCs/>
          <w:lang w:val="en-US" w:eastAsia="zh-CN"/>
        </w:rPr>
        <w:t>preserve</w:t>
      </w:r>
      <w:r w:rsidR="000C7302">
        <w:rPr>
          <w:bCs/>
          <w:lang w:val="en-US" w:eastAsia="zh-CN"/>
        </w:rPr>
        <w:t xml:space="preserve"> </w:t>
      </w:r>
      <w:r w:rsidR="00367150">
        <w:rPr>
          <w:bCs/>
          <w:lang w:val="en-US" w:eastAsia="zh-CN"/>
        </w:rPr>
        <w:t xml:space="preserve">the UE </w:t>
      </w:r>
      <w:r w:rsidR="000C7302">
        <w:rPr>
          <w:bCs/>
          <w:lang w:val="en-US" w:eastAsia="zh-CN"/>
        </w:rPr>
        <w:t>pipe</w:t>
      </w:r>
      <w:r w:rsidR="00FB3F15">
        <w:rPr>
          <w:bCs/>
          <w:lang w:val="en-US" w:eastAsia="zh-CN"/>
        </w:rPr>
        <w:t xml:space="preserve">line processing.  </w:t>
      </w:r>
    </w:p>
    <w:p w14:paraId="7182F7DF" w14:textId="3143A377" w:rsidR="003F6F75" w:rsidRDefault="006B385F" w:rsidP="003D3C8A">
      <w:pPr>
        <w:jc w:val="both"/>
        <w:rPr>
          <w:b/>
          <w:bCs/>
          <w:lang w:val="en-US" w:eastAsia="zh-CN"/>
        </w:rPr>
      </w:pPr>
      <w:r w:rsidRPr="003D3C8A">
        <w:rPr>
          <w:b/>
          <w:bCs/>
          <w:lang w:val="en-US" w:eastAsia="zh-CN"/>
        </w:rPr>
        <w:t>Proposal</w:t>
      </w:r>
      <w:r w:rsidR="00477A12">
        <w:rPr>
          <w:b/>
          <w:bCs/>
          <w:lang w:val="en-US" w:eastAsia="zh-CN"/>
        </w:rPr>
        <w:t>-2</w:t>
      </w:r>
      <w:r w:rsidRPr="003D3C8A">
        <w:rPr>
          <w:b/>
          <w:bCs/>
          <w:lang w:val="en-US" w:eastAsia="zh-CN"/>
        </w:rPr>
        <w:t xml:space="preserve">: For </w:t>
      </w:r>
      <w:r w:rsidR="008C3F56">
        <w:rPr>
          <w:b/>
          <w:bCs/>
          <w:lang w:val="en-US" w:eastAsia="zh-CN"/>
        </w:rPr>
        <w:t xml:space="preserve">slot-based </w:t>
      </w:r>
      <w:r w:rsidRPr="003D3C8A">
        <w:rPr>
          <w:b/>
          <w:bCs/>
          <w:lang w:val="en-US" w:eastAsia="zh-CN"/>
        </w:rPr>
        <w:t xml:space="preserve">cross-carrier scheduling </w:t>
      </w:r>
      <w:r w:rsidR="00FB3F15">
        <w:rPr>
          <w:b/>
          <w:bCs/>
          <w:lang w:val="en-US" w:eastAsia="zh-CN"/>
        </w:rPr>
        <w:t>of one-to-many</w:t>
      </w:r>
      <w:r w:rsidRPr="003D3C8A">
        <w:rPr>
          <w:b/>
          <w:bCs/>
          <w:lang w:val="en-US" w:eastAsia="zh-CN"/>
        </w:rPr>
        <w:t xml:space="preserve"> adopt</w:t>
      </w:r>
      <w:r w:rsidR="00FB3F15">
        <w:rPr>
          <w:b/>
          <w:bCs/>
          <w:lang w:val="en-US" w:eastAsia="zh-CN"/>
        </w:rPr>
        <w:t xml:space="preserve"> </w:t>
      </w:r>
      <w:r w:rsidRPr="003D3C8A">
        <w:rPr>
          <w:b/>
          <w:bCs/>
          <w:lang w:val="en-US" w:eastAsia="zh-CN"/>
        </w:rPr>
        <w:t>multi-slot scheduling as baseline.</w:t>
      </w:r>
      <w:r w:rsidR="003F6F75">
        <w:rPr>
          <w:b/>
          <w:bCs/>
          <w:lang w:val="en-US" w:eastAsia="zh-CN"/>
        </w:rPr>
        <w:t xml:space="preserve"> </w:t>
      </w:r>
    </w:p>
    <w:p w14:paraId="7A337F1C" w14:textId="4069B30C" w:rsidR="00E92433" w:rsidRPr="00AE02C3" w:rsidRDefault="00FB3F15" w:rsidP="003D3C8A">
      <w:pPr>
        <w:jc w:val="both"/>
        <w:rPr>
          <w:bCs/>
          <w:lang w:val="en-US" w:eastAsia="zh-CN"/>
        </w:rPr>
      </w:pPr>
      <w:r w:rsidRPr="00AE02C3">
        <w:rPr>
          <w:bCs/>
          <w:lang w:val="en-US" w:eastAsia="zh-CN"/>
        </w:rPr>
        <w:t>In addition to slot-based scheduling, NR sup</w:t>
      </w:r>
      <w:r w:rsidR="0011243D" w:rsidRPr="00AE02C3">
        <w:rPr>
          <w:bCs/>
          <w:lang w:val="en-US" w:eastAsia="zh-CN"/>
        </w:rPr>
        <w:t>ports also mini-slot scheduling, which offers flexible allocations with single symbol granularity in time domain. This flexible scheduling is directly applicable</w:t>
      </w:r>
      <w:r w:rsidR="003F6F75">
        <w:rPr>
          <w:bCs/>
          <w:lang w:val="en-US" w:eastAsia="zh-CN"/>
        </w:rPr>
        <w:t xml:space="preserve"> to cross-CC scheduling, with one difference that the symbol granularity obeys </w:t>
      </w:r>
      <w:r w:rsidR="00877F23" w:rsidRPr="00AE02C3">
        <w:rPr>
          <w:bCs/>
          <w:lang w:val="en-US" w:eastAsia="zh-CN"/>
        </w:rPr>
        <w:t>target-CC numerology.</w:t>
      </w:r>
    </w:p>
    <w:p w14:paraId="36295FC3" w14:textId="743AFC4C" w:rsidR="00877F23" w:rsidRDefault="00877F23" w:rsidP="003D3C8A">
      <w:pPr>
        <w:jc w:val="both"/>
        <w:rPr>
          <w:b/>
          <w:bCs/>
          <w:lang w:val="en-US" w:eastAsia="zh-CN"/>
        </w:rPr>
      </w:pPr>
      <w:r>
        <w:rPr>
          <w:b/>
          <w:bCs/>
          <w:lang w:val="en-US" w:eastAsia="zh-CN"/>
        </w:rPr>
        <w:t xml:space="preserve">Proposal-3: For mini-slot cross-carrier scheduling, the flexible framework of indicating the starting symbol and number of </w:t>
      </w:r>
      <w:r w:rsidR="003F6F75">
        <w:rPr>
          <w:b/>
          <w:bCs/>
          <w:lang w:val="en-US" w:eastAsia="zh-CN"/>
        </w:rPr>
        <w:t xml:space="preserve">scheduled </w:t>
      </w:r>
      <w:r>
        <w:rPr>
          <w:b/>
          <w:bCs/>
          <w:lang w:val="en-US" w:eastAsia="zh-CN"/>
        </w:rPr>
        <w:t>symbols follows the numerology</w:t>
      </w:r>
      <w:r w:rsidR="000C7302">
        <w:rPr>
          <w:b/>
          <w:bCs/>
          <w:lang w:val="en-US" w:eastAsia="zh-CN"/>
        </w:rPr>
        <w:t xml:space="preserve"> of CC carrying the PDSCH</w:t>
      </w:r>
      <w:r w:rsidR="008A2431">
        <w:rPr>
          <w:b/>
          <w:bCs/>
          <w:lang w:val="en-US" w:eastAsia="zh-CN"/>
        </w:rPr>
        <w:t>/PUSCH</w:t>
      </w:r>
      <w:r>
        <w:rPr>
          <w:b/>
          <w:bCs/>
          <w:lang w:val="en-US" w:eastAsia="zh-CN"/>
        </w:rPr>
        <w:t>.</w:t>
      </w:r>
    </w:p>
    <w:p w14:paraId="4BD884B3" w14:textId="77777777" w:rsidR="00AD3DAD" w:rsidRDefault="00AD3DAD" w:rsidP="003D3C8A">
      <w:pPr>
        <w:jc w:val="both"/>
        <w:rPr>
          <w:b/>
          <w:bCs/>
          <w:u w:val="single"/>
          <w:lang w:val="en-US" w:eastAsia="zh-CN"/>
        </w:rPr>
      </w:pPr>
    </w:p>
    <w:p w14:paraId="3791CE5A" w14:textId="77777777" w:rsidR="00AD3DAD" w:rsidRDefault="00AD3DAD" w:rsidP="003D3C8A">
      <w:pPr>
        <w:jc w:val="both"/>
        <w:rPr>
          <w:b/>
          <w:bCs/>
          <w:u w:val="single"/>
          <w:lang w:val="en-US" w:eastAsia="zh-CN"/>
        </w:rPr>
      </w:pPr>
    </w:p>
    <w:p w14:paraId="20130D5F" w14:textId="4DD9CCC7" w:rsidR="00AF6257" w:rsidRPr="003D3C8A" w:rsidRDefault="00AF6257" w:rsidP="003D3C8A">
      <w:pPr>
        <w:jc w:val="both"/>
        <w:rPr>
          <w:b/>
          <w:bCs/>
          <w:u w:val="single"/>
          <w:lang w:val="en-US" w:eastAsia="zh-CN"/>
        </w:rPr>
      </w:pPr>
      <w:r w:rsidRPr="003D3C8A">
        <w:rPr>
          <w:b/>
          <w:bCs/>
          <w:u w:val="single"/>
          <w:lang w:val="en-US" w:eastAsia="zh-CN"/>
        </w:rPr>
        <w:t>Design of cross-CC DCI</w:t>
      </w:r>
      <w:r w:rsidR="00F00313">
        <w:rPr>
          <w:b/>
          <w:bCs/>
          <w:u w:val="single"/>
          <w:lang w:val="en-US" w:eastAsia="zh-CN"/>
        </w:rPr>
        <w:t xml:space="preserve"> for slot-based scheduling</w:t>
      </w:r>
    </w:p>
    <w:p w14:paraId="0E0251B8" w14:textId="61F9B260" w:rsidR="0013767D" w:rsidRPr="00451FAB" w:rsidRDefault="00E92433" w:rsidP="003D3C8A">
      <w:pPr>
        <w:jc w:val="both"/>
        <w:rPr>
          <w:bCs/>
          <w:lang w:val="en-US" w:eastAsia="zh-CN"/>
        </w:rPr>
      </w:pPr>
      <w:r w:rsidRPr="00CF3594">
        <w:rPr>
          <w:bCs/>
          <w:lang w:val="en-US" w:eastAsia="zh-CN"/>
        </w:rPr>
        <w:t>The cross-CC scheduling DCI</w:t>
      </w:r>
      <w:r w:rsidRPr="004D7D83">
        <w:rPr>
          <w:bCs/>
          <w:lang w:val="en-US" w:eastAsia="zh-CN"/>
        </w:rPr>
        <w:t xml:space="preserve"> should </w:t>
      </w:r>
      <w:r w:rsidR="00B8489C" w:rsidRPr="004D7D83">
        <w:rPr>
          <w:bCs/>
          <w:lang w:val="en-US" w:eastAsia="zh-CN"/>
        </w:rPr>
        <w:t>contain the</w:t>
      </w:r>
      <w:r w:rsidRPr="00036BC3">
        <w:rPr>
          <w:bCs/>
          <w:lang w:val="en-US" w:eastAsia="zh-CN"/>
        </w:rPr>
        <w:t xml:space="preserve"> </w:t>
      </w:r>
      <w:r w:rsidR="0080439F" w:rsidRPr="007C6D69">
        <w:rPr>
          <w:bCs/>
          <w:lang w:val="en-US" w:eastAsia="zh-CN"/>
        </w:rPr>
        <w:t>carrier indication field(CIF)</w:t>
      </w:r>
      <w:r w:rsidR="00AF6257" w:rsidRPr="007C6D69">
        <w:rPr>
          <w:bCs/>
          <w:lang w:val="en-US" w:eastAsia="zh-CN"/>
        </w:rPr>
        <w:t xml:space="preserve">, which could be of </w:t>
      </w:r>
      <w:r w:rsidR="00B8489C" w:rsidRPr="007C6D69">
        <w:rPr>
          <w:bCs/>
          <w:lang w:val="en-US" w:eastAsia="zh-CN"/>
        </w:rPr>
        <w:t>a</w:t>
      </w:r>
      <w:r w:rsidR="00B8489C" w:rsidRPr="008F1F9B">
        <w:rPr>
          <w:bCs/>
          <w:lang w:val="en-US" w:eastAsia="zh-CN"/>
        </w:rPr>
        <w:t xml:space="preserve"> </w:t>
      </w:r>
      <w:r w:rsidR="00AF6257" w:rsidRPr="00451FAB">
        <w:rPr>
          <w:bCs/>
          <w:lang w:val="en-US" w:eastAsia="zh-CN"/>
        </w:rPr>
        <w:t xml:space="preserve">similar size </w:t>
      </w:r>
      <w:r w:rsidR="00B8489C" w:rsidRPr="00451FAB">
        <w:rPr>
          <w:bCs/>
          <w:lang w:val="en-US" w:eastAsia="zh-CN"/>
        </w:rPr>
        <w:t>as</w:t>
      </w:r>
      <w:r w:rsidR="00AF6257" w:rsidRPr="00451FAB">
        <w:rPr>
          <w:bCs/>
          <w:lang w:val="en-US" w:eastAsia="zh-CN"/>
        </w:rPr>
        <w:t xml:space="preserve"> the one in LTE, i.e. 3bits</w:t>
      </w:r>
      <w:r w:rsidR="00367150">
        <w:rPr>
          <w:bCs/>
          <w:lang w:val="en-US" w:eastAsia="zh-CN"/>
        </w:rPr>
        <w:t>, when restricting the x-scheduling to 8CCs</w:t>
      </w:r>
      <w:r w:rsidR="00AD3DAD">
        <w:rPr>
          <w:bCs/>
          <w:lang w:val="en-US" w:eastAsia="zh-CN"/>
        </w:rPr>
        <w:t xml:space="preserve"> as proposed in </w:t>
      </w:r>
      <w:r w:rsidR="00AD3DAD">
        <w:rPr>
          <w:bCs/>
          <w:lang w:val="en-US" w:eastAsia="zh-CN"/>
        </w:rPr>
        <w:fldChar w:fldCharType="begin"/>
      </w:r>
      <w:r w:rsidR="00AD3DAD">
        <w:rPr>
          <w:bCs/>
          <w:lang w:val="en-US" w:eastAsia="zh-CN"/>
        </w:rPr>
        <w:instrText xml:space="preserve"> REF _Ref485396446 \r \h </w:instrText>
      </w:r>
      <w:r w:rsidR="00AD3DAD">
        <w:rPr>
          <w:bCs/>
          <w:lang w:val="en-US" w:eastAsia="zh-CN"/>
        </w:rPr>
      </w:r>
      <w:r w:rsidR="00AD3DAD">
        <w:rPr>
          <w:bCs/>
          <w:lang w:val="en-US" w:eastAsia="zh-CN"/>
        </w:rPr>
        <w:fldChar w:fldCharType="separate"/>
      </w:r>
      <w:r w:rsidR="00AD3DAD">
        <w:rPr>
          <w:bCs/>
          <w:lang w:val="en-US" w:eastAsia="zh-CN"/>
        </w:rPr>
        <w:t>[4]</w:t>
      </w:r>
      <w:r w:rsidR="00AD3DAD">
        <w:rPr>
          <w:bCs/>
          <w:lang w:val="en-US" w:eastAsia="zh-CN"/>
        </w:rPr>
        <w:fldChar w:fldCharType="end"/>
      </w:r>
      <w:r w:rsidR="00AF6257" w:rsidRPr="00451FAB">
        <w:rPr>
          <w:bCs/>
          <w:lang w:val="en-US" w:eastAsia="zh-CN"/>
        </w:rPr>
        <w:t>.</w:t>
      </w:r>
      <w:r w:rsidR="0080439F" w:rsidRPr="00451FAB">
        <w:rPr>
          <w:bCs/>
          <w:lang w:val="en-US" w:eastAsia="zh-CN"/>
        </w:rPr>
        <w:t xml:space="preserve"> </w:t>
      </w:r>
      <w:r w:rsidR="00AF6257" w:rsidRPr="00451FAB">
        <w:rPr>
          <w:bCs/>
          <w:lang w:val="en-US" w:eastAsia="zh-CN"/>
        </w:rPr>
        <w:t xml:space="preserve">Furthermore, to support multi-slot scheduling, a UE </w:t>
      </w:r>
      <w:r w:rsidR="00787E67" w:rsidRPr="00451FAB">
        <w:rPr>
          <w:bCs/>
          <w:lang w:val="en-US" w:eastAsia="zh-CN"/>
        </w:rPr>
        <w:t>must</w:t>
      </w:r>
      <w:r w:rsidR="00AF6257" w:rsidRPr="00451FAB">
        <w:rPr>
          <w:bCs/>
          <w:lang w:val="en-US" w:eastAsia="zh-CN"/>
        </w:rPr>
        <w:t xml:space="preserve"> be aware of the maximum number of slots the DCI is scheduling, which determines the DCI format size</w:t>
      </w:r>
      <w:r w:rsidR="00367150">
        <w:rPr>
          <w:bCs/>
          <w:lang w:val="en-US" w:eastAsia="zh-CN"/>
        </w:rPr>
        <w:t xml:space="preserve"> due the potential additional slot-specific scheduling information such as NDI, RV etc</w:t>
      </w:r>
      <w:r w:rsidR="00AF6257" w:rsidRPr="00451FAB">
        <w:rPr>
          <w:bCs/>
          <w:lang w:val="en-US" w:eastAsia="zh-CN"/>
        </w:rPr>
        <w:t xml:space="preserve">. </w:t>
      </w:r>
    </w:p>
    <w:p w14:paraId="10035ADF" w14:textId="75A9DBF4" w:rsidR="00AF6257" w:rsidRPr="003D3C8A" w:rsidRDefault="00B8489C" w:rsidP="003D3C8A">
      <w:pPr>
        <w:jc w:val="both"/>
        <w:rPr>
          <w:b/>
          <w:bCs/>
          <w:lang w:val="en-US" w:eastAsia="zh-CN"/>
        </w:rPr>
      </w:pPr>
      <w:r w:rsidRPr="003D3C8A">
        <w:rPr>
          <w:b/>
          <w:bCs/>
          <w:lang w:val="en-US" w:eastAsia="zh-CN"/>
        </w:rPr>
        <w:t>Proposal</w:t>
      </w:r>
      <w:r w:rsidR="00477A12">
        <w:rPr>
          <w:b/>
          <w:bCs/>
          <w:lang w:val="en-US" w:eastAsia="zh-CN"/>
        </w:rPr>
        <w:t>-</w:t>
      </w:r>
      <w:r w:rsidR="00F00313">
        <w:rPr>
          <w:b/>
          <w:bCs/>
          <w:lang w:val="en-US" w:eastAsia="zh-CN"/>
        </w:rPr>
        <w:t>4</w:t>
      </w:r>
      <w:r w:rsidRPr="003D3C8A">
        <w:rPr>
          <w:b/>
          <w:bCs/>
          <w:lang w:val="en-US" w:eastAsia="zh-CN"/>
        </w:rPr>
        <w:t xml:space="preserve">: </w:t>
      </w:r>
      <w:r w:rsidR="00005549">
        <w:rPr>
          <w:b/>
          <w:bCs/>
          <w:lang w:val="en-US" w:eastAsia="zh-CN"/>
        </w:rPr>
        <w:t>For multi-slot</w:t>
      </w:r>
      <w:r w:rsidR="004575CD">
        <w:rPr>
          <w:b/>
          <w:bCs/>
          <w:lang w:val="en-US" w:eastAsia="zh-CN"/>
        </w:rPr>
        <w:t xml:space="preserve"> cross-CC</w:t>
      </w:r>
      <w:r w:rsidR="00005549">
        <w:rPr>
          <w:b/>
          <w:bCs/>
          <w:lang w:val="en-US" w:eastAsia="zh-CN"/>
        </w:rPr>
        <w:t xml:space="preserve"> scheduling, a</w:t>
      </w:r>
      <w:r w:rsidRPr="003D3C8A">
        <w:rPr>
          <w:b/>
          <w:bCs/>
          <w:lang w:val="en-US" w:eastAsia="zh-CN"/>
        </w:rPr>
        <w:t xml:space="preserve"> UE is configured with the maximum number of slots that can be cross-</w:t>
      </w:r>
      <w:r w:rsidR="003965D3" w:rsidRPr="00CF3594">
        <w:rPr>
          <w:b/>
          <w:bCs/>
          <w:lang w:val="en-US" w:eastAsia="zh-CN"/>
        </w:rPr>
        <w:t>CC-</w:t>
      </w:r>
      <w:r w:rsidRPr="003D3C8A">
        <w:rPr>
          <w:b/>
          <w:bCs/>
          <w:lang w:val="en-US" w:eastAsia="zh-CN"/>
        </w:rPr>
        <w:t xml:space="preserve">scheduled by a DCI transmitted in </w:t>
      </w:r>
      <w:r w:rsidRPr="00CF3594">
        <w:rPr>
          <w:b/>
          <w:bCs/>
          <w:lang w:val="en-US" w:eastAsia="zh-CN"/>
        </w:rPr>
        <w:t>a</w:t>
      </w:r>
      <w:r w:rsidRPr="003D3C8A">
        <w:rPr>
          <w:b/>
          <w:bCs/>
          <w:lang w:val="en-US" w:eastAsia="zh-CN"/>
        </w:rPr>
        <w:t xml:space="preserve"> particular monitoring instance. </w:t>
      </w:r>
    </w:p>
    <w:p w14:paraId="0C3EC7BE" w14:textId="41B76B5B" w:rsidR="003965D3" w:rsidRPr="00451FAB" w:rsidRDefault="00B8489C" w:rsidP="007C6D69">
      <w:pPr>
        <w:pStyle w:val="BodyText"/>
        <w:overflowPunct/>
        <w:autoSpaceDE/>
        <w:autoSpaceDN/>
        <w:adjustRightInd/>
        <w:jc w:val="both"/>
        <w:textAlignment w:val="auto"/>
        <w:rPr>
          <w:lang w:val="en-US" w:eastAsia="zh-CN"/>
        </w:rPr>
      </w:pPr>
      <w:r w:rsidRPr="00036BC3">
        <w:rPr>
          <w:lang w:val="en-US" w:eastAsia="zh-CN"/>
        </w:rPr>
        <w:t xml:space="preserve">Figure 1 </w:t>
      </w:r>
      <w:r w:rsidR="003965D3" w:rsidRPr="007C6D69">
        <w:rPr>
          <w:lang w:val="en-US" w:eastAsia="zh-CN"/>
        </w:rPr>
        <w:t>illustrates one case where 4 slots</w:t>
      </w:r>
      <w:r w:rsidR="003965D3" w:rsidRPr="008F1F9B">
        <w:rPr>
          <w:lang w:val="en-US" w:eastAsia="zh-CN"/>
        </w:rPr>
        <w:t xml:space="preserve"> </w:t>
      </w:r>
      <w:r w:rsidR="003965D3" w:rsidRPr="00451FAB">
        <w:rPr>
          <w:lang w:val="en-US" w:eastAsia="zh-CN"/>
        </w:rPr>
        <w:t>at high-band (</w:t>
      </w:r>
      <w:r w:rsidR="000B1ABD">
        <w:rPr>
          <w:lang w:val="en-US" w:eastAsia="zh-CN"/>
        </w:rPr>
        <w:t>CC2</w:t>
      </w:r>
      <w:r w:rsidR="003965D3" w:rsidRPr="00451FAB">
        <w:rPr>
          <w:lang w:val="en-US" w:eastAsia="zh-CN"/>
        </w:rPr>
        <w:t>) correspond to a single slot in low-band (</w:t>
      </w:r>
      <w:r w:rsidR="000B1ABD">
        <w:rPr>
          <w:lang w:val="en-US" w:eastAsia="zh-CN"/>
        </w:rPr>
        <w:t>CC</w:t>
      </w:r>
      <w:r w:rsidR="003965D3" w:rsidRPr="00451FAB">
        <w:rPr>
          <w:lang w:val="en-US" w:eastAsia="zh-CN"/>
        </w:rPr>
        <w:t>1). In this case, the</w:t>
      </w:r>
      <w:r w:rsidRPr="00451FAB">
        <w:rPr>
          <w:lang w:val="en-US" w:eastAsia="zh-CN"/>
        </w:rPr>
        <w:t xml:space="preserve"> </w:t>
      </w:r>
      <w:r w:rsidR="0080439F" w:rsidRPr="00451FAB">
        <w:rPr>
          <w:lang w:val="en-US" w:eastAsia="zh-CN"/>
        </w:rPr>
        <w:t xml:space="preserve">UE must be </w:t>
      </w:r>
      <w:r w:rsidR="003965D3" w:rsidRPr="00451FAB">
        <w:rPr>
          <w:lang w:val="en-US" w:eastAsia="zh-CN"/>
        </w:rPr>
        <w:t>aware of the following</w:t>
      </w:r>
      <w:r w:rsidR="00434D2B">
        <w:rPr>
          <w:lang w:val="en-US" w:eastAsia="zh-CN"/>
        </w:rPr>
        <w:t>:</w:t>
      </w:r>
      <w:r w:rsidR="003965D3" w:rsidRPr="00451FAB">
        <w:rPr>
          <w:lang w:val="en-US" w:eastAsia="zh-CN"/>
        </w:rPr>
        <w:t xml:space="preserve"> </w:t>
      </w:r>
    </w:p>
    <w:p w14:paraId="112D2488" w14:textId="1830681C" w:rsidR="003965D3" w:rsidRPr="00451FAB" w:rsidRDefault="00C2754B" w:rsidP="003D3C8A">
      <w:pPr>
        <w:pStyle w:val="BodyText"/>
        <w:numPr>
          <w:ilvl w:val="0"/>
          <w:numId w:val="23"/>
        </w:numPr>
        <w:overflowPunct/>
        <w:autoSpaceDE/>
        <w:autoSpaceDN/>
        <w:adjustRightInd/>
        <w:jc w:val="both"/>
        <w:textAlignment w:val="auto"/>
        <w:rPr>
          <w:lang w:val="en-US" w:eastAsia="zh-CN"/>
        </w:rPr>
      </w:pPr>
      <w:r>
        <w:rPr>
          <w:lang w:val="en-US" w:eastAsia="zh-CN"/>
        </w:rPr>
        <w:t>what is the first</w:t>
      </w:r>
      <w:r w:rsidR="0080439F" w:rsidRPr="00451FAB">
        <w:rPr>
          <w:lang w:val="en-US" w:eastAsia="zh-CN"/>
        </w:rPr>
        <w:t xml:space="preserve"> slots </w:t>
      </w:r>
      <w:r w:rsidR="00342920">
        <w:rPr>
          <w:lang w:val="en-US" w:eastAsia="zh-CN"/>
        </w:rPr>
        <w:t>at</w:t>
      </w:r>
      <w:r w:rsidR="00342920" w:rsidRPr="00451FAB">
        <w:rPr>
          <w:lang w:val="en-US" w:eastAsia="zh-CN"/>
        </w:rPr>
        <w:t xml:space="preserve"> </w:t>
      </w:r>
      <w:r w:rsidR="000B1ABD">
        <w:rPr>
          <w:lang w:val="en-US" w:eastAsia="zh-CN"/>
        </w:rPr>
        <w:t>CC</w:t>
      </w:r>
      <w:r w:rsidR="0080439F" w:rsidRPr="00451FAB">
        <w:rPr>
          <w:lang w:val="en-US" w:eastAsia="zh-CN"/>
        </w:rPr>
        <w:t>2</w:t>
      </w:r>
      <w:r w:rsidR="00342920">
        <w:rPr>
          <w:lang w:val="en-US" w:eastAsia="zh-CN"/>
        </w:rPr>
        <w:t xml:space="preserve"> to be</w:t>
      </w:r>
      <w:r w:rsidR="0080439F" w:rsidRPr="00451FAB">
        <w:rPr>
          <w:lang w:val="en-US" w:eastAsia="zh-CN"/>
        </w:rPr>
        <w:t xml:space="preserve"> scheduled via DCI sent in </w:t>
      </w:r>
      <w:r w:rsidR="000B1ABD">
        <w:rPr>
          <w:lang w:val="en-US" w:eastAsia="zh-CN"/>
        </w:rPr>
        <w:t>CC</w:t>
      </w:r>
      <w:r w:rsidR="0080439F" w:rsidRPr="00451FAB">
        <w:rPr>
          <w:lang w:val="en-US" w:eastAsia="zh-CN"/>
        </w:rPr>
        <w:t xml:space="preserve">1, and </w:t>
      </w:r>
    </w:p>
    <w:p w14:paraId="0E6C1288" w14:textId="423B5555" w:rsidR="003965D3" w:rsidRPr="00451FAB" w:rsidRDefault="000B1ABD" w:rsidP="003D3C8A">
      <w:pPr>
        <w:pStyle w:val="BodyText"/>
        <w:numPr>
          <w:ilvl w:val="0"/>
          <w:numId w:val="23"/>
        </w:numPr>
        <w:overflowPunct/>
        <w:autoSpaceDE/>
        <w:autoSpaceDN/>
        <w:adjustRightInd/>
        <w:jc w:val="both"/>
        <w:textAlignment w:val="auto"/>
        <w:rPr>
          <w:lang w:val="en-US" w:eastAsia="zh-CN"/>
        </w:rPr>
      </w:pPr>
      <w:r w:rsidRPr="00CF3594">
        <w:rPr>
          <w:noProof/>
          <w:lang w:val="fi-FI" w:eastAsia="fi-FI"/>
        </w:rPr>
        <mc:AlternateContent>
          <mc:Choice Requires="wpg">
            <w:drawing>
              <wp:anchor distT="0" distB="0" distL="114300" distR="114300" simplePos="0" relativeHeight="251659776" behindDoc="0" locked="0" layoutInCell="1" allowOverlap="1" wp14:anchorId="1E1CAC69" wp14:editId="1AD3418B">
                <wp:simplePos x="0" y="0"/>
                <wp:positionH relativeFrom="margin">
                  <wp:posOffset>787764</wp:posOffset>
                </wp:positionH>
                <wp:positionV relativeFrom="paragraph">
                  <wp:posOffset>396240</wp:posOffset>
                </wp:positionV>
                <wp:extent cx="4287156" cy="1092835"/>
                <wp:effectExtent l="0" t="0" r="18415" b="0"/>
                <wp:wrapTopAndBottom/>
                <wp:docPr id="2" name="Group 3"/>
                <wp:cNvGraphicFramePr/>
                <a:graphic xmlns:a="http://schemas.openxmlformats.org/drawingml/2006/main">
                  <a:graphicData uri="http://schemas.microsoft.com/office/word/2010/wordprocessingGroup">
                    <wpg:wgp>
                      <wpg:cNvGrpSpPr/>
                      <wpg:grpSpPr>
                        <a:xfrm>
                          <a:off x="0" y="0"/>
                          <a:ext cx="4287156" cy="1092835"/>
                          <a:chOff x="-165755" y="-20949"/>
                          <a:chExt cx="4528205" cy="1096631"/>
                        </a:xfrm>
                      </wpg:grpSpPr>
                      <wps:wsp>
                        <wps:cNvPr id="4" name="Rectangle 4"/>
                        <wps:cNvSpPr/>
                        <wps:spPr>
                          <a:xfrm>
                            <a:off x="1085850" y="2825"/>
                            <a:ext cx="3267075"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6" name="Rectangle 6"/>
                        <wps:cNvSpPr/>
                        <wps:spPr>
                          <a:xfrm>
                            <a:off x="1085850" y="2825"/>
                            <a:ext cx="361950" cy="381000"/>
                          </a:xfrm>
                          <a:prstGeom prst="rect">
                            <a:avLst/>
                          </a:prstGeom>
                          <a:solidFill>
                            <a:schemeClr val="bg2"/>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7" name="Group 7"/>
                        <wpg:cNvGrpSpPr/>
                        <wpg:grpSpPr>
                          <a:xfrm>
                            <a:off x="1085850" y="669575"/>
                            <a:ext cx="819150" cy="384175"/>
                            <a:chOff x="1085850" y="669575"/>
                            <a:chExt cx="819150" cy="384175"/>
                          </a:xfrm>
                        </wpg:grpSpPr>
                        <wps:wsp>
                          <wps:cNvPr id="8" name="Rectangle 8"/>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wps:cNvSpPr/>
                          <wps:spPr>
                            <a:xfrm>
                              <a:off x="10858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grpSp>
                        <wpg:cNvPr id="10" name="Group 10"/>
                        <wpg:cNvGrpSpPr/>
                        <wpg:grpSpPr>
                          <a:xfrm>
                            <a:off x="1905000" y="666400"/>
                            <a:ext cx="819150" cy="384175"/>
                            <a:chOff x="1905000" y="666400"/>
                            <a:chExt cx="819150" cy="384175"/>
                          </a:xfrm>
                        </wpg:grpSpPr>
                        <wps:wsp>
                          <wps:cNvPr id="11" name="Rectangle 11"/>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2" name="Rectangle 12"/>
                          <wps:cNvSpPr/>
                          <wps:spPr>
                            <a:xfrm>
                              <a:off x="1905000" y="669575"/>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grpSp>
                        <wpg:cNvPr id="13" name="Group 13"/>
                        <wpg:cNvGrpSpPr/>
                        <wpg:grpSpPr>
                          <a:xfrm>
                            <a:off x="2724150" y="669575"/>
                            <a:ext cx="819150" cy="384175"/>
                            <a:chOff x="2724150" y="669575"/>
                            <a:chExt cx="819150" cy="384175"/>
                          </a:xfrm>
                        </wpg:grpSpPr>
                        <wps:wsp>
                          <wps:cNvPr id="14" name="Rectangle 14"/>
                          <wps:cNvSpPr/>
                          <wps:spPr>
                            <a:xfrm>
                              <a:off x="27241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5" name="Rectangle 15"/>
                          <wps:cNvSpPr/>
                          <wps:spPr>
                            <a:xfrm>
                              <a:off x="27241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grpSp>
                        <wpg:cNvPr id="16" name="Group 16"/>
                        <wpg:cNvGrpSpPr/>
                        <wpg:grpSpPr>
                          <a:xfrm>
                            <a:off x="3543300" y="669575"/>
                            <a:ext cx="819150" cy="384175"/>
                            <a:chOff x="3543300" y="669575"/>
                            <a:chExt cx="819150" cy="384175"/>
                          </a:xfrm>
                        </wpg:grpSpPr>
                        <wps:wsp>
                          <wps:cNvPr id="17" name="Rectangle 17"/>
                          <wps:cNvSpPr/>
                          <wps:spPr>
                            <a:xfrm>
                              <a:off x="354330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 name="Rectangle 18"/>
                          <wps:cNvSpPr/>
                          <wps:spPr>
                            <a:xfrm>
                              <a:off x="354330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s:wsp>
                        <wps:cNvPr id="19" name="Straight Arrow Connector 19"/>
                        <wps:cNvCnPr/>
                        <wps:spPr>
                          <a:xfrm>
                            <a:off x="1266825" y="371125"/>
                            <a:ext cx="228600" cy="30797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0" name="Straight Arrow Connector 20"/>
                        <wps:cNvCnPr/>
                        <wps:spPr>
                          <a:xfrm>
                            <a:off x="1266825" y="383825"/>
                            <a:ext cx="1047750" cy="28257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1" name="Straight Arrow Connector 21"/>
                        <wps:cNvCnPr/>
                        <wps:spPr>
                          <a:xfrm>
                            <a:off x="1266825" y="383825"/>
                            <a:ext cx="2009775" cy="28257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2" name="Straight Arrow Connector 22"/>
                        <wps:cNvCnPr/>
                        <wps:spPr>
                          <a:xfrm>
                            <a:off x="1266825" y="383825"/>
                            <a:ext cx="2809875" cy="28257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3" name="TextBox 14"/>
                        <wps:cNvSpPr txBox="1"/>
                        <wps:spPr>
                          <a:xfrm>
                            <a:off x="-165755" y="-20949"/>
                            <a:ext cx="1191068" cy="443476"/>
                          </a:xfrm>
                          <a:prstGeom prst="rect">
                            <a:avLst/>
                          </a:prstGeom>
                          <a:noFill/>
                        </wps:spPr>
                        <wps:txbx>
                          <w:txbxContent>
                            <w:p w14:paraId="6D679275" w14:textId="63D76D88" w:rsidR="0080439F" w:rsidRPr="0030573B" w:rsidRDefault="0080439F" w:rsidP="0080439F">
                              <w:pPr>
                                <w:pStyle w:val="NormalWeb"/>
                                <w:spacing w:before="0" w:beforeAutospacing="0" w:after="0" w:afterAutospacing="0"/>
                                <w:textAlignment w:val="baseline"/>
                                <w:rPr>
                                  <w:sz w:val="16"/>
                                  <w:szCs w:val="16"/>
                                </w:rPr>
                              </w:pPr>
                              <w:r w:rsidRPr="0030573B">
                                <w:rPr>
                                  <w:rFonts w:ascii="Arial" w:eastAsia="ヒラギノ角ゴ Pro W3" w:hAnsi="Arial" w:cs="ヒラギノ角ゴ Pro W3"/>
                                  <w:color w:val="000000" w:themeColor="text1"/>
                                  <w:kern w:val="24"/>
                                  <w:sz w:val="16"/>
                                  <w:szCs w:val="16"/>
                                </w:rPr>
                                <w:t xml:space="preserve">Low band: scheduling </w:t>
                              </w:r>
                              <w:r w:rsidR="000B1ABD">
                                <w:rPr>
                                  <w:rFonts w:ascii="Arial" w:eastAsia="ヒラギノ角ゴ Pro W3" w:hAnsi="Arial" w:cs="ヒラギノ角ゴ Pro W3"/>
                                  <w:color w:val="000000" w:themeColor="text1"/>
                                  <w:kern w:val="24"/>
                                  <w:sz w:val="16"/>
                                  <w:szCs w:val="16"/>
                                </w:rPr>
                                <w:t xml:space="preserve">small SCS </w:t>
                              </w:r>
                              <w:r w:rsidRPr="0030573B">
                                <w:rPr>
                                  <w:rFonts w:ascii="Arial" w:eastAsia="ヒラギノ角ゴ Pro W3" w:hAnsi="Arial" w:cs="ヒラギノ角ゴ Pro W3"/>
                                  <w:color w:val="000000" w:themeColor="text1"/>
                                  <w:kern w:val="24"/>
                                  <w:sz w:val="16"/>
                                  <w:szCs w:val="16"/>
                                </w:rPr>
                                <w:t>(</w:t>
                              </w:r>
                              <w:r w:rsidR="000B1ABD">
                                <w:rPr>
                                  <w:rFonts w:ascii="Arial" w:eastAsia="ヒラギノ角ゴ Pro W3" w:hAnsi="Arial" w:cs="ヒラギノ角ゴ Pro W3"/>
                                  <w:color w:val="000000" w:themeColor="text1"/>
                                  <w:kern w:val="24"/>
                                  <w:sz w:val="16"/>
                                  <w:szCs w:val="16"/>
                                </w:rPr>
                                <w:t>CC1</w:t>
                              </w:r>
                              <w:r w:rsidRPr="0030573B">
                                <w:rPr>
                                  <w:rFonts w:ascii="Arial" w:eastAsia="ヒラギノ角ゴ Pro W3" w:hAnsi="Arial" w:cs="ヒラギノ角ゴ Pro W3"/>
                                  <w:color w:val="000000" w:themeColor="text1"/>
                                  <w:kern w:val="24"/>
                                  <w:sz w:val="16"/>
                                  <w:szCs w:val="16"/>
                                </w:rPr>
                                <w:t>)</w:t>
                              </w:r>
                            </w:p>
                          </w:txbxContent>
                        </wps:txbx>
                        <wps:bodyPr wrap="square" rtlCol="0">
                          <a:spAutoFit/>
                        </wps:bodyPr>
                      </wps:wsp>
                      <wps:wsp>
                        <wps:cNvPr id="24" name="TextBox 15"/>
                        <wps:cNvSpPr txBox="1"/>
                        <wps:spPr>
                          <a:xfrm>
                            <a:off x="-156750" y="629927"/>
                            <a:ext cx="1014018" cy="445755"/>
                          </a:xfrm>
                          <a:prstGeom prst="rect">
                            <a:avLst/>
                          </a:prstGeom>
                          <a:noFill/>
                        </wps:spPr>
                        <wps:txbx>
                          <w:txbxContent>
                            <w:p w14:paraId="46F79036" w14:textId="77777777" w:rsidR="000B1ABD" w:rsidRDefault="0080439F" w:rsidP="0080439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30573B">
                                <w:rPr>
                                  <w:rFonts w:ascii="Arial" w:eastAsia="ヒラギノ角ゴ Pro W3" w:hAnsi="Arial" w:cs="ヒラギノ角ゴ Pro W3"/>
                                  <w:color w:val="000000" w:themeColor="text1"/>
                                  <w:kern w:val="24"/>
                                  <w:sz w:val="16"/>
                                  <w:szCs w:val="16"/>
                                </w:rPr>
                                <w:t xml:space="preserve">High band: </w:t>
                              </w:r>
                            </w:p>
                            <w:p w14:paraId="0318FC63" w14:textId="77777777" w:rsidR="000B1ABD" w:rsidRDefault="0080439F" w:rsidP="0080439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30573B">
                                <w:rPr>
                                  <w:rFonts w:ascii="Arial" w:eastAsia="ヒラギノ角ゴ Pro W3" w:hAnsi="Arial" w:cs="ヒラギノ角ゴ Pro W3"/>
                                  <w:color w:val="000000" w:themeColor="text1"/>
                                  <w:kern w:val="24"/>
                                  <w:sz w:val="16"/>
                                  <w:szCs w:val="16"/>
                                </w:rPr>
                                <w:t xml:space="preserve">scheduled </w:t>
                              </w:r>
                              <w:r w:rsidR="000B1ABD">
                                <w:rPr>
                                  <w:rFonts w:ascii="Arial" w:eastAsia="ヒラギノ角ゴ Pro W3" w:hAnsi="Arial" w:cs="ヒラギノ角ゴ Pro W3"/>
                                  <w:color w:val="000000" w:themeColor="text1"/>
                                  <w:kern w:val="24"/>
                                  <w:sz w:val="16"/>
                                  <w:szCs w:val="16"/>
                                </w:rPr>
                                <w:t xml:space="preserve">large </w:t>
                              </w:r>
                            </w:p>
                            <w:p w14:paraId="48F83696" w14:textId="70971EE1" w:rsidR="0080439F" w:rsidRPr="0030573B" w:rsidRDefault="000B1ABD" w:rsidP="0080439F">
                              <w:pPr>
                                <w:pStyle w:val="NormalWeb"/>
                                <w:spacing w:before="0" w:beforeAutospacing="0" w:after="0" w:afterAutospacing="0"/>
                                <w:textAlignment w:val="baseline"/>
                                <w:rPr>
                                  <w:sz w:val="16"/>
                                  <w:szCs w:val="16"/>
                                </w:rPr>
                              </w:pPr>
                              <w:r>
                                <w:rPr>
                                  <w:rFonts w:ascii="Arial" w:eastAsia="ヒラギノ角ゴ Pro W3" w:hAnsi="Arial" w:cs="ヒラギノ角ゴ Pro W3"/>
                                  <w:color w:val="000000" w:themeColor="text1"/>
                                  <w:kern w:val="24"/>
                                  <w:sz w:val="16"/>
                                  <w:szCs w:val="16"/>
                                </w:rPr>
                                <w:t>SCS</w:t>
                              </w:r>
                              <w:r w:rsidRPr="0030573B">
                                <w:rPr>
                                  <w:rFonts w:ascii="Arial" w:eastAsia="ヒラギノ角ゴ Pro W3" w:hAnsi="Arial" w:cs="ヒラギノ角ゴ Pro W3"/>
                                  <w:color w:val="000000" w:themeColor="text1"/>
                                  <w:kern w:val="24"/>
                                  <w:sz w:val="16"/>
                                  <w:szCs w:val="16"/>
                                </w:rPr>
                                <w:t xml:space="preserve"> </w:t>
                              </w:r>
                              <w:r w:rsidR="0080439F" w:rsidRPr="0030573B">
                                <w:rPr>
                                  <w:rFonts w:ascii="Arial" w:eastAsia="ヒラギノ角ゴ Pro W3" w:hAnsi="Arial" w:cs="ヒラギノ角ゴ Pro W3"/>
                                  <w:color w:val="000000" w:themeColor="text1"/>
                                  <w:kern w:val="24"/>
                                  <w:sz w:val="16"/>
                                  <w:szCs w:val="16"/>
                                </w:rPr>
                                <w:t>(</w:t>
                              </w:r>
                              <w:r>
                                <w:rPr>
                                  <w:rFonts w:ascii="Arial" w:eastAsia="ヒラギノ角ゴ Pro W3" w:hAnsi="Arial" w:cs="ヒラギノ角ゴ Pro W3"/>
                                  <w:color w:val="000000" w:themeColor="text1"/>
                                  <w:kern w:val="24"/>
                                  <w:sz w:val="16"/>
                                  <w:szCs w:val="16"/>
                                </w:rPr>
                                <w:t>CC</w:t>
                              </w:r>
                              <w:r w:rsidR="0080439F" w:rsidRPr="0030573B">
                                <w:rPr>
                                  <w:rFonts w:ascii="Arial" w:eastAsia="ヒラギノ角ゴ Pro W3" w:hAnsi="Arial" w:cs="ヒラギノ角ゴ Pro W3"/>
                                  <w:color w:val="000000" w:themeColor="text1"/>
                                  <w:kern w:val="24"/>
                                  <w:sz w:val="16"/>
                                  <w:szCs w:val="16"/>
                                </w:rPr>
                                <w:t>2)</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E1CAC69" id="Group 3" o:spid="_x0000_s1026" style="position:absolute;left:0;text-align:left;margin-left:62.05pt;margin-top:31.2pt;width:337.55pt;height:86.05pt;z-index:251659776;mso-position-horizontal-relative:margin;mso-width-relative:margin;mso-height-relative:margin" coordorigin="-1657,-209" coordsize="45282,10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">
                <v:rect id="Rectangle 4" o:spid="_x0000_s1027" style="position:absolute;left:10858;top:28;width:3267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" filled="f" strokecolor="#5b9bd5 [3204]" strokeweight=".5pt">
                  <v:textbox inset=",2.5mm,,2.5mm"/>
                </v:rect>
                <v:rect id="Rectangle 6" o:spid="_x0000_s1028" style="position:absolute;left:10858;top:28;width:362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" fillcolor="#e7e6e6 [3214]" stroked="f" strokeweight=".5pt">
                  <v:textbox inset=",2.5mm,,2.5mm"/>
                </v:rect>
                <v:group id="Group 7" o:spid="_x0000_s1029" style="position:absolute;left:10858;top:6695;width:8192;height:3842" coordorigin="10858,6695" coordsize="8191,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0"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" filled="f" strokecolor="#5b9bd5 [3204]" strokeweight=".5pt">
                    <v:textbox inset=",2.5mm,,2.5mm"/>
                  </v:rect>
                  <v:rect id="Rectangle 9" o:spid="_x0000_s1031" style="position:absolute;left:10858;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" fillcolor="red" stroked="f" strokeweight=".5pt">
                    <v:textbox inset=",2.5mm,,2.5mm"/>
                  </v:rect>
                </v:group>
                <v:group id="Group 10" o:spid="_x0000_s1032" style="position:absolute;left:19050;top:6664;width:8191;height:3841" coordorigin="19050,6664" coordsize="8191,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33"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" filled="f" strokecolor="#5b9bd5 [3204]" strokeweight=".5pt">
                    <v:textbox inset=",2.5mm,,2.5mm"/>
                  </v:rect>
                  <v:rect id="Rectangle 12" o:spid="_x0000_s1034" style="position:absolute;left:19050;top:6695;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" fillcolor="red" stroked="f" strokeweight=".5pt">
                    <v:textbox inset=",2.5mm,,2.5mm"/>
                  </v:rect>
                </v:group>
                <v:group id="Group 13" o:spid="_x0000_s1035" style="position:absolute;left:27241;top:6695;width:8192;height:3842" coordorigin="27241,6695" coordsize="8191,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36" style="position:absolute;left:27241;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" filled="f" strokecolor="#5b9bd5 [3204]" strokeweight=".5pt">
                    <v:textbox inset=",2.5mm,,2.5mm"/>
                  </v:rect>
                  <v:rect id="Rectangle 15" o:spid="_x0000_s1037" style="position:absolute;left:27241;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" fillcolor="red" stroked="f" strokeweight=".5pt">
                    <v:textbox inset=",2.5mm,,2.5mm"/>
                  </v:rect>
                </v:group>
                <v:group id="Group 16" o:spid="_x0000_s1038" style="position:absolute;left:35433;top:6695;width:8191;height:3842" coordorigin="35433,6695" coordsize="8191,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o:spid="_x0000_s1039" style="position:absolute;left:35433;top:6695;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" filled="f" strokecolor="#5b9bd5 [3204]" strokeweight=".5pt">
                    <v:textbox inset=",2.5mm,,2.5mm"/>
                  </v:rect>
                  <v:rect id="Rectangle 18" o:spid="_x0000_s1040" style="position:absolute;left:35433;top:6727;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" fillcolor="red" stroked="f" strokeweight=".5pt">
                    <v:textbox inset=",2.5mm,,2.5mm"/>
                  </v:rect>
                </v:group>
                <v:shapetype id="_x0000_t32" coordsize="21600,21600" o:spt="32" o:oned="t" path="m,l21600,21600e" filled="f">
                  <v:path arrowok="t" fillok="f" o:connecttype="none"/>
                  <o:lock v:ext="edit" shapetype="t"/>
                </v:shapetype>
                <v:shape id="Straight Arrow Connector 19" o:spid="_x0000_s1041" type="#_x0000_t32" style="position:absolute;left:12668;top:3711;width:2286;height:30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" strokecolor="#a5a5a5 [3206]" strokeweight="1.5pt">
                  <v:stroke endarrow="open" joinstyle="miter"/>
                </v:shape>
                <v:shape id="Straight Arrow Connector 20" o:spid="_x0000_s1042" type="#_x0000_t32" style="position:absolute;left:12668;top:3838;width:10477;height:2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" strokecolor="#a5a5a5 [3206]" strokeweight="1.5pt">
                  <v:stroke endarrow="open" joinstyle="miter"/>
                </v:shape>
                <v:shape id="Straight Arrow Connector 21" o:spid="_x0000_s1043" type="#_x0000_t32" style="position:absolute;left:12668;top:3838;width:20098;height:2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" strokecolor="#a5a5a5 [3206]" strokeweight="1.5pt">
                  <v:stroke endarrow="open" joinstyle="miter"/>
                </v:shape>
                <v:shape id="Straight Arrow Connector 22" o:spid="_x0000_s1044" type="#_x0000_t32" style="position:absolute;left:12668;top:3838;width:28099;height:2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" strokecolor="#a5a5a5 [3206]" strokeweight="1.5pt">
                  <v:stroke endarrow="open" joinstyle="miter"/>
                </v:shape>
                <v:shapetype id="_x0000_t202" coordsize="21600,21600" o:spt="202" path="m,l,21600r21600,l21600,xe">
                  <v:stroke joinstyle="miter"/>
                  <v:path gradientshapeok="t" o:connecttype="rect"/>
                </v:shapetype>
                <v:shape id="TextBox 14" o:spid="_x0000_s1045" type="#_x0000_t202" style="position:absolute;left:-1657;top:-209;width:11910;height:4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6D679275" w14:textId="63D76D88" w:rsidR="0080439F" w:rsidRPr="0030573B" w:rsidRDefault="0080439F" w:rsidP="0080439F">
                        <w:pPr>
                          <w:pStyle w:val="NormalWeb"/>
                          <w:spacing w:before="0" w:beforeAutospacing="0" w:after="0" w:afterAutospacing="0"/>
                          <w:textAlignment w:val="baseline"/>
                          <w:rPr>
                            <w:sz w:val="16"/>
                            <w:szCs w:val="16"/>
                          </w:rPr>
                        </w:pPr>
                        <w:r w:rsidRPr="0030573B">
                          <w:rPr>
                            <w:rFonts w:ascii="Arial" w:eastAsia="ヒラギノ角ゴ Pro W3" w:hAnsi="Arial" w:cs="ヒラギノ角ゴ Pro W3"/>
                            <w:color w:val="000000" w:themeColor="text1"/>
                            <w:kern w:val="24"/>
                            <w:sz w:val="16"/>
                            <w:szCs w:val="16"/>
                          </w:rPr>
                          <w:t xml:space="preserve">Low band: scheduling </w:t>
                        </w:r>
                        <w:r w:rsidR="000B1ABD">
                          <w:rPr>
                            <w:rFonts w:ascii="Arial" w:eastAsia="ヒラギノ角ゴ Pro W3" w:hAnsi="Arial" w:cs="ヒラギノ角ゴ Pro W3"/>
                            <w:color w:val="000000" w:themeColor="text1"/>
                            <w:kern w:val="24"/>
                            <w:sz w:val="16"/>
                            <w:szCs w:val="16"/>
                          </w:rPr>
                          <w:t xml:space="preserve">small SCS </w:t>
                        </w:r>
                        <w:r w:rsidRPr="0030573B">
                          <w:rPr>
                            <w:rFonts w:ascii="Arial" w:eastAsia="ヒラギノ角ゴ Pro W3" w:hAnsi="Arial" w:cs="ヒラギノ角ゴ Pro W3"/>
                            <w:color w:val="000000" w:themeColor="text1"/>
                            <w:kern w:val="24"/>
                            <w:sz w:val="16"/>
                            <w:szCs w:val="16"/>
                          </w:rPr>
                          <w:t>(</w:t>
                        </w:r>
                        <w:r w:rsidR="000B1ABD">
                          <w:rPr>
                            <w:rFonts w:ascii="Arial" w:eastAsia="ヒラギノ角ゴ Pro W3" w:hAnsi="Arial" w:cs="ヒラギノ角ゴ Pro W3"/>
                            <w:color w:val="000000" w:themeColor="text1"/>
                            <w:kern w:val="24"/>
                            <w:sz w:val="16"/>
                            <w:szCs w:val="16"/>
                          </w:rPr>
                          <w:t>CC1</w:t>
                        </w:r>
                        <w:r w:rsidRPr="0030573B">
                          <w:rPr>
                            <w:rFonts w:ascii="Arial" w:eastAsia="ヒラギノ角ゴ Pro W3" w:hAnsi="Arial" w:cs="ヒラギノ角ゴ Pro W3"/>
                            <w:color w:val="000000" w:themeColor="text1"/>
                            <w:kern w:val="24"/>
                            <w:sz w:val="16"/>
                            <w:szCs w:val="16"/>
                          </w:rPr>
                          <w:t>)</w:t>
                        </w:r>
                      </w:p>
                    </w:txbxContent>
                  </v:textbox>
                </v:shape>
                <v:shape id="TextBox 15" o:spid="_x0000_s1046" type="#_x0000_t202" style="position:absolute;left:-1567;top:6299;width:10139;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46F79036" w14:textId="77777777" w:rsidR="000B1ABD" w:rsidRDefault="0080439F" w:rsidP="0080439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30573B">
                          <w:rPr>
                            <w:rFonts w:ascii="Arial" w:eastAsia="ヒラギノ角ゴ Pro W3" w:hAnsi="Arial" w:cs="ヒラギノ角ゴ Pro W3"/>
                            <w:color w:val="000000" w:themeColor="text1"/>
                            <w:kern w:val="24"/>
                            <w:sz w:val="16"/>
                            <w:szCs w:val="16"/>
                          </w:rPr>
                          <w:t xml:space="preserve">High band: </w:t>
                        </w:r>
                      </w:p>
                      <w:p w14:paraId="0318FC63" w14:textId="77777777" w:rsidR="000B1ABD" w:rsidRDefault="0080439F" w:rsidP="0080439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rPr>
                        </w:pPr>
                        <w:r w:rsidRPr="0030573B">
                          <w:rPr>
                            <w:rFonts w:ascii="Arial" w:eastAsia="ヒラギノ角ゴ Pro W3" w:hAnsi="Arial" w:cs="ヒラギノ角ゴ Pro W3"/>
                            <w:color w:val="000000" w:themeColor="text1"/>
                            <w:kern w:val="24"/>
                            <w:sz w:val="16"/>
                            <w:szCs w:val="16"/>
                          </w:rPr>
                          <w:t xml:space="preserve">scheduled </w:t>
                        </w:r>
                        <w:r w:rsidR="000B1ABD">
                          <w:rPr>
                            <w:rFonts w:ascii="Arial" w:eastAsia="ヒラギノ角ゴ Pro W3" w:hAnsi="Arial" w:cs="ヒラギノ角ゴ Pro W3"/>
                            <w:color w:val="000000" w:themeColor="text1"/>
                            <w:kern w:val="24"/>
                            <w:sz w:val="16"/>
                            <w:szCs w:val="16"/>
                          </w:rPr>
                          <w:t xml:space="preserve">large </w:t>
                        </w:r>
                      </w:p>
                      <w:p w14:paraId="48F83696" w14:textId="70971EE1" w:rsidR="0080439F" w:rsidRPr="0030573B" w:rsidRDefault="000B1ABD" w:rsidP="0080439F">
                        <w:pPr>
                          <w:pStyle w:val="NormalWeb"/>
                          <w:spacing w:before="0" w:beforeAutospacing="0" w:after="0" w:afterAutospacing="0"/>
                          <w:textAlignment w:val="baseline"/>
                          <w:rPr>
                            <w:sz w:val="16"/>
                            <w:szCs w:val="16"/>
                          </w:rPr>
                        </w:pPr>
                        <w:r>
                          <w:rPr>
                            <w:rFonts w:ascii="Arial" w:eastAsia="ヒラギノ角ゴ Pro W3" w:hAnsi="Arial" w:cs="ヒラギノ角ゴ Pro W3"/>
                            <w:color w:val="000000" w:themeColor="text1"/>
                            <w:kern w:val="24"/>
                            <w:sz w:val="16"/>
                            <w:szCs w:val="16"/>
                          </w:rPr>
                          <w:t>SCS</w:t>
                        </w:r>
                        <w:r w:rsidRPr="0030573B">
                          <w:rPr>
                            <w:rFonts w:ascii="Arial" w:eastAsia="ヒラギノ角ゴ Pro W3" w:hAnsi="Arial" w:cs="ヒラギノ角ゴ Pro W3"/>
                            <w:color w:val="000000" w:themeColor="text1"/>
                            <w:kern w:val="24"/>
                            <w:sz w:val="16"/>
                            <w:szCs w:val="16"/>
                          </w:rPr>
                          <w:t xml:space="preserve"> </w:t>
                        </w:r>
                        <w:r w:rsidR="0080439F" w:rsidRPr="0030573B">
                          <w:rPr>
                            <w:rFonts w:ascii="Arial" w:eastAsia="ヒラギノ角ゴ Pro W3" w:hAnsi="Arial" w:cs="ヒラギノ角ゴ Pro W3"/>
                            <w:color w:val="000000" w:themeColor="text1"/>
                            <w:kern w:val="24"/>
                            <w:sz w:val="16"/>
                            <w:szCs w:val="16"/>
                          </w:rPr>
                          <w:t>(</w:t>
                        </w:r>
                        <w:r>
                          <w:rPr>
                            <w:rFonts w:ascii="Arial" w:eastAsia="ヒラギノ角ゴ Pro W3" w:hAnsi="Arial" w:cs="ヒラギノ角ゴ Pro W3"/>
                            <w:color w:val="000000" w:themeColor="text1"/>
                            <w:kern w:val="24"/>
                            <w:sz w:val="16"/>
                            <w:szCs w:val="16"/>
                          </w:rPr>
                          <w:t>CC</w:t>
                        </w:r>
                        <w:r w:rsidR="0080439F" w:rsidRPr="0030573B">
                          <w:rPr>
                            <w:rFonts w:ascii="Arial" w:eastAsia="ヒラギノ角ゴ Pro W3" w:hAnsi="Arial" w:cs="ヒラギノ角ゴ Pro W3"/>
                            <w:color w:val="000000" w:themeColor="text1"/>
                            <w:kern w:val="24"/>
                            <w:sz w:val="16"/>
                            <w:szCs w:val="16"/>
                          </w:rPr>
                          <w:t>2)</w:t>
                        </w:r>
                      </w:p>
                    </w:txbxContent>
                  </v:textbox>
                </v:shape>
                <w10:wrap type="topAndBottom" anchorx="margin"/>
              </v:group>
            </w:pict>
          </mc:Fallback>
        </mc:AlternateContent>
      </w:r>
      <w:r w:rsidR="003965D3" w:rsidRPr="00451FAB">
        <w:rPr>
          <w:lang w:val="en-US" w:eastAsia="zh-CN"/>
        </w:rPr>
        <w:t xml:space="preserve">how many slots at </w:t>
      </w:r>
      <w:r>
        <w:rPr>
          <w:lang w:val="en-US" w:eastAsia="zh-CN"/>
        </w:rPr>
        <w:t>CC</w:t>
      </w:r>
      <w:r w:rsidR="003965D3" w:rsidRPr="00451FAB">
        <w:rPr>
          <w:lang w:val="en-US" w:eastAsia="zh-CN"/>
        </w:rPr>
        <w:t xml:space="preserve">2 are scheduled by </w:t>
      </w:r>
      <w:r w:rsidR="00FB266B" w:rsidRPr="00451FAB">
        <w:rPr>
          <w:lang w:val="en-US" w:eastAsia="zh-CN"/>
        </w:rPr>
        <w:t xml:space="preserve">the </w:t>
      </w:r>
      <w:r w:rsidR="005B56D2">
        <w:rPr>
          <w:lang w:val="en-US" w:eastAsia="zh-CN"/>
        </w:rPr>
        <w:t>g</w:t>
      </w:r>
      <w:r w:rsidR="00FB266B" w:rsidRPr="00451FAB">
        <w:rPr>
          <w:lang w:val="en-US" w:eastAsia="zh-CN"/>
        </w:rPr>
        <w:t>NB</w:t>
      </w:r>
    </w:p>
    <w:p w14:paraId="6999D269" w14:textId="30250658" w:rsidR="003965D3" w:rsidRPr="00CF3594" w:rsidRDefault="003965D3" w:rsidP="003D3C8A">
      <w:pPr>
        <w:pStyle w:val="BodyText"/>
        <w:overflowPunct/>
        <w:autoSpaceDE/>
        <w:autoSpaceDN/>
        <w:adjustRightInd/>
        <w:ind w:left="1004"/>
        <w:jc w:val="both"/>
        <w:textAlignment w:val="auto"/>
        <w:rPr>
          <w:lang w:val="en-US" w:eastAsia="zh-CN"/>
        </w:rPr>
      </w:pPr>
    </w:p>
    <w:p w14:paraId="40C91CCA" w14:textId="77777777" w:rsidR="00710039" w:rsidRPr="00CF3594" w:rsidRDefault="00710039" w:rsidP="00710039">
      <w:pPr>
        <w:pStyle w:val="BodyText"/>
        <w:overflowPunct/>
        <w:autoSpaceDE/>
        <w:autoSpaceDN/>
        <w:adjustRightInd/>
        <w:jc w:val="center"/>
        <w:textAlignment w:val="auto"/>
        <w:rPr>
          <w:lang w:val="en-US" w:eastAsia="zh-CN"/>
        </w:rPr>
      </w:pPr>
      <w:r w:rsidRPr="00CF3594">
        <w:t xml:space="preserve">Figure </w:t>
      </w:r>
      <w:r w:rsidRPr="00CF3594">
        <w:fldChar w:fldCharType="begin"/>
      </w:r>
      <w:r w:rsidRPr="00451FAB">
        <w:instrText xml:space="preserve"> SEQ Figure \* ARABIC </w:instrText>
      </w:r>
      <w:r w:rsidRPr="00CF3594">
        <w:fldChar w:fldCharType="separate"/>
      </w:r>
      <w:r w:rsidRPr="00CF3594">
        <w:rPr>
          <w:noProof/>
        </w:rPr>
        <w:t>1</w:t>
      </w:r>
      <w:r w:rsidRPr="00CF3594">
        <w:fldChar w:fldCharType="end"/>
      </w:r>
      <w:r w:rsidRPr="00CF3594">
        <w:t xml:space="preserve">. </w:t>
      </w:r>
      <w:r w:rsidRPr="00FC3695">
        <w:rPr>
          <w:lang w:eastAsia="zh-CN"/>
        </w:rPr>
        <w:t>illustration for cross-numerology scheduling</w:t>
      </w:r>
    </w:p>
    <w:p w14:paraId="13F17988" w14:textId="77777777" w:rsidR="00710039" w:rsidRPr="00CF3594" w:rsidRDefault="00710039" w:rsidP="00CF3594">
      <w:pPr>
        <w:pStyle w:val="BodyText"/>
        <w:overflowPunct/>
        <w:autoSpaceDE/>
        <w:autoSpaceDN/>
        <w:adjustRightInd/>
        <w:jc w:val="both"/>
        <w:textAlignment w:val="auto"/>
        <w:rPr>
          <w:lang w:val="en-US" w:eastAsia="zh-CN"/>
        </w:rPr>
      </w:pPr>
    </w:p>
    <w:p w14:paraId="514160DD" w14:textId="6C6B89F6" w:rsidR="0080439F" w:rsidRPr="00CF3594" w:rsidRDefault="0014172C" w:rsidP="00451FAB">
      <w:pPr>
        <w:pStyle w:val="BodyText"/>
        <w:overflowPunct/>
        <w:autoSpaceDE/>
        <w:autoSpaceDN/>
        <w:adjustRightInd/>
        <w:jc w:val="both"/>
        <w:textAlignment w:val="auto"/>
        <w:rPr>
          <w:lang w:val="en-US" w:eastAsia="zh-CN"/>
        </w:rPr>
      </w:pPr>
      <w:r w:rsidRPr="00451FAB">
        <w:rPr>
          <w:lang w:val="en-US" w:eastAsia="zh-CN"/>
        </w:rPr>
        <w:t>A</w:t>
      </w:r>
      <w:r w:rsidR="003965D3" w:rsidRPr="00451FAB">
        <w:rPr>
          <w:lang w:val="en-US" w:eastAsia="zh-CN"/>
        </w:rPr>
        <w:t>ssum</w:t>
      </w:r>
      <w:r w:rsidRPr="00451FAB">
        <w:rPr>
          <w:lang w:val="en-US" w:eastAsia="zh-CN"/>
        </w:rPr>
        <w:t xml:space="preserve">ing that </w:t>
      </w:r>
      <w:r w:rsidR="003965D3" w:rsidRPr="00451FAB">
        <w:rPr>
          <w:lang w:val="en-US" w:eastAsia="zh-CN"/>
        </w:rPr>
        <w:t xml:space="preserve">cross-scheduled carriers would be </w:t>
      </w:r>
      <w:r w:rsidR="000C7302">
        <w:rPr>
          <w:lang w:val="en-US" w:eastAsia="zh-CN"/>
        </w:rPr>
        <w:t>NR-</w:t>
      </w:r>
      <w:r w:rsidR="003965D3" w:rsidRPr="00451FAB">
        <w:rPr>
          <w:lang w:val="en-US" w:eastAsia="zh-CN"/>
        </w:rPr>
        <w:t>synchronized</w:t>
      </w:r>
      <w:r w:rsidR="000C7302">
        <w:rPr>
          <w:lang w:val="en-US" w:eastAsia="zh-CN"/>
        </w:rPr>
        <w:t xml:space="preserve"> (please see </w:t>
      </w:r>
      <w:r w:rsidR="00C76538">
        <w:rPr>
          <w:highlight w:val="yellow"/>
          <w:lang w:val="en-US" w:eastAsia="zh-CN"/>
        </w:rPr>
        <w:fldChar w:fldCharType="begin"/>
      </w:r>
      <w:r w:rsidR="00C76538">
        <w:rPr>
          <w:lang w:val="en-US" w:eastAsia="zh-CN"/>
        </w:rPr>
        <w:instrText xml:space="preserve"> REF _Ref485314036 \r \h </w:instrText>
      </w:r>
      <w:r w:rsidR="00C76538">
        <w:rPr>
          <w:highlight w:val="yellow"/>
          <w:lang w:val="en-US" w:eastAsia="zh-CN"/>
        </w:rPr>
      </w:r>
      <w:r w:rsidR="00C76538">
        <w:rPr>
          <w:highlight w:val="yellow"/>
          <w:lang w:val="en-US" w:eastAsia="zh-CN"/>
        </w:rPr>
        <w:fldChar w:fldCharType="separate"/>
      </w:r>
      <w:r w:rsidR="00C76538">
        <w:rPr>
          <w:lang w:val="en-US" w:eastAsia="zh-CN"/>
        </w:rPr>
        <w:t>[2]</w:t>
      </w:r>
      <w:r w:rsidR="00C76538">
        <w:rPr>
          <w:highlight w:val="yellow"/>
          <w:lang w:val="en-US" w:eastAsia="zh-CN"/>
        </w:rPr>
        <w:fldChar w:fldCharType="end"/>
      </w:r>
      <w:r w:rsidR="00C76538">
        <w:rPr>
          <w:lang w:val="en-US" w:eastAsia="zh-CN"/>
        </w:rPr>
        <w:t xml:space="preserve"> </w:t>
      </w:r>
      <w:r w:rsidR="000C7302">
        <w:rPr>
          <w:lang w:val="en-US" w:eastAsia="zh-CN"/>
        </w:rPr>
        <w:t xml:space="preserve">for definition of </w:t>
      </w:r>
      <w:r w:rsidR="00C76538">
        <w:rPr>
          <w:lang w:val="en-US" w:eastAsia="zh-CN"/>
        </w:rPr>
        <w:t>NR-</w:t>
      </w:r>
      <w:r w:rsidR="000C7302">
        <w:rPr>
          <w:lang w:val="en-US" w:eastAsia="zh-CN"/>
        </w:rPr>
        <w:t>synchron</w:t>
      </w:r>
      <w:r w:rsidR="00C76538">
        <w:rPr>
          <w:lang w:val="en-US" w:eastAsia="zh-CN"/>
        </w:rPr>
        <w:t>ized</w:t>
      </w:r>
      <w:r w:rsidR="000C7302">
        <w:rPr>
          <w:lang w:val="en-US" w:eastAsia="zh-CN"/>
        </w:rPr>
        <w:t>)</w:t>
      </w:r>
      <w:r w:rsidR="003965D3" w:rsidRPr="00451FAB">
        <w:rPr>
          <w:lang w:val="en-US" w:eastAsia="zh-CN"/>
        </w:rPr>
        <w:t xml:space="preserve">, </w:t>
      </w:r>
      <w:r w:rsidR="00B52CFB" w:rsidRPr="00451FAB">
        <w:rPr>
          <w:lang w:val="en-US" w:eastAsia="zh-CN"/>
        </w:rPr>
        <w:t xml:space="preserve">there </w:t>
      </w:r>
      <w:r w:rsidR="005D1B39" w:rsidRPr="000201B5">
        <w:rPr>
          <w:lang w:val="en-US" w:eastAsia="zh-CN"/>
        </w:rPr>
        <w:t>might</w:t>
      </w:r>
      <w:r w:rsidR="005D1B39" w:rsidRPr="000201B5">
        <w:rPr>
          <w:color w:val="FF0000"/>
          <w:lang w:val="en-US" w:eastAsia="zh-CN"/>
        </w:rPr>
        <w:t xml:space="preserve"> </w:t>
      </w:r>
      <w:r w:rsidR="00B52CFB" w:rsidRPr="00451FAB">
        <w:rPr>
          <w:lang w:val="en-US" w:eastAsia="zh-CN"/>
        </w:rPr>
        <w:t>exist</w:t>
      </w:r>
      <w:r w:rsidR="003965D3" w:rsidRPr="00451FAB">
        <w:rPr>
          <w:lang w:val="en-US" w:eastAsia="zh-CN"/>
        </w:rPr>
        <w:t xml:space="preserve"> one-to-</w:t>
      </w:r>
      <w:r w:rsidR="00B52CFB" w:rsidRPr="00451FAB">
        <w:rPr>
          <w:lang w:val="en-US" w:eastAsia="zh-CN"/>
        </w:rPr>
        <w:t>many</w:t>
      </w:r>
      <w:r w:rsidR="003965D3" w:rsidRPr="00451FAB">
        <w:rPr>
          <w:lang w:val="en-US" w:eastAsia="zh-CN"/>
        </w:rPr>
        <w:t xml:space="preserve"> mapping between </w:t>
      </w:r>
      <w:r w:rsidR="00B52CFB" w:rsidRPr="00451FAB">
        <w:rPr>
          <w:lang w:val="en-US" w:eastAsia="zh-CN"/>
        </w:rPr>
        <w:t xml:space="preserve">slot index in </w:t>
      </w:r>
      <w:r w:rsidR="000B1ABD">
        <w:rPr>
          <w:lang w:val="en-US" w:eastAsia="zh-CN"/>
        </w:rPr>
        <w:t>CC</w:t>
      </w:r>
      <w:r w:rsidR="00B52CFB" w:rsidRPr="00451FAB">
        <w:rPr>
          <w:lang w:val="en-US" w:eastAsia="zh-CN"/>
        </w:rPr>
        <w:t>1 and corresponding group of slots in</w:t>
      </w:r>
      <w:r w:rsidR="00FB266B" w:rsidRPr="00451FAB">
        <w:rPr>
          <w:lang w:val="en-US" w:eastAsia="zh-CN"/>
        </w:rPr>
        <w:t xml:space="preserve"> </w:t>
      </w:r>
      <w:r w:rsidR="000B1ABD">
        <w:rPr>
          <w:lang w:val="en-US" w:eastAsia="zh-CN"/>
        </w:rPr>
        <w:t>CC</w:t>
      </w:r>
      <w:r w:rsidR="00FB266B" w:rsidRPr="00451FAB">
        <w:rPr>
          <w:lang w:val="en-US" w:eastAsia="zh-CN"/>
        </w:rPr>
        <w:t>2. And, t</w:t>
      </w:r>
      <w:r w:rsidR="00B52CFB" w:rsidRPr="00451FAB">
        <w:rPr>
          <w:lang w:val="en-US" w:eastAsia="zh-CN"/>
        </w:rPr>
        <w:t xml:space="preserve">here are several options how to indicate </w:t>
      </w:r>
      <w:r w:rsidR="00434D2B">
        <w:rPr>
          <w:lang w:val="en-US" w:eastAsia="zh-CN"/>
        </w:rPr>
        <w:t>the staring slot:</w:t>
      </w:r>
      <w:r w:rsidR="00B52CFB" w:rsidRPr="00451FAB">
        <w:rPr>
          <w:lang w:val="en-US" w:eastAsia="zh-CN"/>
        </w:rPr>
        <w:t xml:space="preserve"> </w:t>
      </w:r>
    </w:p>
    <w:p w14:paraId="01A5E8D0" w14:textId="77777777" w:rsidR="0080439F" w:rsidRPr="00451FAB" w:rsidRDefault="0080439F" w:rsidP="00451FAB">
      <w:pPr>
        <w:pStyle w:val="BodyText"/>
        <w:numPr>
          <w:ilvl w:val="0"/>
          <w:numId w:val="21"/>
        </w:numPr>
        <w:jc w:val="both"/>
        <w:textAlignment w:val="auto"/>
        <w:rPr>
          <w:lang w:val="en-US" w:eastAsia="zh-CN"/>
        </w:rPr>
      </w:pPr>
      <w:r w:rsidRPr="00451FAB">
        <w:rPr>
          <w:lang w:val="en-US" w:eastAsia="zh-CN"/>
        </w:rPr>
        <w:t xml:space="preserve">Option 1: </w:t>
      </w:r>
      <w:r w:rsidRPr="000B1ABD">
        <w:rPr>
          <w:u w:val="single"/>
          <w:lang w:val="en-US" w:eastAsia="zh-CN"/>
        </w:rPr>
        <w:t>statically</w:t>
      </w:r>
      <w:r w:rsidRPr="00451FAB">
        <w:rPr>
          <w:lang w:val="en-US" w:eastAsia="zh-CN"/>
        </w:rPr>
        <w:t xml:space="preserve"> defined in specification</w:t>
      </w:r>
    </w:p>
    <w:p w14:paraId="54E12863" w14:textId="0484C9E0" w:rsidR="0080439F" w:rsidRDefault="0080439F" w:rsidP="00451FAB">
      <w:pPr>
        <w:pStyle w:val="BodyText"/>
        <w:numPr>
          <w:ilvl w:val="1"/>
          <w:numId w:val="21"/>
        </w:numPr>
        <w:jc w:val="both"/>
        <w:textAlignment w:val="auto"/>
        <w:rPr>
          <w:lang w:val="en-US" w:eastAsia="zh-CN"/>
        </w:rPr>
      </w:pPr>
      <w:r w:rsidRPr="00451FAB">
        <w:rPr>
          <w:lang w:val="en-US" w:eastAsia="zh-CN"/>
        </w:rPr>
        <w:t>For example, clearly define that the first scheduled time</w:t>
      </w:r>
      <w:r w:rsidR="00B43CC5">
        <w:rPr>
          <w:lang w:val="en-US" w:eastAsia="zh-CN"/>
        </w:rPr>
        <w:t>-</w:t>
      </w:r>
      <w:r w:rsidRPr="00451FAB">
        <w:rPr>
          <w:lang w:val="en-US" w:eastAsia="zh-CN"/>
        </w:rPr>
        <w:t xml:space="preserve">slot </w:t>
      </w:r>
      <w:r w:rsidR="00B43CC5">
        <w:rPr>
          <w:lang w:val="en-US" w:eastAsia="zh-CN"/>
        </w:rPr>
        <w:t xml:space="preserve">is </w:t>
      </w:r>
      <w:r w:rsidR="00C041CF">
        <w:rPr>
          <w:lang w:val="en-US" w:eastAsia="zh-CN"/>
        </w:rPr>
        <w:t>offset</w:t>
      </w:r>
      <w:r w:rsidR="00B43CC5">
        <w:rPr>
          <w:lang w:val="en-US" w:eastAsia="zh-CN"/>
        </w:rPr>
        <w:t xml:space="preserve"> by</w:t>
      </w:r>
      <w:r w:rsidR="00C041CF">
        <w:rPr>
          <w:lang w:val="en-US" w:eastAsia="zh-CN"/>
        </w:rPr>
        <w:t xml:space="preserve"> n </w:t>
      </w:r>
      <w:r w:rsidR="00B43CC5">
        <w:rPr>
          <w:lang w:val="en-US" w:eastAsia="zh-CN"/>
        </w:rPr>
        <w:t xml:space="preserve">DL slots </w:t>
      </w:r>
      <w:r w:rsidR="00B52CFB" w:rsidRPr="00451FAB">
        <w:rPr>
          <w:lang w:val="en-US" w:eastAsia="zh-CN"/>
        </w:rPr>
        <w:t>(and</w:t>
      </w:r>
      <w:r w:rsidR="0014172C" w:rsidRPr="00451FAB">
        <w:rPr>
          <w:lang w:val="en-US" w:eastAsia="zh-CN"/>
        </w:rPr>
        <w:t xml:space="preserve"> n+k</w:t>
      </w:r>
      <w:r w:rsidR="00B52CFB" w:rsidRPr="00451FAB">
        <w:rPr>
          <w:lang w:val="en-US" w:eastAsia="zh-CN"/>
        </w:rPr>
        <w:t xml:space="preserve"> </w:t>
      </w:r>
      <w:r w:rsidRPr="00451FAB">
        <w:rPr>
          <w:lang w:val="en-US" w:eastAsia="zh-CN"/>
        </w:rPr>
        <w:t>UL time slots</w:t>
      </w:r>
      <w:r w:rsidR="0014172C" w:rsidRPr="00451FAB">
        <w:rPr>
          <w:lang w:val="en-US" w:eastAsia="zh-CN"/>
        </w:rPr>
        <w:t>)</w:t>
      </w:r>
      <w:r w:rsidRPr="00451FAB">
        <w:rPr>
          <w:lang w:val="en-US" w:eastAsia="zh-CN"/>
        </w:rPr>
        <w:t xml:space="preserve"> of </w:t>
      </w:r>
      <w:r w:rsidR="000B1ABD">
        <w:rPr>
          <w:lang w:val="en-US" w:eastAsia="zh-CN"/>
        </w:rPr>
        <w:t>CC</w:t>
      </w:r>
      <w:r w:rsidRPr="00451FAB">
        <w:rPr>
          <w:lang w:val="en-US" w:eastAsia="zh-CN"/>
        </w:rPr>
        <w:t xml:space="preserve">2 </w:t>
      </w:r>
      <w:r w:rsidR="00AD3DAD">
        <w:rPr>
          <w:lang w:val="en-US" w:eastAsia="zh-CN"/>
        </w:rPr>
        <w:t>with respect to starting boundary of CC1 slot</w:t>
      </w:r>
      <w:r w:rsidR="00B43CC5">
        <w:rPr>
          <w:lang w:val="en-US" w:eastAsia="zh-CN"/>
        </w:rPr>
        <w:t>, where DCI was transmitted</w:t>
      </w:r>
      <w:r w:rsidR="00AD3DAD">
        <w:rPr>
          <w:lang w:val="en-US" w:eastAsia="zh-CN"/>
        </w:rPr>
        <w:t>.</w:t>
      </w:r>
    </w:p>
    <w:p w14:paraId="630D28D7" w14:textId="5F0A37E8" w:rsidR="000201B5" w:rsidRPr="00451FAB" w:rsidRDefault="000201B5" w:rsidP="00451FAB">
      <w:pPr>
        <w:pStyle w:val="BodyText"/>
        <w:numPr>
          <w:ilvl w:val="1"/>
          <w:numId w:val="21"/>
        </w:numPr>
        <w:jc w:val="both"/>
        <w:textAlignment w:val="auto"/>
        <w:rPr>
          <w:lang w:val="en-US" w:eastAsia="zh-CN"/>
        </w:rPr>
      </w:pPr>
      <w:r>
        <w:rPr>
          <w:lang w:val="en-US" w:eastAsia="zh-CN"/>
        </w:rPr>
        <w:t>This option would not be good for the forward compatibility of the NR specification</w:t>
      </w:r>
    </w:p>
    <w:p w14:paraId="5CD739FA" w14:textId="77777777" w:rsidR="0080439F" w:rsidRPr="00451FAB" w:rsidRDefault="0080439F" w:rsidP="00451FAB">
      <w:pPr>
        <w:pStyle w:val="BodyText"/>
        <w:numPr>
          <w:ilvl w:val="0"/>
          <w:numId w:val="21"/>
        </w:numPr>
        <w:jc w:val="both"/>
        <w:textAlignment w:val="auto"/>
        <w:rPr>
          <w:lang w:val="en-US" w:eastAsia="zh-CN"/>
        </w:rPr>
      </w:pPr>
      <w:r w:rsidRPr="00451FAB">
        <w:rPr>
          <w:lang w:val="en-US" w:eastAsia="zh-CN"/>
        </w:rPr>
        <w:t xml:space="preserve">Option 2: </w:t>
      </w:r>
      <w:r w:rsidRPr="000B1ABD">
        <w:rPr>
          <w:u w:val="single"/>
          <w:lang w:val="en-US" w:eastAsia="zh-CN"/>
        </w:rPr>
        <w:t>semi-statically configured</w:t>
      </w:r>
      <w:r w:rsidRPr="00451FAB">
        <w:rPr>
          <w:lang w:val="en-US" w:eastAsia="zh-CN"/>
        </w:rPr>
        <w:t xml:space="preserve"> by high layer signaling</w:t>
      </w:r>
    </w:p>
    <w:p w14:paraId="47D81339" w14:textId="13F30F55" w:rsidR="0080439F" w:rsidRPr="00451FAB" w:rsidRDefault="0080439F" w:rsidP="00451FAB">
      <w:pPr>
        <w:pStyle w:val="BodyText"/>
        <w:numPr>
          <w:ilvl w:val="1"/>
          <w:numId w:val="21"/>
        </w:numPr>
        <w:jc w:val="both"/>
        <w:textAlignment w:val="auto"/>
        <w:rPr>
          <w:lang w:val="en-US" w:eastAsia="zh-CN"/>
        </w:rPr>
      </w:pPr>
      <w:r w:rsidRPr="00451FAB">
        <w:rPr>
          <w:lang w:val="en-US" w:eastAsia="zh-CN"/>
        </w:rPr>
        <w:t xml:space="preserve">Use RRC or MAC layer signaling </w:t>
      </w:r>
      <w:r w:rsidR="0014172C" w:rsidRPr="00451FAB">
        <w:rPr>
          <w:lang w:val="en-US" w:eastAsia="zh-CN"/>
        </w:rPr>
        <w:t xml:space="preserve">to define the </w:t>
      </w:r>
      <w:r w:rsidR="00B43CC5">
        <w:rPr>
          <w:lang w:val="en-US" w:eastAsia="zh-CN"/>
        </w:rPr>
        <w:t xml:space="preserve">first scheduled time-slot </w:t>
      </w:r>
      <w:r w:rsidR="0014172C" w:rsidRPr="00451FAB">
        <w:rPr>
          <w:lang w:val="en-US" w:eastAsia="zh-CN"/>
        </w:rPr>
        <w:t>offset</w:t>
      </w:r>
      <w:r w:rsidR="00AD3DAD">
        <w:rPr>
          <w:lang w:val="en-US" w:eastAsia="zh-CN"/>
        </w:rPr>
        <w:t xml:space="preserve"> n</w:t>
      </w:r>
      <w:r w:rsidR="0014172C" w:rsidRPr="00451FAB">
        <w:rPr>
          <w:lang w:val="en-US" w:eastAsia="zh-CN"/>
        </w:rPr>
        <w:t xml:space="preserve"> in </w:t>
      </w:r>
      <w:r w:rsidR="000B1ABD">
        <w:rPr>
          <w:lang w:val="en-US" w:eastAsia="zh-CN"/>
        </w:rPr>
        <w:t>CC</w:t>
      </w:r>
      <w:r w:rsidR="0014172C" w:rsidRPr="00451FAB">
        <w:rPr>
          <w:lang w:val="en-US" w:eastAsia="zh-CN"/>
        </w:rPr>
        <w:t>2</w:t>
      </w:r>
      <w:r w:rsidR="00C76538">
        <w:rPr>
          <w:lang w:val="en-US" w:eastAsia="zh-CN"/>
        </w:rPr>
        <w:t>-</w:t>
      </w:r>
      <w:r w:rsidR="0014172C" w:rsidRPr="00451FAB">
        <w:rPr>
          <w:lang w:val="en-US" w:eastAsia="zh-CN"/>
        </w:rPr>
        <w:t xml:space="preserve">slots </w:t>
      </w:r>
      <w:r w:rsidR="00AD3DAD">
        <w:rPr>
          <w:lang w:val="en-US" w:eastAsia="zh-CN"/>
        </w:rPr>
        <w:t>with respect to starting boundary of CC1 slot</w:t>
      </w:r>
      <w:r w:rsidR="00B43CC5">
        <w:rPr>
          <w:lang w:val="en-US" w:eastAsia="zh-CN"/>
        </w:rPr>
        <w:t>,</w:t>
      </w:r>
      <w:r w:rsidR="00B43CC5" w:rsidRPr="00B43CC5">
        <w:rPr>
          <w:lang w:val="en-US" w:eastAsia="zh-CN"/>
        </w:rPr>
        <w:t xml:space="preserve"> </w:t>
      </w:r>
      <w:r w:rsidR="00B43CC5">
        <w:rPr>
          <w:lang w:val="en-US" w:eastAsia="zh-CN"/>
        </w:rPr>
        <w:t>where DCI was transmitted.</w:t>
      </w:r>
      <w:r w:rsidR="0014172C" w:rsidRPr="00451FAB">
        <w:rPr>
          <w:lang w:val="en-US" w:eastAsia="zh-CN"/>
        </w:rPr>
        <w:t xml:space="preserve"> </w:t>
      </w:r>
    </w:p>
    <w:p w14:paraId="47663EA9" w14:textId="5F2EF5C0" w:rsidR="0080439F" w:rsidRPr="00451FAB" w:rsidRDefault="00FC3695" w:rsidP="00451FAB">
      <w:pPr>
        <w:pStyle w:val="BodyText"/>
        <w:numPr>
          <w:ilvl w:val="1"/>
          <w:numId w:val="21"/>
        </w:numPr>
        <w:jc w:val="both"/>
        <w:textAlignment w:val="auto"/>
        <w:rPr>
          <w:lang w:val="en-US" w:eastAsia="zh-CN"/>
        </w:rPr>
      </w:pPr>
      <w:r>
        <w:rPr>
          <w:lang w:val="en-US" w:eastAsia="zh-CN"/>
        </w:rPr>
        <w:lastRenderedPageBreak/>
        <w:t>Introduces</w:t>
      </w:r>
      <w:r w:rsidRPr="00CF3594">
        <w:rPr>
          <w:lang w:val="en-US" w:eastAsia="zh-CN"/>
        </w:rPr>
        <w:t xml:space="preserve"> </w:t>
      </w:r>
      <w:r w:rsidR="0080439F" w:rsidRPr="00CF3594">
        <w:rPr>
          <w:lang w:val="en-US" w:eastAsia="zh-CN"/>
        </w:rPr>
        <w:t>high layer signaling</w:t>
      </w:r>
      <w:r>
        <w:rPr>
          <w:lang w:val="en-US" w:eastAsia="zh-CN"/>
        </w:rPr>
        <w:t xml:space="preserve"> overhead</w:t>
      </w:r>
      <w:r w:rsidR="0080439F" w:rsidRPr="00CF3594">
        <w:rPr>
          <w:lang w:val="en-US" w:eastAsia="zh-CN"/>
        </w:rPr>
        <w:t>, but no need to introduce new control element in the DL DCI</w:t>
      </w:r>
    </w:p>
    <w:p w14:paraId="387EA1C7" w14:textId="77777777" w:rsidR="0080439F" w:rsidRPr="00451FAB" w:rsidRDefault="0080439F" w:rsidP="00451FAB">
      <w:pPr>
        <w:pStyle w:val="BodyText"/>
        <w:numPr>
          <w:ilvl w:val="0"/>
          <w:numId w:val="21"/>
        </w:numPr>
        <w:jc w:val="both"/>
        <w:textAlignment w:val="auto"/>
        <w:rPr>
          <w:lang w:val="en-US" w:eastAsia="zh-CN"/>
        </w:rPr>
      </w:pPr>
      <w:r w:rsidRPr="00451FAB">
        <w:rPr>
          <w:lang w:val="en-US" w:eastAsia="zh-CN"/>
        </w:rPr>
        <w:t xml:space="preserve">Option 3: </w:t>
      </w:r>
      <w:r w:rsidRPr="003326DB">
        <w:rPr>
          <w:u w:val="single"/>
          <w:lang w:val="en-US" w:eastAsia="zh-CN"/>
        </w:rPr>
        <w:t>dynamically indicated</w:t>
      </w:r>
      <w:r w:rsidRPr="00451FAB">
        <w:rPr>
          <w:lang w:val="en-US" w:eastAsia="zh-CN"/>
        </w:rPr>
        <w:t xml:space="preserve"> in DCI</w:t>
      </w:r>
    </w:p>
    <w:p w14:paraId="56FDC1B5" w14:textId="69B8CA0C" w:rsidR="0080439F" w:rsidRPr="00CF3594" w:rsidRDefault="00B43CC5" w:rsidP="00E15D34">
      <w:pPr>
        <w:pStyle w:val="BodyText"/>
        <w:numPr>
          <w:ilvl w:val="1"/>
          <w:numId w:val="21"/>
        </w:numPr>
        <w:jc w:val="both"/>
        <w:textAlignment w:val="auto"/>
        <w:rPr>
          <w:lang w:val="en-US" w:eastAsia="zh-CN"/>
        </w:rPr>
      </w:pPr>
      <w:r>
        <w:rPr>
          <w:lang w:val="en-US" w:eastAsia="zh-CN"/>
        </w:rPr>
        <w:t xml:space="preserve">Define a </w:t>
      </w:r>
      <w:r w:rsidR="0080439F" w:rsidRPr="000201B5">
        <w:rPr>
          <w:lang w:val="en-US" w:eastAsia="zh-CN"/>
        </w:rPr>
        <w:t>new control element in DL DCI</w:t>
      </w:r>
      <w:r w:rsidR="00771322" w:rsidRPr="000201B5">
        <w:rPr>
          <w:lang w:val="en-US" w:eastAsia="zh-CN"/>
        </w:rPr>
        <w:t xml:space="preserve"> to define </w:t>
      </w:r>
      <w:r w:rsidRPr="00451FAB">
        <w:rPr>
          <w:lang w:val="en-US" w:eastAsia="zh-CN"/>
        </w:rPr>
        <w:t xml:space="preserve">the </w:t>
      </w:r>
      <w:r>
        <w:rPr>
          <w:lang w:val="en-US" w:eastAsia="zh-CN"/>
        </w:rPr>
        <w:t xml:space="preserve">first scheduled time-slot </w:t>
      </w:r>
      <w:r w:rsidRPr="00451FAB">
        <w:rPr>
          <w:lang w:val="en-US" w:eastAsia="zh-CN"/>
        </w:rPr>
        <w:t>offset</w:t>
      </w:r>
      <w:r>
        <w:rPr>
          <w:lang w:val="en-US" w:eastAsia="zh-CN"/>
        </w:rPr>
        <w:t xml:space="preserve"> n</w:t>
      </w:r>
      <w:r w:rsidRPr="00451FAB">
        <w:rPr>
          <w:lang w:val="en-US" w:eastAsia="zh-CN"/>
        </w:rPr>
        <w:t xml:space="preserve"> </w:t>
      </w:r>
      <w:r w:rsidR="00771322" w:rsidRPr="000201B5">
        <w:rPr>
          <w:lang w:val="en-US" w:eastAsia="zh-CN"/>
        </w:rPr>
        <w:t xml:space="preserve">in </w:t>
      </w:r>
      <w:r w:rsidR="000B1ABD">
        <w:rPr>
          <w:lang w:val="en-US" w:eastAsia="zh-CN"/>
        </w:rPr>
        <w:t>CC</w:t>
      </w:r>
      <w:r w:rsidR="00771322" w:rsidRPr="000201B5">
        <w:rPr>
          <w:lang w:val="en-US" w:eastAsia="zh-CN"/>
        </w:rPr>
        <w:t>2</w:t>
      </w:r>
      <w:r w:rsidR="00C76538">
        <w:rPr>
          <w:lang w:val="en-US" w:eastAsia="zh-CN"/>
        </w:rPr>
        <w:t>-</w:t>
      </w:r>
      <w:r w:rsidR="00771322" w:rsidRPr="000201B5">
        <w:rPr>
          <w:lang w:val="en-US" w:eastAsia="zh-CN"/>
        </w:rPr>
        <w:t xml:space="preserve">slots </w:t>
      </w:r>
      <w:r w:rsidR="00AD3DAD">
        <w:rPr>
          <w:lang w:val="en-US" w:eastAsia="zh-CN"/>
        </w:rPr>
        <w:t>with</w:t>
      </w:r>
      <w:r w:rsidR="00771322" w:rsidRPr="000201B5">
        <w:rPr>
          <w:lang w:val="en-US" w:eastAsia="zh-CN"/>
        </w:rPr>
        <w:t xml:space="preserve"> </w:t>
      </w:r>
      <w:r w:rsidR="00AD3DAD">
        <w:rPr>
          <w:lang w:val="en-US" w:eastAsia="zh-CN"/>
        </w:rPr>
        <w:t>respect to starting boundary of CC1 slot</w:t>
      </w:r>
      <w:r w:rsidR="000B1ABD">
        <w:rPr>
          <w:lang w:val="en-US" w:eastAsia="zh-CN"/>
        </w:rPr>
        <w:t>. H</w:t>
      </w:r>
      <w:r w:rsidR="000201B5" w:rsidRPr="000201B5">
        <w:rPr>
          <w:lang w:val="en-US" w:eastAsia="zh-CN"/>
        </w:rPr>
        <w:t xml:space="preserve">owever, the cross-slot scheduling field in DCI transmitted </w:t>
      </w:r>
      <w:r w:rsidR="00AD3DAD">
        <w:rPr>
          <w:lang w:val="en-US" w:eastAsia="zh-CN"/>
        </w:rPr>
        <w:t>o</w:t>
      </w:r>
      <w:r w:rsidR="000201B5" w:rsidRPr="000201B5">
        <w:rPr>
          <w:lang w:val="en-US" w:eastAsia="zh-CN"/>
        </w:rPr>
        <w:t>n</w:t>
      </w:r>
      <w:r w:rsidR="00E15D34">
        <w:rPr>
          <w:lang w:val="en-US" w:eastAsia="zh-CN"/>
        </w:rPr>
        <w:t xml:space="preserve"> CC</w:t>
      </w:r>
      <w:r w:rsidR="000201B5" w:rsidRPr="000201B5">
        <w:rPr>
          <w:lang w:val="en-US" w:eastAsia="zh-CN"/>
        </w:rPr>
        <w:t xml:space="preserve">1 could be reused </w:t>
      </w:r>
      <w:r w:rsidR="000B1ABD">
        <w:rPr>
          <w:lang w:val="en-US" w:eastAsia="zh-CN"/>
        </w:rPr>
        <w:t>for</w:t>
      </w:r>
      <w:r w:rsidR="000201B5" w:rsidRPr="000201B5">
        <w:rPr>
          <w:lang w:val="en-US" w:eastAsia="zh-CN"/>
        </w:rPr>
        <w:t xml:space="preserve"> </w:t>
      </w:r>
      <w:r w:rsidR="00E15D34">
        <w:rPr>
          <w:lang w:val="en-US" w:eastAsia="zh-CN"/>
        </w:rPr>
        <w:t xml:space="preserve">signaling </w:t>
      </w:r>
      <w:r w:rsidR="00C76538">
        <w:rPr>
          <w:lang w:val="en-US" w:eastAsia="zh-CN"/>
        </w:rPr>
        <w:t xml:space="preserve">of </w:t>
      </w:r>
      <w:r w:rsidR="000B1ABD">
        <w:rPr>
          <w:lang w:val="en-US" w:eastAsia="zh-CN"/>
        </w:rPr>
        <w:t xml:space="preserve">the offset </w:t>
      </w:r>
      <w:r w:rsidR="00C76538">
        <w:rPr>
          <w:lang w:val="en-US" w:eastAsia="zh-CN"/>
        </w:rPr>
        <w:t>in</w:t>
      </w:r>
      <w:r w:rsidR="000201B5" w:rsidRPr="000201B5">
        <w:rPr>
          <w:lang w:val="en-US" w:eastAsia="zh-CN"/>
        </w:rPr>
        <w:t xml:space="preserve"> </w:t>
      </w:r>
      <w:r w:rsidR="000B1ABD">
        <w:rPr>
          <w:lang w:val="en-US" w:eastAsia="zh-CN"/>
        </w:rPr>
        <w:t>CC</w:t>
      </w:r>
      <w:r w:rsidR="000201B5" w:rsidRPr="000201B5">
        <w:rPr>
          <w:lang w:val="en-US" w:eastAsia="zh-CN"/>
        </w:rPr>
        <w:t>2</w:t>
      </w:r>
      <w:r w:rsidR="00C76538">
        <w:rPr>
          <w:lang w:val="en-US" w:eastAsia="zh-CN"/>
        </w:rPr>
        <w:t>-slots</w:t>
      </w:r>
      <w:r w:rsidR="000201B5" w:rsidRPr="000201B5">
        <w:rPr>
          <w:lang w:val="en-US" w:eastAsia="zh-CN"/>
        </w:rPr>
        <w:t xml:space="preserve">. </w:t>
      </w:r>
    </w:p>
    <w:p w14:paraId="5FFD0E80" w14:textId="77777777" w:rsidR="0080439F" w:rsidRPr="00451FAB" w:rsidRDefault="0080439F" w:rsidP="00451FAB">
      <w:pPr>
        <w:pStyle w:val="BodyText"/>
        <w:overflowPunct/>
        <w:autoSpaceDE/>
        <w:autoSpaceDN/>
        <w:adjustRightInd/>
        <w:jc w:val="both"/>
        <w:textAlignment w:val="auto"/>
        <w:rPr>
          <w:lang w:val="en-US" w:eastAsia="zh-CN"/>
        </w:rPr>
      </w:pPr>
    </w:p>
    <w:p w14:paraId="69BFB80D" w14:textId="43744A74" w:rsidR="00FC3695" w:rsidRDefault="0080439F" w:rsidP="000201B5">
      <w:pPr>
        <w:pStyle w:val="BodyText"/>
        <w:overflowPunct/>
        <w:autoSpaceDE/>
        <w:autoSpaceDN/>
        <w:adjustRightInd/>
        <w:jc w:val="both"/>
        <w:textAlignment w:val="auto"/>
        <w:rPr>
          <w:b/>
          <w:lang w:val="en-US" w:eastAsia="zh-CN"/>
        </w:rPr>
      </w:pPr>
      <w:r w:rsidRPr="000201B5">
        <w:rPr>
          <w:b/>
          <w:lang w:val="en-US" w:eastAsia="zh-CN"/>
        </w:rPr>
        <w:t>Proposal</w:t>
      </w:r>
      <w:r w:rsidR="00477A12">
        <w:rPr>
          <w:b/>
          <w:lang w:val="en-US" w:eastAsia="zh-CN"/>
        </w:rPr>
        <w:t>-</w:t>
      </w:r>
      <w:r w:rsidR="00F00313">
        <w:rPr>
          <w:b/>
          <w:lang w:val="en-US" w:eastAsia="zh-CN"/>
        </w:rPr>
        <w:t>5</w:t>
      </w:r>
      <w:r w:rsidRPr="000201B5">
        <w:rPr>
          <w:b/>
          <w:lang w:val="en-US" w:eastAsia="zh-CN"/>
        </w:rPr>
        <w:t xml:space="preserve">: </w:t>
      </w:r>
      <w:r w:rsidR="00005549">
        <w:rPr>
          <w:b/>
          <w:lang w:val="en-US" w:eastAsia="zh-CN"/>
        </w:rPr>
        <w:t>For slot-based cross-CC scheduling, t</w:t>
      </w:r>
      <w:r w:rsidRPr="000201B5">
        <w:rPr>
          <w:b/>
          <w:lang w:val="en-US" w:eastAsia="zh-CN"/>
        </w:rPr>
        <w:t>he</w:t>
      </w:r>
      <w:r w:rsidR="00212E4E">
        <w:rPr>
          <w:b/>
          <w:lang w:val="en-US" w:eastAsia="zh-CN"/>
        </w:rPr>
        <w:t xml:space="preserve"> offset of the</w:t>
      </w:r>
      <w:r w:rsidRPr="000201B5">
        <w:rPr>
          <w:b/>
          <w:lang w:val="en-US" w:eastAsia="zh-CN"/>
        </w:rPr>
        <w:t xml:space="preserve"> first </w:t>
      </w:r>
      <w:r w:rsidR="00771322" w:rsidRPr="000201B5">
        <w:rPr>
          <w:b/>
          <w:lang w:val="en-US" w:eastAsia="zh-CN"/>
        </w:rPr>
        <w:t xml:space="preserve">cross-CC </w:t>
      </w:r>
      <w:r w:rsidRPr="000201B5">
        <w:rPr>
          <w:b/>
          <w:lang w:val="en-US" w:eastAsia="zh-CN"/>
        </w:rPr>
        <w:t>scheduled time slot</w:t>
      </w:r>
      <w:r w:rsidR="00FC3695">
        <w:rPr>
          <w:b/>
          <w:lang w:val="en-US" w:eastAsia="zh-CN"/>
        </w:rPr>
        <w:t xml:space="preserve"> carrying </w:t>
      </w:r>
      <w:r w:rsidR="008A2431">
        <w:rPr>
          <w:b/>
          <w:bCs/>
          <w:lang w:val="en-US" w:eastAsia="zh-CN"/>
        </w:rPr>
        <w:t>PDSCH/PUSCH</w:t>
      </w:r>
      <w:r w:rsidR="008A2431">
        <w:rPr>
          <w:b/>
          <w:lang w:val="en-US" w:eastAsia="zh-CN"/>
        </w:rPr>
        <w:t xml:space="preserve"> </w:t>
      </w:r>
      <w:r w:rsidR="00FC3695">
        <w:rPr>
          <w:b/>
          <w:lang w:val="en-US" w:eastAsia="zh-CN"/>
        </w:rPr>
        <w:t xml:space="preserve">with respect to the DCI(PDCCH) scheduling the </w:t>
      </w:r>
      <w:r w:rsidR="008A2431">
        <w:rPr>
          <w:b/>
          <w:bCs/>
          <w:lang w:val="en-US" w:eastAsia="zh-CN"/>
        </w:rPr>
        <w:t>PDSCH/PUSCH</w:t>
      </w:r>
      <w:r w:rsidR="00FC3695">
        <w:rPr>
          <w:b/>
          <w:lang w:val="en-US" w:eastAsia="zh-CN"/>
        </w:rPr>
        <w:t xml:space="preserve"> </w:t>
      </w:r>
      <w:r w:rsidR="00E15D34">
        <w:rPr>
          <w:b/>
          <w:lang w:val="en-US" w:eastAsia="zh-CN"/>
        </w:rPr>
        <w:t>is</w:t>
      </w:r>
      <w:r w:rsidR="00FC3695">
        <w:rPr>
          <w:b/>
          <w:lang w:val="en-US" w:eastAsia="zh-CN"/>
        </w:rPr>
        <w:t>:</w:t>
      </w:r>
    </w:p>
    <w:p w14:paraId="0597E9B9" w14:textId="570D7FA3" w:rsidR="00FC3695" w:rsidRDefault="00FC3695" w:rsidP="000201B5">
      <w:pPr>
        <w:pStyle w:val="BodyText"/>
        <w:numPr>
          <w:ilvl w:val="0"/>
          <w:numId w:val="24"/>
        </w:numPr>
        <w:overflowPunct/>
        <w:autoSpaceDE/>
        <w:autoSpaceDN/>
        <w:adjustRightInd/>
        <w:jc w:val="both"/>
        <w:textAlignment w:val="auto"/>
        <w:rPr>
          <w:b/>
          <w:lang w:val="en-US" w:eastAsia="zh-CN"/>
        </w:rPr>
      </w:pPr>
      <w:r>
        <w:rPr>
          <w:b/>
          <w:lang w:val="en-US" w:eastAsia="zh-CN"/>
        </w:rPr>
        <w:t>s</w:t>
      </w:r>
      <w:r w:rsidR="0080439F" w:rsidRPr="000201B5">
        <w:rPr>
          <w:b/>
          <w:lang w:val="en-US" w:eastAsia="zh-CN"/>
        </w:rPr>
        <w:t>emi-statically con</w:t>
      </w:r>
      <w:r>
        <w:rPr>
          <w:b/>
          <w:lang w:val="en-US" w:eastAsia="zh-CN"/>
        </w:rPr>
        <w:t>f</w:t>
      </w:r>
      <w:r w:rsidR="0080439F" w:rsidRPr="000201B5">
        <w:rPr>
          <w:b/>
          <w:lang w:val="en-US" w:eastAsia="zh-CN"/>
        </w:rPr>
        <w:t xml:space="preserve">igured via high layer signaling, or </w:t>
      </w:r>
    </w:p>
    <w:p w14:paraId="4E2238EC" w14:textId="18220357" w:rsidR="003326DB" w:rsidRPr="00C76538" w:rsidRDefault="0080439F" w:rsidP="00B50461">
      <w:pPr>
        <w:pStyle w:val="BodyText"/>
        <w:numPr>
          <w:ilvl w:val="0"/>
          <w:numId w:val="24"/>
        </w:numPr>
        <w:overflowPunct/>
        <w:autoSpaceDE/>
        <w:autoSpaceDN/>
        <w:adjustRightInd/>
        <w:jc w:val="both"/>
        <w:textAlignment w:val="auto"/>
        <w:rPr>
          <w:lang w:val="en-US" w:eastAsia="zh-CN"/>
        </w:rPr>
      </w:pPr>
      <w:r w:rsidRPr="00C76538">
        <w:rPr>
          <w:b/>
          <w:lang w:val="en-US" w:eastAsia="zh-CN"/>
        </w:rPr>
        <w:t>dynamically indicated in DCI.</w:t>
      </w:r>
    </w:p>
    <w:p w14:paraId="33F30B39" w14:textId="3F28D4E3" w:rsidR="0013767D" w:rsidRPr="00451FAB" w:rsidRDefault="00FB266B" w:rsidP="00A52B95">
      <w:pPr>
        <w:rPr>
          <w:lang w:val="en-US" w:eastAsia="zh-CN"/>
        </w:rPr>
      </w:pPr>
      <w:r w:rsidRPr="00451FAB">
        <w:rPr>
          <w:lang w:val="en-US" w:eastAsia="zh-CN"/>
        </w:rPr>
        <w:t>The duration of transmission could be indicated</w:t>
      </w:r>
      <w:r w:rsidR="00F10A13">
        <w:rPr>
          <w:lang w:val="en-US" w:eastAsia="zh-CN"/>
        </w:rPr>
        <w:t xml:space="preserve"> </w:t>
      </w:r>
      <w:r w:rsidRPr="00451FAB">
        <w:rPr>
          <w:lang w:val="en-US" w:eastAsia="zh-CN"/>
        </w:rPr>
        <w:t xml:space="preserve">by the continuous number of </w:t>
      </w:r>
      <w:r w:rsidR="00F10A13">
        <w:rPr>
          <w:lang w:val="en-US" w:eastAsia="zh-CN"/>
        </w:rPr>
        <w:t xml:space="preserve">scheduled </w:t>
      </w:r>
      <w:r w:rsidRPr="00451FAB">
        <w:rPr>
          <w:lang w:val="en-US" w:eastAsia="zh-CN"/>
        </w:rPr>
        <w:t>slots</w:t>
      </w:r>
      <w:r w:rsidR="00005549">
        <w:rPr>
          <w:lang w:val="en-US" w:eastAsia="zh-CN"/>
        </w:rPr>
        <w:t xml:space="preserve"> for slot-based scheduling</w:t>
      </w:r>
      <w:r w:rsidRPr="00451FAB">
        <w:rPr>
          <w:lang w:val="en-US" w:eastAsia="zh-CN"/>
        </w:rPr>
        <w:t xml:space="preserve">, similarly as in UL multi-subframe grant in eLAA. </w:t>
      </w:r>
    </w:p>
    <w:p w14:paraId="3E1833D9" w14:textId="77777777" w:rsidR="00FB266B" w:rsidRPr="000201B5" w:rsidRDefault="00FB266B" w:rsidP="00A52B95">
      <w:pPr>
        <w:rPr>
          <w:lang w:val="en-US" w:eastAsia="zh-CN"/>
        </w:rPr>
      </w:pPr>
    </w:p>
    <w:p w14:paraId="31775177" w14:textId="77777777" w:rsidR="00477A12" w:rsidRDefault="00477A12" w:rsidP="00477A12">
      <w:pPr>
        <w:pStyle w:val="Heading1"/>
        <w:ind w:left="0" w:firstLine="0"/>
      </w:pPr>
      <w:r>
        <w:rPr>
          <w:color w:val="000000"/>
        </w:rPr>
        <w:t>3.</w:t>
      </w:r>
      <w:r w:rsidRPr="00A51522">
        <w:rPr>
          <w:color w:val="000000"/>
        </w:rPr>
        <w:tab/>
      </w:r>
      <w:r>
        <w:t xml:space="preserve">Uplink control information </w:t>
      </w:r>
    </w:p>
    <w:p w14:paraId="497D18EC" w14:textId="77777777" w:rsidR="00477A12" w:rsidRDefault="00477A12" w:rsidP="00477A12">
      <w:pPr>
        <w:jc w:val="both"/>
      </w:pPr>
      <w:r>
        <w:t xml:space="preserve">When operating in CA or DuCo with rather different slot lengths and radio environment each carrier preferably should support own PUCCH and UCI content with signaling options similar as in single carrier operation. In other words, UCI is transmitted separately for each DL carrier. This should be regarded as baseline operation as no re-design of control channel is required and both CA and DuCo would use the same PUCCH and UCI design as in single CC operation. </w:t>
      </w:r>
    </w:p>
    <w:p w14:paraId="5F31F5A4" w14:textId="77777777" w:rsidR="00477A12" w:rsidRPr="004D7D83" w:rsidRDefault="00477A12" w:rsidP="00477A12">
      <w:pPr>
        <w:spacing w:after="60"/>
        <w:jc w:val="both"/>
        <w:rPr>
          <w:lang w:val="en-US"/>
        </w:rPr>
      </w:pPr>
      <w:r>
        <w:t>However, there are situations where joint UCI for several DL carriers is unavoidable. The support for single CC PUCCH and UCI is beneficial in following scenarios:</w:t>
      </w:r>
    </w:p>
    <w:p w14:paraId="1AA9819A" w14:textId="77777777" w:rsidR="00477A12" w:rsidRDefault="00477A12" w:rsidP="00477A12">
      <w:pPr>
        <w:numPr>
          <w:ilvl w:val="0"/>
          <w:numId w:val="19"/>
        </w:numPr>
        <w:overflowPunct/>
        <w:autoSpaceDE/>
        <w:autoSpaceDN/>
        <w:adjustRightInd/>
        <w:spacing w:after="60" w:line="256" w:lineRule="auto"/>
        <w:textAlignment w:val="auto"/>
      </w:pPr>
      <w:r>
        <w:t>To improved UL coverage when neither UL CA or DuCo is used and UE is transmitting on single carrier only or when UCI is transmitted via UL carrier on lower frequency.</w:t>
      </w:r>
    </w:p>
    <w:p w14:paraId="73DDAF6F" w14:textId="77777777" w:rsidR="00477A12" w:rsidRDefault="00477A12" w:rsidP="00477A12">
      <w:pPr>
        <w:numPr>
          <w:ilvl w:val="0"/>
          <w:numId w:val="19"/>
        </w:numPr>
        <w:overflowPunct/>
        <w:autoSpaceDE/>
        <w:autoSpaceDN/>
        <w:adjustRightInd/>
        <w:spacing w:after="160" w:line="256" w:lineRule="auto"/>
        <w:textAlignment w:val="auto"/>
      </w:pPr>
      <w:r>
        <w:t xml:space="preserve">In licensed assisted access, the UCI may be transmitted via licensed spectrum only and no uplink transmission in unlicensed band would be needed. </w:t>
      </w:r>
    </w:p>
    <w:p w14:paraId="1AA021E6" w14:textId="77777777" w:rsidR="00477A12" w:rsidRPr="00CF3594" w:rsidRDefault="00477A12" w:rsidP="00477A12">
      <w:pPr>
        <w:jc w:val="both"/>
      </w:pPr>
      <w:r>
        <w:t xml:space="preserve">In the following, we focus on the joint UCI and especially on joint HARQ feedback for multiple DL carriers. </w:t>
      </w:r>
      <w:r w:rsidRPr="00E653BD">
        <w:rPr>
          <w:lang w:val="en-US"/>
        </w:rPr>
        <w:t>In LTE,</w:t>
      </w:r>
      <w:r w:rsidRPr="00E653BD">
        <w:rPr>
          <w:rFonts w:eastAsia="MS Mincho"/>
          <w:lang w:val="en-US" w:eastAsia="ja-JP"/>
        </w:rPr>
        <w:t xml:space="preserve"> the timing relationship between DL data reception and corresponding acknowledgement</w:t>
      </w:r>
      <w:r>
        <w:rPr>
          <w:rFonts w:eastAsia="MS Mincho"/>
          <w:lang w:val="en-US" w:eastAsia="ja-JP"/>
        </w:rPr>
        <w:t xml:space="preserve"> is predetermined in the specification. In LTE TDD, the HARQ ACK timing as well as the DL subframes for which HARQ ACK is reported in a certain UL subframe (aka DL association set) is determined based on the subframe number and used UL/DL configuration. </w:t>
      </w:r>
    </w:p>
    <w:p w14:paraId="0C412FAD" w14:textId="77777777" w:rsidR="00477A12" w:rsidRDefault="00477A12" w:rsidP="00477A12">
      <w:pPr>
        <w:spacing w:after="120"/>
        <w:jc w:val="both"/>
      </w:pPr>
      <w:r>
        <w:t xml:space="preserve">When operating CA with a single CC for UCI and multiple DL CCs are of different numerologies, DL slots can have different durations. Further, </w:t>
      </w:r>
      <w:r>
        <w:rPr>
          <w:rFonts w:eastAsia="MS Mincho"/>
          <w:lang w:val="en-US" w:eastAsia="ja-JP"/>
        </w:rPr>
        <w:t>mini-slots may be used on some of the DL CCs. In other words, PDSCH TTIs for which HARQ ACKs are reported are not time aligned across DL CCs. Instead, there can be multiple PDSCH TTIs on one DL CC while there is only one PDSCH slot on another DL CC.</w:t>
      </w:r>
      <w:r>
        <w:t xml:space="preserve"> This requires flexible HARQ feedback timing and DL association set determination.  </w:t>
      </w:r>
    </w:p>
    <w:p w14:paraId="3BCEBF63" w14:textId="15EF47D1" w:rsidR="00477A12" w:rsidRPr="009A42FE" w:rsidRDefault="00477A12" w:rsidP="00477A12">
      <w:pPr>
        <w:pStyle w:val="BodyText"/>
        <w:jc w:val="both"/>
      </w:pPr>
      <w:r>
        <w:rPr>
          <w:rFonts w:eastAsia="MS Mincho"/>
          <w:lang w:eastAsia="ja-JP"/>
        </w:rPr>
        <w:t>F</w:t>
      </w:r>
      <w:r>
        <w:t>lexible HARQ feedback timing and DL association set determination is required even for single</w:t>
      </w:r>
      <w:r>
        <w:rPr>
          <w:rFonts w:eastAsia="MS Mincho"/>
          <w:lang w:val="en-US" w:eastAsia="ja-JP"/>
        </w:rPr>
        <w:t xml:space="preserve"> NR carrier as highly flexible UL/DL configuration efficiently adapting air interface to the variations on traffic is </w:t>
      </w:r>
      <w:r w:rsidRPr="00031AF6">
        <w:rPr>
          <w:rFonts w:eastAsia="MS Mincho"/>
          <w:lang w:val="en-US" w:eastAsia="ja-JP"/>
        </w:rPr>
        <w:t xml:space="preserve">desired. </w:t>
      </w:r>
      <w:r w:rsidRPr="00CF3594">
        <w:rPr>
          <w:rFonts w:eastAsia="MS Mincho"/>
          <w:lang w:val="en-US" w:eastAsia="ja-JP"/>
        </w:rPr>
        <w:t>F</w:t>
      </w:r>
      <w:r w:rsidRPr="00031AF6">
        <w:rPr>
          <w:rFonts w:eastAsia="MS Mincho"/>
          <w:lang w:val="en-US" w:eastAsia="ja-JP"/>
        </w:rPr>
        <w:t>or the</w:t>
      </w:r>
      <w:r>
        <w:rPr>
          <w:rFonts w:eastAsia="MS Mincho"/>
          <w:lang w:val="en-US" w:eastAsia="ja-JP"/>
        </w:rPr>
        <w:t xml:space="preserve"> single carrier, the determination of HARQ feedback can be based on a simple set of rules using few parameters such as the indicated </w:t>
      </w:r>
      <w:r w:rsidRPr="009A42FE">
        <w:rPr>
          <w:rFonts w:eastAsia="MS Mincho"/>
          <w:lang w:val="en-US" w:eastAsia="ja-JP"/>
        </w:rPr>
        <w:t>t</w:t>
      </w:r>
      <w:r>
        <w:rPr>
          <w:rFonts w:eastAsia="MS Mincho"/>
          <w:lang w:val="en-US" w:eastAsia="ja-JP"/>
        </w:rPr>
        <w:t>iming between DL data</w:t>
      </w:r>
      <w:r w:rsidRPr="009A42FE">
        <w:rPr>
          <w:rFonts w:eastAsia="MS Mincho"/>
          <w:lang w:val="en-US" w:eastAsia="ja-JP"/>
        </w:rPr>
        <w:t xml:space="preserve"> a</w:t>
      </w:r>
      <w:r>
        <w:rPr>
          <w:rFonts w:eastAsia="MS Mincho"/>
          <w:lang w:val="en-US" w:eastAsia="ja-JP"/>
        </w:rPr>
        <w:t xml:space="preserve">nd associated HARQ ACK as well as the minimum processing time between the DL data reception and transmission of associated HARQ ACK as inputs to the determination as discussed in </w:t>
      </w:r>
      <w:r w:rsidR="00434D2B">
        <w:rPr>
          <w:rFonts w:eastAsia="MS Mincho"/>
          <w:highlight w:val="yellow"/>
          <w:lang w:val="en-US" w:eastAsia="ja-JP"/>
        </w:rPr>
        <w:fldChar w:fldCharType="begin"/>
      </w:r>
      <w:r w:rsidR="00434D2B">
        <w:rPr>
          <w:rFonts w:eastAsia="MS Mincho"/>
          <w:lang w:val="en-US" w:eastAsia="ja-JP"/>
        </w:rPr>
        <w:instrText xml:space="preserve"> REF _Ref485314885 \r \h </w:instrText>
      </w:r>
      <w:r w:rsidR="00434D2B">
        <w:rPr>
          <w:rFonts w:eastAsia="MS Mincho"/>
          <w:highlight w:val="yellow"/>
          <w:lang w:val="en-US" w:eastAsia="ja-JP"/>
        </w:rPr>
      </w:r>
      <w:r w:rsidR="00434D2B">
        <w:rPr>
          <w:rFonts w:eastAsia="MS Mincho"/>
          <w:highlight w:val="yellow"/>
          <w:lang w:val="en-US" w:eastAsia="ja-JP"/>
        </w:rPr>
        <w:fldChar w:fldCharType="separate"/>
      </w:r>
      <w:r w:rsidR="00434D2B">
        <w:rPr>
          <w:rFonts w:eastAsia="MS Mincho"/>
          <w:lang w:val="en-US" w:eastAsia="ja-JP"/>
        </w:rPr>
        <w:t>[3]</w:t>
      </w:r>
      <w:r w:rsidR="00434D2B">
        <w:rPr>
          <w:rFonts w:eastAsia="MS Mincho"/>
          <w:highlight w:val="yellow"/>
          <w:lang w:val="en-US" w:eastAsia="ja-JP"/>
        </w:rPr>
        <w:fldChar w:fldCharType="end"/>
      </w:r>
      <w:r w:rsidRPr="00C339EA">
        <w:rPr>
          <w:rFonts w:eastAsia="MS Mincho"/>
          <w:lang w:val="en-US" w:eastAsia="ja-JP"/>
        </w:rPr>
        <w:t>.</w:t>
      </w:r>
    </w:p>
    <w:p w14:paraId="05911402" w14:textId="0386DE71" w:rsidR="00477A12" w:rsidRDefault="00477A12" w:rsidP="00477A12">
      <w:pPr>
        <w:spacing w:after="120"/>
        <w:jc w:val="both"/>
      </w:pPr>
      <w:r>
        <w:rPr>
          <w:rFonts w:eastAsia="MS Mincho"/>
          <w:lang w:eastAsia="ja-JP"/>
        </w:rPr>
        <w:t xml:space="preserve">Of course, the determination of </w:t>
      </w:r>
      <w:r>
        <w:t>HARQ feedback timing and DL association set can be</w:t>
      </w:r>
      <w:r>
        <w:rPr>
          <w:rFonts w:eastAsia="MS Mincho"/>
          <w:lang w:eastAsia="ja-JP"/>
        </w:rPr>
        <w:t xml:space="preserve"> semi-static in the cases where the timing relationship between DL data and corresponding HARQ ACK is determined semi-statically for all involved DL CCs and all DL CCs are of the same numerology. </w:t>
      </w:r>
      <w:r>
        <w:rPr>
          <w:rFonts w:eastAsia="MS Mincho"/>
          <w:lang w:val="en-US" w:eastAsia="ja-JP"/>
        </w:rPr>
        <w:t xml:space="preserve">In </w:t>
      </w:r>
      <w:r w:rsidRPr="000C05FC">
        <w:rPr>
          <w:rFonts w:eastAsia="MS Mincho"/>
          <w:lang w:val="en-US" w:eastAsia="ja-JP"/>
        </w:rPr>
        <w:t xml:space="preserve">the case that the timing between DL data and associated HARQ ACK is indicated dynamically by L1 signaling, </w:t>
      </w:r>
      <w:r w:rsidRPr="000C05FC">
        <w:t xml:space="preserve">DL association set </w:t>
      </w:r>
      <w:r w:rsidRPr="000C05FC">
        <w:rPr>
          <w:rFonts w:eastAsia="MS Mincho"/>
          <w:lang w:val="en-US" w:eastAsia="ja-JP"/>
        </w:rPr>
        <w:t xml:space="preserve">also </w:t>
      </w:r>
      <w:r>
        <w:t xml:space="preserve">need to be determined dynamically. </w:t>
      </w:r>
      <w:r>
        <w:rPr>
          <w:rFonts w:eastAsia="MS Mincho"/>
          <w:lang w:eastAsia="ja-JP"/>
        </w:rPr>
        <w:t>Further, HARQ feedback timing and DL association set can be determined semi-statically for some of the DL CCs within the PUCCH cell group while HARQ feedback and DL association set can be dynamically determined for some other DL CCs within the same PUCCH cell group. An example of such case is when FDD DL CC(s)</w:t>
      </w:r>
      <w:r w:rsidR="00C773A9">
        <w:rPr>
          <w:rFonts w:eastAsia="MS Mincho"/>
          <w:lang w:eastAsia="ja-JP"/>
        </w:rPr>
        <w:t xml:space="preserve"> with semi-static timing </w:t>
      </w:r>
      <w:r>
        <w:rPr>
          <w:rFonts w:eastAsia="MS Mincho"/>
          <w:lang w:eastAsia="ja-JP"/>
        </w:rPr>
        <w:t>and TDD DL CC(s) with dynamic HARQ feedback indication are reported on the same PUCCH.</w:t>
      </w:r>
    </w:p>
    <w:p w14:paraId="29B93871" w14:textId="77777777" w:rsidR="00477A12" w:rsidRDefault="00477A12" w:rsidP="00477A12">
      <w:pPr>
        <w:spacing w:after="120"/>
        <w:jc w:val="both"/>
        <w:rPr>
          <w:b/>
          <w:i/>
          <w:highlight w:val="yellow"/>
        </w:rPr>
      </w:pPr>
      <w:r>
        <w:t>Finally, the HARQ ACK codebook size can be either</w:t>
      </w:r>
      <w:r w:rsidRPr="004669DA">
        <w:t xml:space="preserve"> </w:t>
      </w:r>
      <w:r>
        <w:t>semi-statically configured or dynamically determined based on the DL association set. Dynamic determination of HARQ ACK codebook size is attractive option especially when the size of the reported HARQ feedback can be temporally large but is typically significantly smaller.</w:t>
      </w:r>
    </w:p>
    <w:p w14:paraId="41B704DE" w14:textId="60935B32" w:rsidR="00477A12" w:rsidRDefault="00477A12" w:rsidP="00477A12">
      <w:pPr>
        <w:spacing w:after="60"/>
        <w:jc w:val="both"/>
      </w:pPr>
      <w:r>
        <w:lastRenderedPageBreak/>
        <w:t>An example on the dynamic determination of DL association set for single NR carrier is illustrated in Figure 1. The DL association set for a HARQ feedback to be transmitted on certain slot can be determined based on couple of simple rules:</w:t>
      </w:r>
    </w:p>
    <w:p w14:paraId="25428CDF" w14:textId="4869AA95" w:rsidR="00477A12" w:rsidRPr="00304D03" w:rsidRDefault="00477A12" w:rsidP="00477A12">
      <w:pPr>
        <w:pStyle w:val="ListParagraph"/>
        <w:numPr>
          <w:ilvl w:val="0"/>
          <w:numId w:val="17"/>
        </w:numPr>
        <w:spacing w:after="60"/>
        <w:jc w:val="both"/>
        <w:rPr>
          <w:lang w:val="en-US"/>
        </w:rPr>
      </w:pPr>
      <w:r w:rsidRPr="00304D03">
        <w:rPr>
          <w:sz w:val="20"/>
          <w:lang w:val="en-US"/>
        </w:rPr>
        <w:t>DL association se</w:t>
      </w:r>
      <w:r w:rsidRPr="00CF3594">
        <w:rPr>
          <w:sz w:val="20"/>
          <w:lang w:val="en-US"/>
        </w:rPr>
        <w:t xml:space="preserve">t starts from a slot where </w:t>
      </w:r>
      <w:r w:rsidR="00C773A9">
        <w:rPr>
          <w:sz w:val="20"/>
          <w:lang w:val="en-US"/>
        </w:rPr>
        <w:t xml:space="preserve">a </w:t>
      </w:r>
      <w:r w:rsidRPr="00CF3594">
        <w:rPr>
          <w:sz w:val="20"/>
          <w:lang w:val="en-US"/>
        </w:rPr>
        <w:t>PDSCH is associated to UCI transmission in the certain slot for the first time. In the Figure 1, this is the slot #3 for the UCI transmitted in slot #7.</w:t>
      </w:r>
    </w:p>
    <w:p w14:paraId="052300C9" w14:textId="77777777" w:rsidR="00477A12" w:rsidRPr="00CF3594" w:rsidRDefault="00477A12" w:rsidP="00477A12">
      <w:pPr>
        <w:pStyle w:val="ListParagraph"/>
        <w:numPr>
          <w:ilvl w:val="0"/>
          <w:numId w:val="17"/>
        </w:numPr>
        <w:spacing w:after="60"/>
        <w:jc w:val="both"/>
        <w:rPr>
          <w:lang w:val="en-US"/>
        </w:rPr>
      </w:pPr>
      <w:r w:rsidRPr="00CF3594">
        <w:rPr>
          <w:sz w:val="20"/>
          <w:lang w:val="en-US"/>
        </w:rPr>
        <w:t>The last slot of the DL association set is determined by the UE minimum (configured) processing time so that UE can prepare HARQ ACK in time. In Figure 1, this is the slot #5 for the UCI transmitted in slot #7.</w:t>
      </w:r>
    </w:p>
    <w:p w14:paraId="2AE1D438" w14:textId="77777777" w:rsidR="00477A12" w:rsidRPr="00CF3594" w:rsidRDefault="00477A12" w:rsidP="00477A12">
      <w:pPr>
        <w:pStyle w:val="ListParagraph"/>
        <w:numPr>
          <w:ilvl w:val="0"/>
          <w:numId w:val="17"/>
        </w:numPr>
        <w:spacing w:after="120"/>
        <w:ind w:left="714" w:hanging="357"/>
        <w:jc w:val="both"/>
        <w:rPr>
          <w:lang w:val="en-US"/>
        </w:rPr>
      </w:pPr>
      <w:r w:rsidRPr="00304D03">
        <w:rPr>
          <w:sz w:val="20"/>
          <w:lang w:val="en-US"/>
        </w:rPr>
        <w:t>HARQ ACK is transmitted for all slots within the DL association set.</w:t>
      </w:r>
    </w:p>
    <w:p w14:paraId="349740D6" w14:textId="7F35E066" w:rsidR="00477A12" w:rsidRDefault="00477A12" w:rsidP="00477A12">
      <w:pPr>
        <w:jc w:val="both"/>
      </w:pPr>
      <w:r>
        <w:t xml:space="preserve">Dynamic determination of DL association set involves inevitable error cases. For example, missing DL grant for the first DL slot in the DL association set can lead to erroneous ordering of HARQ ACK bits. Appropriate </w:t>
      </w:r>
      <w:r w:rsidRPr="005E2A9F">
        <w:t>mechanisms, such as counter DAI in LTE, to mitigate such error cases need to be employed with dynamic DL association set determination</w:t>
      </w:r>
      <w:r>
        <w:t xml:space="preserve"> </w:t>
      </w:r>
      <w:r>
        <w:rPr>
          <w:rFonts w:eastAsia="MS Mincho"/>
          <w:lang w:val="en-US" w:eastAsia="ja-JP"/>
        </w:rPr>
        <w:t xml:space="preserve">as discussed in </w:t>
      </w:r>
      <w:r w:rsidR="00434D2B">
        <w:rPr>
          <w:rFonts w:eastAsia="MS Mincho"/>
          <w:highlight w:val="yellow"/>
          <w:lang w:val="en-US" w:eastAsia="ja-JP"/>
        </w:rPr>
        <w:fldChar w:fldCharType="begin"/>
      </w:r>
      <w:r w:rsidR="00434D2B">
        <w:rPr>
          <w:rFonts w:eastAsia="MS Mincho"/>
          <w:lang w:val="en-US" w:eastAsia="ja-JP"/>
        </w:rPr>
        <w:instrText xml:space="preserve"> REF _Ref485314885 \r \h </w:instrText>
      </w:r>
      <w:r w:rsidR="00434D2B">
        <w:rPr>
          <w:rFonts w:eastAsia="MS Mincho"/>
          <w:highlight w:val="yellow"/>
          <w:lang w:val="en-US" w:eastAsia="ja-JP"/>
        </w:rPr>
      </w:r>
      <w:r w:rsidR="00434D2B">
        <w:rPr>
          <w:rFonts w:eastAsia="MS Mincho"/>
          <w:highlight w:val="yellow"/>
          <w:lang w:val="en-US" w:eastAsia="ja-JP"/>
        </w:rPr>
        <w:fldChar w:fldCharType="separate"/>
      </w:r>
      <w:r w:rsidR="00434D2B">
        <w:rPr>
          <w:rFonts w:eastAsia="MS Mincho"/>
          <w:lang w:val="en-US" w:eastAsia="ja-JP"/>
        </w:rPr>
        <w:t>[3]</w:t>
      </w:r>
      <w:r w:rsidR="00434D2B">
        <w:rPr>
          <w:rFonts w:eastAsia="MS Mincho"/>
          <w:highlight w:val="yellow"/>
          <w:lang w:val="en-US" w:eastAsia="ja-JP"/>
        </w:rPr>
        <w:fldChar w:fldCharType="end"/>
      </w:r>
      <w:r w:rsidRPr="00C339EA">
        <w:rPr>
          <w:rFonts w:eastAsia="MS Mincho"/>
          <w:lang w:val="en-US" w:eastAsia="ja-JP"/>
        </w:rPr>
        <w:t>.</w:t>
      </w:r>
      <w:r>
        <w:t xml:space="preserve"> </w:t>
      </w:r>
    </w:p>
    <w:p w14:paraId="299F1913" w14:textId="312683A5" w:rsidR="00477A12" w:rsidRPr="00477A12" w:rsidRDefault="00477A12" w:rsidP="00477A12">
      <w:pPr>
        <w:rPr>
          <w:b/>
          <w:lang w:val="en-US"/>
        </w:rPr>
      </w:pPr>
      <w:r w:rsidRPr="00477A12">
        <w:rPr>
          <w:b/>
        </w:rPr>
        <w:t>Proposal-</w:t>
      </w:r>
      <w:r w:rsidR="00F00313">
        <w:rPr>
          <w:b/>
        </w:rPr>
        <w:t>6</w:t>
      </w:r>
      <w:r w:rsidRPr="00477A12">
        <w:rPr>
          <w:b/>
        </w:rPr>
        <w:t xml:space="preserve">: Determination of DL association set and codebook size for HARQ feedback is flexible and based on the indicated </w:t>
      </w:r>
      <w:r w:rsidRPr="00477A12">
        <w:rPr>
          <w:rFonts w:eastAsia="MS Mincho"/>
          <w:b/>
          <w:lang w:val="en-US" w:eastAsia="ja-JP"/>
        </w:rPr>
        <w:t>timing relationship between DL data reception and corresponding acknowledgement</w:t>
      </w:r>
      <w:r w:rsidRPr="00477A12">
        <w:rPr>
          <w:b/>
          <w:lang w:val="en-US"/>
        </w:rPr>
        <w:t>.</w:t>
      </w:r>
    </w:p>
    <w:p w14:paraId="5791C4BE" w14:textId="77777777" w:rsidR="00477A12" w:rsidRDefault="00477A12" w:rsidP="00477A12">
      <w:pPr>
        <w:jc w:val="center"/>
      </w:pPr>
      <w:r w:rsidRPr="00664F2B">
        <w:rPr>
          <w:noProof/>
          <w:lang w:val="fi-FI" w:eastAsia="fi-FI"/>
        </w:rPr>
        <w:drawing>
          <wp:inline distT="0" distB="0" distL="0" distR="0" wp14:anchorId="2C41728A" wp14:editId="65388EDA">
            <wp:extent cx="4402800" cy="183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2800" cy="1832400"/>
                    </a:xfrm>
                    <a:prstGeom prst="rect">
                      <a:avLst/>
                    </a:prstGeom>
                    <a:noFill/>
                    <a:ln>
                      <a:noFill/>
                    </a:ln>
                  </pic:spPr>
                </pic:pic>
              </a:graphicData>
            </a:graphic>
          </wp:inline>
        </w:drawing>
      </w:r>
    </w:p>
    <w:p w14:paraId="0E359ADF" w14:textId="77777777" w:rsidR="00477A12" w:rsidRDefault="00477A12" w:rsidP="00477A1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Dynamic determination of DL association set based on the indicated HARQ-ACK timing offset.</w:t>
      </w:r>
    </w:p>
    <w:p w14:paraId="39831B6D" w14:textId="77777777" w:rsidR="00477A12" w:rsidRDefault="00477A12" w:rsidP="00477A12">
      <w:pPr>
        <w:spacing w:before="240" w:after="120"/>
        <w:jc w:val="both"/>
        <w:rPr>
          <w:rFonts w:eastAsia="MS Mincho"/>
          <w:lang w:val="en-US" w:eastAsia="ja-JP"/>
        </w:rPr>
      </w:pPr>
      <w:r>
        <w:rPr>
          <w:rFonts w:eastAsia="MS Mincho"/>
          <w:lang w:val="en-US" w:eastAsia="ja-JP"/>
        </w:rPr>
        <w:t xml:space="preserve">In previous paragraphs, we focused on the DL association set determination per carrier. However, the same approach can be applied also for joint HARQ feedback for multiple DL CCs: HARQ feedback is determined separately for each DL carrier and the resulting HARQ ACK codebooks are then concatenated for joint encoding and transmission. </w:t>
      </w:r>
    </w:p>
    <w:p w14:paraId="75C00A33" w14:textId="45D6CBA0" w:rsidR="00477A12" w:rsidRDefault="00477A12" w:rsidP="00C72162">
      <w:pPr>
        <w:spacing w:after="0"/>
        <w:jc w:val="both"/>
        <w:rPr>
          <w:rFonts w:eastAsia="MS Mincho"/>
          <w:lang w:val="en-US" w:eastAsia="ja-JP"/>
        </w:rPr>
      </w:pPr>
      <w:r>
        <w:rPr>
          <w:rFonts w:eastAsia="MS Mincho"/>
          <w:lang w:val="en-US" w:eastAsia="ja-JP"/>
        </w:rPr>
        <w:t>In such approach, special attention needs to paid to the error case that can occur when UE is scheduled with only one PDSCH on one of the DL component carriers. If UE misses that DL grant, it will determine wrongly the HARQ ACK locations in the HARQ ACK codebook. This is illustrated in Figure 2</w:t>
      </w:r>
      <w:r w:rsidR="00C339EA">
        <w:rPr>
          <w:rFonts w:eastAsia="MS Mincho"/>
          <w:lang w:val="en-US" w:eastAsia="ja-JP"/>
        </w:rPr>
        <w:t>,</w:t>
      </w:r>
      <w:r>
        <w:rPr>
          <w:rFonts w:eastAsia="MS Mincho"/>
          <w:lang w:val="en-US" w:eastAsia="ja-JP"/>
        </w:rPr>
        <w:t xml:space="preserve"> where UE misses DL grant on DL CC #2 for slot #</w:t>
      </w:r>
      <w:r w:rsidR="00C773A9">
        <w:rPr>
          <w:rFonts w:eastAsia="MS Mincho"/>
          <w:lang w:val="en-US" w:eastAsia="ja-JP"/>
        </w:rPr>
        <w:t>2</w:t>
      </w:r>
      <w:r>
        <w:rPr>
          <w:rFonts w:eastAsia="MS Mincho"/>
          <w:lang w:val="en-US" w:eastAsia="ja-JP"/>
        </w:rPr>
        <w:t xml:space="preserve">. The error can lead to failure in HARQ feedback detection or even to NACK-to-ACK error. This error case can be simply solved e.g. by: </w:t>
      </w:r>
    </w:p>
    <w:p w14:paraId="63542C0E" w14:textId="77777777" w:rsidR="00477A12" w:rsidRPr="00CF3594" w:rsidRDefault="00477A12" w:rsidP="00C72162">
      <w:pPr>
        <w:pStyle w:val="ListParagraph"/>
        <w:numPr>
          <w:ilvl w:val="0"/>
          <w:numId w:val="18"/>
        </w:numPr>
        <w:spacing w:after="60"/>
        <w:ind w:left="714" w:hanging="357"/>
        <w:jc w:val="both"/>
        <w:rPr>
          <w:rFonts w:eastAsia="MS Mincho"/>
          <w:b/>
          <w:i/>
          <w:lang w:val="en-US" w:eastAsia="ja-JP"/>
        </w:rPr>
      </w:pPr>
      <w:r>
        <w:rPr>
          <w:sz w:val="20"/>
          <w:lang w:val="en-US"/>
        </w:rPr>
        <w:t>A</w:t>
      </w:r>
      <w:r w:rsidRPr="00CF3594">
        <w:rPr>
          <w:sz w:val="20"/>
          <w:lang w:val="en-US"/>
        </w:rPr>
        <w:t xml:space="preserve"> minimum HARQ ACK codebook size is defined for all DL component carriers, including also configured/active DL component carriers that were not scheduled. </w:t>
      </w:r>
      <w:r>
        <w:rPr>
          <w:sz w:val="20"/>
          <w:lang w:val="en-US"/>
        </w:rPr>
        <w:t>Although this approach leads to unnecessary transmission of NACKs when a DL component carrier is not scheduled, the drawback can be expected to be minimal: the PUCCH resource is dimensioned in the configuration to successfully carry even larger HARQ feedback sizes.</w:t>
      </w:r>
    </w:p>
    <w:p w14:paraId="2F2AF3B9" w14:textId="77777777" w:rsidR="00477A12" w:rsidRPr="00CF3594" w:rsidRDefault="00477A12" w:rsidP="00C72162">
      <w:pPr>
        <w:pStyle w:val="ListParagraph"/>
        <w:numPr>
          <w:ilvl w:val="0"/>
          <w:numId w:val="18"/>
        </w:numPr>
        <w:spacing w:before="240" w:after="120"/>
        <w:ind w:left="714" w:hanging="357"/>
        <w:jc w:val="both"/>
        <w:rPr>
          <w:rFonts w:eastAsia="MS Mincho"/>
          <w:b/>
          <w:i/>
          <w:lang w:val="en-US" w:eastAsia="ja-JP"/>
        </w:rPr>
      </w:pPr>
      <w:r>
        <w:rPr>
          <w:rFonts w:eastAsia="MS Mincho"/>
          <w:sz w:val="20"/>
          <w:lang w:val="en-US" w:eastAsia="ja-JP"/>
        </w:rPr>
        <w:t>Another alternative is to apply the largest determined codebook size for all DL component carriers. This results in even larger amount of unnecessary NACKs transmitted.</w:t>
      </w:r>
    </w:p>
    <w:p w14:paraId="1DD4C37F" w14:textId="77777777" w:rsidR="00477A12" w:rsidRPr="00D75CD0" w:rsidRDefault="00477A12" w:rsidP="00C72162">
      <w:pPr>
        <w:pStyle w:val="ListParagraph"/>
        <w:numPr>
          <w:ilvl w:val="0"/>
          <w:numId w:val="18"/>
        </w:numPr>
        <w:spacing w:after="240"/>
        <w:ind w:left="714" w:hanging="357"/>
        <w:jc w:val="both"/>
        <w:rPr>
          <w:rFonts w:eastAsia="MS Mincho"/>
          <w:b/>
          <w:i/>
          <w:lang w:val="en-US" w:eastAsia="ja-JP"/>
        </w:rPr>
      </w:pPr>
      <w:r>
        <w:rPr>
          <w:rFonts w:eastAsia="MS Mincho"/>
          <w:sz w:val="20"/>
          <w:lang w:val="en-US" w:eastAsia="ja-JP"/>
        </w:rPr>
        <w:t>Use of semi-static HARQ codebook size.</w:t>
      </w:r>
      <w:r w:rsidRPr="00D27530">
        <w:rPr>
          <w:rFonts w:eastAsia="MS Mincho"/>
          <w:sz w:val="20"/>
          <w:lang w:val="en-US" w:eastAsia="ja-JP"/>
        </w:rPr>
        <w:t xml:space="preserve"> </w:t>
      </w:r>
      <w:r>
        <w:rPr>
          <w:rFonts w:eastAsia="MS Mincho"/>
          <w:sz w:val="20"/>
          <w:lang w:val="en-US" w:eastAsia="ja-JP"/>
        </w:rPr>
        <w:t xml:space="preserve">This can result in transmission of large amount of unnecessary </w:t>
      </w:r>
      <w:r w:rsidRPr="00D75CD0">
        <w:rPr>
          <w:rFonts w:eastAsia="MS Mincho"/>
          <w:sz w:val="20"/>
          <w:lang w:val="en-US" w:eastAsia="ja-JP"/>
        </w:rPr>
        <w:t>NACKs, so the use of semi-static HARQ codebook size may be limited to relatively small HARQ codebook sizes.</w:t>
      </w:r>
    </w:p>
    <w:p w14:paraId="065C96F6" w14:textId="77777777" w:rsidR="00477A12" w:rsidRPr="00D75CD0" w:rsidRDefault="00477A12" w:rsidP="00477A12">
      <w:pPr>
        <w:pStyle w:val="Caption"/>
        <w:jc w:val="center"/>
      </w:pPr>
      <w:r w:rsidRPr="009540A8">
        <w:rPr>
          <w:noProof/>
          <w:lang w:val="fi-FI" w:eastAsia="fi-FI"/>
        </w:rPr>
        <w:lastRenderedPageBreak/>
        <w:drawing>
          <wp:inline distT="0" distB="0" distL="0" distR="0" wp14:anchorId="0A988171" wp14:editId="20C9964B">
            <wp:extent cx="5184000" cy="17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4000" cy="1735200"/>
                    </a:xfrm>
                    <a:prstGeom prst="rect">
                      <a:avLst/>
                    </a:prstGeom>
                    <a:noFill/>
                    <a:ln>
                      <a:noFill/>
                    </a:ln>
                  </pic:spPr>
                </pic:pic>
              </a:graphicData>
            </a:graphic>
          </wp:inline>
        </w:drawing>
      </w:r>
      <w:r w:rsidRPr="009540A8">
        <w:t xml:space="preserve"> </w:t>
      </w:r>
    </w:p>
    <w:p w14:paraId="29181B35" w14:textId="77777777" w:rsidR="00477A12" w:rsidRDefault="00477A12" w:rsidP="00477A12">
      <w:pPr>
        <w:pStyle w:val="Caption"/>
        <w:spacing w:after="240"/>
        <w:jc w:val="center"/>
        <w:rPr>
          <w:rFonts w:eastAsia="MS Mincho"/>
          <w:lang w:val="en-US" w:eastAsia="ja-JP"/>
        </w:rPr>
      </w:pPr>
      <w:r w:rsidRPr="00D75CD0">
        <w:t>Figure 2. Error in HARQ ACK codebook determination caused by missed DL grant.</w:t>
      </w:r>
    </w:p>
    <w:p w14:paraId="1CD890CE" w14:textId="679C5CF7" w:rsidR="00477A12" w:rsidRDefault="00477A12" w:rsidP="00477A12">
      <w:pPr>
        <w:jc w:val="both"/>
        <w:rPr>
          <w:rFonts w:eastAsia="MS Mincho"/>
          <w:lang w:val="en-US" w:eastAsia="ja-JP"/>
        </w:rPr>
      </w:pPr>
      <w:r>
        <w:rPr>
          <w:rFonts w:eastAsia="MS Mincho"/>
          <w:lang w:val="en-US" w:eastAsia="ja-JP"/>
        </w:rPr>
        <w:t xml:space="preserve">Alternatively, to the HARQ ACK codebook determination separately for each DL component carrier, the codebook may be determined jointly over the component carriers with the help of counter DAI and total DAI operating in frequency-first–time-second manner as discussed in LTE Rel-13. However, that solution becomes overly complex when the used PDSCH TTIs have different durations on the different DL CCs: there can be multiple PDSCH TTIs one DL CC while there is only one PDSCH slot on another DL CC. In such case – and especially in the case of DL mini-slots without a fixed structure – determination of joint DAI operation over the carriers becomes complex. Additionally, the approach will increase the dependencies between component carriers so that gNB can determine right DAI values for each DL CC based on the scheduling decisions on all other component carriers. Hence, we propose that DL association set and HARQ ACK codebook size are determined separately for each DL CC. </w:t>
      </w:r>
      <w:r w:rsidR="005D2967">
        <w:rPr>
          <w:rFonts w:eastAsia="MS Mincho"/>
          <w:lang w:val="en-US" w:eastAsia="ja-JP"/>
        </w:rPr>
        <w:t xml:space="preserve">Slots and mini-slots </w:t>
      </w:r>
      <w:r w:rsidR="005F7726">
        <w:rPr>
          <w:rFonts w:eastAsia="MS Mincho"/>
          <w:lang w:val="en-US" w:eastAsia="ja-JP"/>
        </w:rPr>
        <w:t xml:space="preserve">on one CC can be treated as separate virtual carriers for </w:t>
      </w:r>
      <w:r w:rsidR="00C72162">
        <w:rPr>
          <w:rFonts w:eastAsia="MS Mincho"/>
          <w:lang w:val="en-US" w:eastAsia="ja-JP"/>
        </w:rPr>
        <w:t>DL association set and HARQ ACK codebook</w:t>
      </w:r>
      <w:r w:rsidR="005F7726">
        <w:rPr>
          <w:rFonts w:eastAsia="MS Mincho"/>
          <w:lang w:val="en-US" w:eastAsia="ja-JP"/>
        </w:rPr>
        <w:t xml:space="preserve"> size determination. The mini-slot </w:t>
      </w:r>
      <w:r w:rsidR="00C72162">
        <w:rPr>
          <w:rFonts w:eastAsia="MS Mincho"/>
          <w:lang w:val="en-US" w:eastAsia="ja-JP"/>
        </w:rPr>
        <w:t>HARQ ACK codebook</w:t>
      </w:r>
      <w:r w:rsidR="005F7726">
        <w:rPr>
          <w:rFonts w:eastAsia="MS Mincho"/>
          <w:lang w:val="en-US" w:eastAsia="ja-JP"/>
        </w:rPr>
        <w:t xml:space="preserve"> would be determined by the number of configured scheduling instances within DL association set. </w:t>
      </w:r>
    </w:p>
    <w:p w14:paraId="3B37EC6D" w14:textId="341312E1" w:rsidR="00477A12" w:rsidRPr="00477A12" w:rsidRDefault="00477A12" w:rsidP="00477A12">
      <w:pPr>
        <w:rPr>
          <w:b/>
        </w:rPr>
      </w:pPr>
      <w:r w:rsidRPr="00477A12">
        <w:rPr>
          <w:b/>
        </w:rPr>
        <w:t>Proposal-</w:t>
      </w:r>
      <w:r w:rsidR="00F00313">
        <w:rPr>
          <w:b/>
        </w:rPr>
        <w:t>7</w:t>
      </w:r>
      <w:r w:rsidRPr="00477A12">
        <w:rPr>
          <w:b/>
        </w:rPr>
        <w:t>: DL association set and HARQ ACK codebook size are determined separately for each DL component carrier.</w:t>
      </w:r>
    </w:p>
    <w:p w14:paraId="6B75F746" w14:textId="77777777" w:rsidR="00477A12" w:rsidRDefault="00477A12" w:rsidP="00477A12">
      <w:pPr>
        <w:jc w:val="both"/>
        <w:rPr>
          <w:rFonts w:eastAsia="MS Mincho"/>
          <w:lang w:val="en-US" w:eastAsia="ja-JP"/>
        </w:rPr>
      </w:pPr>
      <w:r w:rsidRPr="00CF3594">
        <w:t xml:space="preserve">Another issue to consider is the </w:t>
      </w:r>
      <w:r w:rsidRPr="00CF3594">
        <w:rPr>
          <w:rFonts w:eastAsia="MS Mincho"/>
          <w:lang w:eastAsia="ja-JP"/>
        </w:rPr>
        <w:t>f</w:t>
      </w:r>
      <w:r>
        <w:t xml:space="preserve">lexible </w:t>
      </w:r>
      <w:r w:rsidRPr="009A0C5B">
        <w:t xml:space="preserve">HARQ feedback timing. </w:t>
      </w:r>
      <w:r w:rsidRPr="009A0C5B">
        <w:rPr>
          <w:lang w:val="en-US"/>
        </w:rPr>
        <w:t>It was</w:t>
      </w:r>
      <w:r w:rsidRPr="00CF3594">
        <w:rPr>
          <w:lang w:val="en-US"/>
        </w:rPr>
        <w:t xml:space="preserve"> agreed </w:t>
      </w:r>
      <w:r>
        <w:rPr>
          <w:lang w:val="en-US"/>
        </w:rPr>
        <w:t xml:space="preserve">in RAN1 NR Ad-Hoc #1 </w:t>
      </w:r>
      <w:r w:rsidRPr="00CF3594">
        <w:rPr>
          <w:lang w:val="en-US"/>
        </w:rPr>
        <w:t xml:space="preserve">that </w:t>
      </w:r>
      <w:r w:rsidRPr="00CF3594">
        <w:rPr>
          <w:rFonts w:eastAsia="MS Mincho"/>
          <w:lang w:val="en-US" w:eastAsia="ja-JP"/>
        </w:rPr>
        <w:t>timing between DL data reception and corresponding acknowledgement is indicated by a field in the DCI from a set of values, where the set of values is configured by higher layer.</w:t>
      </w:r>
      <w:r>
        <w:rPr>
          <w:rFonts w:eastAsia="MS Mincho"/>
          <w:lang w:val="en-US" w:eastAsia="ja-JP"/>
        </w:rPr>
        <w:t xml:space="preserve"> This can be seen to provide basic functionality for flexible HARQ feedback timing in joint UCI. On top of that, some further aspects need to be considered on the design of HARQ feedback details. For example, it needs to be agreed whether UCI can be mapped on PUSCH on any of UL CCs within the PUCCH/cell group and if so, how the UL CC is determined in case of simultaneous PUSCH transmissions on multiplex UL CCs. We see that the UCI mapping on PUSCH needs to progress further before addressing this question. Another issue to be agreed is how the indicated HARQ feedback timing is interpreted: whether it is defined in terms of slots on UL CC carrying UCI, on DL CC carrying the PDSCH associated to the HARQ ACK, or on DL CC carrying the DL grant (e.g. in the case of cross-carrier scheduling). For the sake of simplicity, we see that HARQ feedback timing should be defined in terms of slots of UL CC carrying the associated PUCCH. The minimum processing time for the DL CC carrying the associated PDSCH could be reflected e.g. on the set of values configured for the HARQ feedback indication on that DL CC.</w:t>
      </w:r>
    </w:p>
    <w:p w14:paraId="279C24ED" w14:textId="5AC80ED7" w:rsidR="00477A12" w:rsidRPr="00477A12" w:rsidRDefault="00477A12" w:rsidP="00477A12">
      <w:pPr>
        <w:jc w:val="both"/>
        <w:rPr>
          <w:rFonts w:eastAsia="MS Mincho"/>
          <w:b/>
          <w:lang w:val="en-US" w:eastAsia="ja-JP"/>
        </w:rPr>
      </w:pPr>
      <w:r w:rsidRPr="00477A12">
        <w:rPr>
          <w:b/>
        </w:rPr>
        <w:t>Proposal-</w:t>
      </w:r>
      <w:r w:rsidR="00F00313">
        <w:rPr>
          <w:b/>
        </w:rPr>
        <w:t>8</w:t>
      </w:r>
      <w:r w:rsidRPr="00477A12">
        <w:rPr>
          <w:b/>
        </w:rPr>
        <w:t xml:space="preserve">: </w:t>
      </w:r>
      <w:r w:rsidR="00AE02C3">
        <w:rPr>
          <w:b/>
        </w:rPr>
        <w:t xml:space="preserve">For slot-based scheduling, </w:t>
      </w:r>
      <w:r w:rsidRPr="00477A12">
        <w:rPr>
          <w:rFonts w:eastAsia="MS Mincho"/>
          <w:b/>
          <w:lang w:val="en-US" w:eastAsia="ja-JP"/>
        </w:rPr>
        <w:t>HARQ feedback timing is determined in terms of slots of UL CC carrying the associated PUCCH.</w:t>
      </w:r>
    </w:p>
    <w:p w14:paraId="727D9A98" w14:textId="0F00BF89" w:rsidR="007C6D69" w:rsidRDefault="007C6D69" w:rsidP="00C72162">
      <w:pPr>
        <w:jc w:val="both"/>
        <w:rPr>
          <w:rFonts w:eastAsia="MS Mincho"/>
          <w:b/>
          <w:i/>
          <w:lang w:val="en-US" w:eastAsia="ja-JP"/>
        </w:rPr>
      </w:pPr>
    </w:p>
    <w:p w14:paraId="6D320DB8" w14:textId="3E03B108" w:rsidR="007C6D69" w:rsidRDefault="007C6D69" w:rsidP="007C6D69">
      <w:pPr>
        <w:pStyle w:val="Heading1"/>
        <w:ind w:left="0" w:firstLine="0"/>
      </w:pPr>
      <w:r>
        <w:rPr>
          <w:color w:val="000000"/>
        </w:rPr>
        <w:t>4.</w:t>
      </w:r>
      <w:r w:rsidRPr="00A51522">
        <w:rPr>
          <w:color w:val="000000"/>
        </w:rPr>
        <w:tab/>
      </w:r>
      <w:r>
        <w:t xml:space="preserve">Conclusion </w:t>
      </w:r>
    </w:p>
    <w:p w14:paraId="6950DEE3" w14:textId="44AA0317" w:rsidR="008D51CF" w:rsidRDefault="008D51CF" w:rsidP="008D51CF">
      <w:pPr>
        <w:jc w:val="both"/>
        <w:rPr>
          <w:b/>
          <w:bCs/>
          <w:lang w:val="en-US" w:eastAsia="zh-CN"/>
        </w:rPr>
      </w:pPr>
      <w:r>
        <w:rPr>
          <w:bCs/>
          <w:lang w:val="en-US" w:eastAsia="zh-CN"/>
        </w:rPr>
        <w:t>In this contribution</w:t>
      </w:r>
      <w:r w:rsidR="00787E67">
        <w:rPr>
          <w:bCs/>
          <w:lang w:val="en-US" w:eastAsia="zh-CN"/>
        </w:rPr>
        <w:t>,</w:t>
      </w:r>
      <w:r>
        <w:rPr>
          <w:bCs/>
          <w:lang w:val="en-US" w:eastAsia="zh-CN"/>
        </w:rPr>
        <w:t xml:space="preserve"> we discussed the cross-carrier scheduling and joint UCI design for NR carrier-aggregation, and we had the following observations and proposals:</w:t>
      </w:r>
    </w:p>
    <w:p w14:paraId="7C59B23D" w14:textId="686EF7CF" w:rsidR="008D51CF" w:rsidRPr="008D51CF" w:rsidRDefault="008D51CF" w:rsidP="008D51CF">
      <w:pPr>
        <w:jc w:val="both"/>
        <w:rPr>
          <w:b/>
          <w:bCs/>
          <w:u w:val="single"/>
          <w:lang w:val="en-US" w:eastAsia="zh-CN"/>
        </w:rPr>
      </w:pPr>
      <w:r w:rsidRPr="008D51CF">
        <w:rPr>
          <w:b/>
          <w:bCs/>
          <w:u w:val="single"/>
          <w:lang w:val="en-US" w:eastAsia="zh-CN"/>
        </w:rPr>
        <w:t>Cross-CC scheduling:</w:t>
      </w:r>
    </w:p>
    <w:p w14:paraId="2230AFE7" w14:textId="5E83AB91" w:rsidR="008D51CF" w:rsidRDefault="008D51CF" w:rsidP="008D51CF">
      <w:pPr>
        <w:jc w:val="both"/>
        <w:rPr>
          <w:b/>
          <w:bCs/>
          <w:lang w:val="en-US" w:eastAsia="zh-CN"/>
        </w:rPr>
      </w:pPr>
      <w:r w:rsidRPr="00CA3B39">
        <w:rPr>
          <w:b/>
          <w:bCs/>
          <w:lang w:val="en-US" w:eastAsia="zh-CN"/>
        </w:rPr>
        <w:t xml:space="preserve">Observation-1: RAN1 </w:t>
      </w:r>
      <w:r w:rsidRPr="00AE02C3">
        <w:rPr>
          <w:b/>
          <w:bCs/>
          <w:lang w:val="en-US" w:eastAsia="zh-CN"/>
        </w:rPr>
        <w:t xml:space="preserve">specification should support </w:t>
      </w:r>
      <w:r>
        <w:rPr>
          <w:b/>
          <w:bCs/>
          <w:lang w:val="en-US" w:eastAsia="zh-CN"/>
        </w:rPr>
        <w:t xml:space="preserve">both: </w:t>
      </w:r>
      <w:r w:rsidRPr="00AE02C3">
        <w:rPr>
          <w:b/>
          <w:bCs/>
          <w:lang w:val="en-US" w:eastAsia="zh-CN"/>
        </w:rPr>
        <w:t>one-to-many slot-based cross-</w:t>
      </w:r>
      <w:r>
        <w:rPr>
          <w:b/>
          <w:bCs/>
          <w:lang w:val="en-US" w:eastAsia="zh-CN"/>
        </w:rPr>
        <w:t xml:space="preserve">CC </w:t>
      </w:r>
      <w:r w:rsidRPr="00AE02C3">
        <w:rPr>
          <w:b/>
          <w:bCs/>
          <w:lang w:val="en-US" w:eastAsia="zh-CN"/>
        </w:rPr>
        <w:t>scheduling</w:t>
      </w:r>
      <w:r w:rsidRPr="00EF0F24">
        <w:rPr>
          <w:b/>
          <w:bCs/>
          <w:lang w:val="en-US" w:eastAsia="zh-CN"/>
        </w:rPr>
        <w:t xml:space="preserve"> </w:t>
      </w:r>
      <w:r>
        <w:rPr>
          <w:b/>
          <w:bCs/>
          <w:lang w:val="en-US" w:eastAsia="zh-CN"/>
        </w:rPr>
        <w:t>and</w:t>
      </w:r>
      <w:r w:rsidRPr="00AE02C3">
        <w:rPr>
          <w:b/>
          <w:bCs/>
          <w:lang w:val="en-US" w:eastAsia="zh-CN"/>
        </w:rPr>
        <w:t xml:space="preserve"> many-to-one slot-based cross-CC scheduling</w:t>
      </w:r>
      <w:r w:rsidRPr="00A52B95">
        <w:rPr>
          <w:b/>
          <w:bCs/>
          <w:lang w:val="en-US" w:eastAsia="zh-CN"/>
        </w:rPr>
        <w:t>.</w:t>
      </w:r>
    </w:p>
    <w:p w14:paraId="40D8E8F7" w14:textId="77777777" w:rsidR="008D51CF" w:rsidRDefault="008D51CF" w:rsidP="008D51CF">
      <w:pPr>
        <w:jc w:val="both"/>
        <w:rPr>
          <w:b/>
          <w:bCs/>
          <w:lang w:val="en-US" w:eastAsia="zh-CN"/>
        </w:rPr>
      </w:pPr>
      <w:r w:rsidRPr="003D3C8A">
        <w:rPr>
          <w:b/>
          <w:bCs/>
          <w:lang w:val="en-US" w:eastAsia="zh-CN"/>
        </w:rPr>
        <w:t>Proposal</w:t>
      </w:r>
      <w:r>
        <w:rPr>
          <w:b/>
          <w:bCs/>
          <w:lang w:val="en-US" w:eastAsia="zh-CN"/>
        </w:rPr>
        <w:t>-2</w:t>
      </w:r>
      <w:r w:rsidRPr="003D3C8A">
        <w:rPr>
          <w:b/>
          <w:bCs/>
          <w:lang w:val="en-US" w:eastAsia="zh-CN"/>
        </w:rPr>
        <w:t xml:space="preserve">: For </w:t>
      </w:r>
      <w:r>
        <w:rPr>
          <w:b/>
          <w:bCs/>
          <w:lang w:val="en-US" w:eastAsia="zh-CN"/>
        </w:rPr>
        <w:t xml:space="preserve">slot-based </w:t>
      </w:r>
      <w:r w:rsidRPr="003D3C8A">
        <w:rPr>
          <w:b/>
          <w:bCs/>
          <w:lang w:val="en-US" w:eastAsia="zh-CN"/>
        </w:rPr>
        <w:t xml:space="preserve">cross-carrier scheduling </w:t>
      </w:r>
      <w:r>
        <w:rPr>
          <w:b/>
          <w:bCs/>
          <w:lang w:val="en-US" w:eastAsia="zh-CN"/>
        </w:rPr>
        <w:t>of one-to-many</w:t>
      </w:r>
      <w:r w:rsidRPr="003D3C8A">
        <w:rPr>
          <w:b/>
          <w:bCs/>
          <w:lang w:val="en-US" w:eastAsia="zh-CN"/>
        </w:rPr>
        <w:t xml:space="preserve"> adopt</w:t>
      </w:r>
      <w:r>
        <w:rPr>
          <w:b/>
          <w:bCs/>
          <w:lang w:val="en-US" w:eastAsia="zh-CN"/>
        </w:rPr>
        <w:t xml:space="preserve"> </w:t>
      </w:r>
      <w:r w:rsidRPr="003D3C8A">
        <w:rPr>
          <w:b/>
          <w:bCs/>
          <w:lang w:val="en-US" w:eastAsia="zh-CN"/>
        </w:rPr>
        <w:t>multi-slot scheduling as baseline.</w:t>
      </w:r>
      <w:r>
        <w:rPr>
          <w:b/>
          <w:bCs/>
          <w:lang w:val="en-US" w:eastAsia="zh-CN"/>
        </w:rPr>
        <w:t xml:space="preserve"> </w:t>
      </w:r>
    </w:p>
    <w:p w14:paraId="5C6E2079" w14:textId="77777777" w:rsidR="008D51CF" w:rsidRDefault="008D51CF" w:rsidP="008D51CF">
      <w:pPr>
        <w:jc w:val="both"/>
        <w:rPr>
          <w:b/>
          <w:bCs/>
          <w:lang w:val="en-US" w:eastAsia="zh-CN"/>
        </w:rPr>
      </w:pPr>
      <w:r>
        <w:rPr>
          <w:b/>
          <w:bCs/>
          <w:lang w:val="en-US" w:eastAsia="zh-CN"/>
        </w:rPr>
        <w:t>Proposal-3: For mini-slot cross-carrier scheduling, the flexible framework of indicating the starting symbol and number of scheduled symbols follows the numerology of CC carrying the PDSCH/PUSCH.</w:t>
      </w:r>
    </w:p>
    <w:p w14:paraId="07E0AC82" w14:textId="77777777" w:rsidR="008D51CF" w:rsidRPr="003D3C8A" w:rsidRDefault="008D51CF" w:rsidP="008D51CF">
      <w:pPr>
        <w:jc w:val="both"/>
        <w:rPr>
          <w:b/>
          <w:bCs/>
          <w:lang w:val="en-US" w:eastAsia="zh-CN"/>
        </w:rPr>
      </w:pPr>
      <w:r w:rsidRPr="003D3C8A">
        <w:rPr>
          <w:b/>
          <w:bCs/>
          <w:lang w:val="en-US" w:eastAsia="zh-CN"/>
        </w:rPr>
        <w:lastRenderedPageBreak/>
        <w:t>Proposal</w:t>
      </w:r>
      <w:r>
        <w:rPr>
          <w:b/>
          <w:bCs/>
          <w:lang w:val="en-US" w:eastAsia="zh-CN"/>
        </w:rPr>
        <w:t>-4</w:t>
      </w:r>
      <w:r w:rsidRPr="003D3C8A">
        <w:rPr>
          <w:b/>
          <w:bCs/>
          <w:lang w:val="en-US" w:eastAsia="zh-CN"/>
        </w:rPr>
        <w:t xml:space="preserve">: </w:t>
      </w:r>
      <w:r>
        <w:rPr>
          <w:b/>
          <w:bCs/>
          <w:lang w:val="en-US" w:eastAsia="zh-CN"/>
        </w:rPr>
        <w:t>For multi-slot cross-CC scheduling, a</w:t>
      </w:r>
      <w:r w:rsidRPr="003D3C8A">
        <w:rPr>
          <w:b/>
          <w:bCs/>
          <w:lang w:val="en-US" w:eastAsia="zh-CN"/>
        </w:rPr>
        <w:t xml:space="preserve"> UE is configured with the maximum number of slots that can be cross-</w:t>
      </w:r>
      <w:r w:rsidRPr="00CF3594">
        <w:rPr>
          <w:b/>
          <w:bCs/>
          <w:lang w:val="en-US" w:eastAsia="zh-CN"/>
        </w:rPr>
        <w:t>CC-</w:t>
      </w:r>
      <w:r w:rsidRPr="003D3C8A">
        <w:rPr>
          <w:b/>
          <w:bCs/>
          <w:lang w:val="en-US" w:eastAsia="zh-CN"/>
        </w:rPr>
        <w:t xml:space="preserve">scheduled by a DCI transmitted in </w:t>
      </w:r>
      <w:r w:rsidRPr="00CF3594">
        <w:rPr>
          <w:b/>
          <w:bCs/>
          <w:lang w:val="en-US" w:eastAsia="zh-CN"/>
        </w:rPr>
        <w:t>a</w:t>
      </w:r>
      <w:r w:rsidRPr="003D3C8A">
        <w:rPr>
          <w:b/>
          <w:bCs/>
          <w:lang w:val="en-US" w:eastAsia="zh-CN"/>
        </w:rPr>
        <w:t xml:space="preserve"> particular monitoring instance. </w:t>
      </w:r>
    </w:p>
    <w:p w14:paraId="5146B5F1" w14:textId="77777777" w:rsidR="008D51CF" w:rsidRDefault="008D51CF" w:rsidP="008D51CF">
      <w:pPr>
        <w:pStyle w:val="BodyText"/>
        <w:overflowPunct/>
        <w:autoSpaceDE/>
        <w:autoSpaceDN/>
        <w:adjustRightInd/>
        <w:jc w:val="both"/>
        <w:textAlignment w:val="auto"/>
        <w:rPr>
          <w:b/>
          <w:lang w:val="en-US" w:eastAsia="zh-CN"/>
        </w:rPr>
      </w:pPr>
      <w:r w:rsidRPr="000201B5">
        <w:rPr>
          <w:b/>
          <w:lang w:val="en-US" w:eastAsia="zh-CN"/>
        </w:rPr>
        <w:t>Proposal</w:t>
      </w:r>
      <w:r>
        <w:rPr>
          <w:b/>
          <w:lang w:val="en-US" w:eastAsia="zh-CN"/>
        </w:rPr>
        <w:t>-5</w:t>
      </w:r>
      <w:r w:rsidRPr="000201B5">
        <w:rPr>
          <w:b/>
          <w:lang w:val="en-US" w:eastAsia="zh-CN"/>
        </w:rPr>
        <w:t xml:space="preserve">: </w:t>
      </w:r>
      <w:r>
        <w:rPr>
          <w:b/>
          <w:lang w:val="en-US" w:eastAsia="zh-CN"/>
        </w:rPr>
        <w:t>For slot-based cross-CC scheduling, t</w:t>
      </w:r>
      <w:r w:rsidRPr="000201B5">
        <w:rPr>
          <w:b/>
          <w:lang w:val="en-US" w:eastAsia="zh-CN"/>
        </w:rPr>
        <w:t>he</w:t>
      </w:r>
      <w:r>
        <w:rPr>
          <w:b/>
          <w:lang w:val="en-US" w:eastAsia="zh-CN"/>
        </w:rPr>
        <w:t xml:space="preserve"> offset of the</w:t>
      </w:r>
      <w:r w:rsidRPr="000201B5">
        <w:rPr>
          <w:b/>
          <w:lang w:val="en-US" w:eastAsia="zh-CN"/>
        </w:rPr>
        <w:t xml:space="preserve"> first cross-CC scheduled time slot</w:t>
      </w:r>
      <w:r>
        <w:rPr>
          <w:b/>
          <w:lang w:val="en-US" w:eastAsia="zh-CN"/>
        </w:rPr>
        <w:t xml:space="preserve"> carrying </w:t>
      </w:r>
      <w:r>
        <w:rPr>
          <w:b/>
          <w:bCs/>
          <w:lang w:val="en-US" w:eastAsia="zh-CN"/>
        </w:rPr>
        <w:t>PDSCH/PUSCH</w:t>
      </w:r>
      <w:r>
        <w:rPr>
          <w:b/>
          <w:lang w:val="en-US" w:eastAsia="zh-CN"/>
        </w:rPr>
        <w:t xml:space="preserve"> with respect to the DCI(PDCCH) scheduling the </w:t>
      </w:r>
      <w:r>
        <w:rPr>
          <w:b/>
          <w:bCs/>
          <w:lang w:val="en-US" w:eastAsia="zh-CN"/>
        </w:rPr>
        <w:t>PDSCH/PUSCH</w:t>
      </w:r>
      <w:r>
        <w:rPr>
          <w:b/>
          <w:lang w:val="en-US" w:eastAsia="zh-CN"/>
        </w:rPr>
        <w:t xml:space="preserve"> is:</w:t>
      </w:r>
    </w:p>
    <w:p w14:paraId="20BEB9AA" w14:textId="77777777" w:rsidR="008D51CF" w:rsidRDefault="008D51CF" w:rsidP="008D51CF">
      <w:pPr>
        <w:pStyle w:val="BodyText"/>
        <w:numPr>
          <w:ilvl w:val="0"/>
          <w:numId w:val="24"/>
        </w:numPr>
        <w:overflowPunct/>
        <w:autoSpaceDE/>
        <w:autoSpaceDN/>
        <w:adjustRightInd/>
        <w:jc w:val="both"/>
        <w:textAlignment w:val="auto"/>
        <w:rPr>
          <w:b/>
          <w:lang w:val="en-US" w:eastAsia="zh-CN"/>
        </w:rPr>
      </w:pPr>
      <w:r>
        <w:rPr>
          <w:b/>
          <w:lang w:val="en-US" w:eastAsia="zh-CN"/>
        </w:rPr>
        <w:t>s</w:t>
      </w:r>
      <w:r w:rsidRPr="000201B5">
        <w:rPr>
          <w:b/>
          <w:lang w:val="en-US" w:eastAsia="zh-CN"/>
        </w:rPr>
        <w:t>emi-statically con</w:t>
      </w:r>
      <w:r>
        <w:rPr>
          <w:b/>
          <w:lang w:val="en-US" w:eastAsia="zh-CN"/>
        </w:rPr>
        <w:t>f</w:t>
      </w:r>
      <w:r w:rsidRPr="000201B5">
        <w:rPr>
          <w:b/>
          <w:lang w:val="en-US" w:eastAsia="zh-CN"/>
        </w:rPr>
        <w:t xml:space="preserve">igured via high layer signaling, or </w:t>
      </w:r>
    </w:p>
    <w:p w14:paraId="4FE583CD" w14:textId="77777777" w:rsidR="008D51CF" w:rsidRPr="00C76538" w:rsidRDefault="008D51CF" w:rsidP="008D51CF">
      <w:pPr>
        <w:pStyle w:val="BodyText"/>
        <w:numPr>
          <w:ilvl w:val="0"/>
          <w:numId w:val="24"/>
        </w:numPr>
        <w:overflowPunct/>
        <w:autoSpaceDE/>
        <w:autoSpaceDN/>
        <w:adjustRightInd/>
        <w:jc w:val="both"/>
        <w:textAlignment w:val="auto"/>
        <w:rPr>
          <w:lang w:val="en-US" w:eastAsia="zh-CN"/>
        </w:rPr>
      </w:pPr>
      <w:r w:rsidRPr="00C76538">
        <w:rPr>
          <w:b/>
          <w:lang w:val="en-US" w:eastAsia="zh-CN"/>
        </w:rPr>
        <w:t>dynamically indicated in DCI.</w:t>
      </w:r>
    </w:p>
    <w:p w14:paraId="426DE11E" w14:textId="77777777" w:rsidR="008D51CF" w:rsidRDefault="008D51CF" w:rsidP="008D51CF">
      <w:pPr>
        <w:rPr>
          <w:b/>
        </w:rPr>
      </w:pPr>
    </w:p>
    <w:p w14:paraId="2AB7BC06" w14:textId="485E39B2" w:rsidR="008D51CF" w:rsidRPr="008D51CF" w:rsidRDefault="008D51CF" w:rsidP="008D51CF">
      <w:pPr>
        <w:jc w:val="both"/>
        <w:rPr>
          <w:b/>
          <w:lang w:val="en-US"/>
        </w:rPr>
      </w:pPr>
      <w:r>
        <w:rPr>
          <w:b/>
          <w:bCs/>
          <w:u w:val="single"/>
          <w:lang w:val="en-US" w:eastAsia="zh-CN"/>
        </w:rPr>
        <w:t xml:space="preserve">Joint UCI </w:t>
      </w:r>
      <w:r w:rsidR="005B56D2">
        <w:rPr>
          <w:b/>
          <w:bCs/>
          <w:u w:val="single"/>
          <w:lang w:val="en-US" w:eastAsia="zh-CN"/>
        </w:rPr>
        <w:t>design</w:t>
      </w:r>
      <w:r w:rsidRPr="008D51CF">
        <w:rPr>
          <w:b/>
          <w:bCs/>
          <w:u w:val="single"/>
          <w:lang w:val="en-US" w:eastAsia="zh-CN"/>
        </w:rPr>
        <w:t>:</w:t>
      </w:r>
    </w:p>
    <w:p w14:paraId="32FE2F88" w14:textId="0C621B23" w:rsidR="008D51CF" w:rsidRPr="00477A12" w:rsidRDefault="008D51CF" w:rsidP="008D51CF">
      <w:pPr>
        <w:rPr>
          <w:b/>
          <w:lang w:val="en-US"/>
        </w:rPr>
      </w:pPr>
      <w:r w:rsidRPr="00477A12">
        <w:rPr>
          <w:b/>
        </w:rPr>
        <w:t>Proposal-</w:t>
      </w:r>
      <w:r>
        <w:rPr>
          <w:b/>
        </w:rPr>
        <w:t>6</w:t>
      </w:r>
      <w:r w:rsidRPr="00477A12">
        <w:rPr>
          <w:b/>
        </w:rPr>
        <w:t xml:space="preserve">: Determination of DL association set and codebook size for HARQ feedback is flexible and based on the indicated </w:t>
      </w:r>
      <w:r w:rsidRPr="00477A12">
        <w:rPr>
          <w:rFonts w:eastAsia="MS Mincho"/>
          <w:b/>
          <w:lang w:val="en-US" w:eastAsia="ja-JP"/>
        </w:rPr>
        <w:t>timing relationship between DL data reception and corresponding acknowledgement</w:t>
      </w:r>
      <w:r w:rsidRPr="00477A12">
        <w:rPr>
          <w:b/>
          <w:lang w:val="en-US"/>
        </w:rPr>
        <w:t>.</w:t>
      </w:r>
    </w:p>
    <w:p w14:paraId="5C724900" w14:textId="77777777" w:rsidR="008D51CF" w:rsidRPr="00477A12" w:rsidRDefault="008D51CF" w:rsidP="008D51CF">
      <w:pPr>
        <w:rPr>
          <w:b/>
        </w:rPr>
      </w:pPr>
      <w:r w:rsidRPr="00477A12">
        <w:rPr>
          <w:b/>
        </w:rPr>
        <w:t>Proposal-</w:t>
      </w:r>
      <w:r>
        <w:rPr>
          <w:b/>
        </w:rPr>
        <w:t>7</w:t>
      </w:r>
      <w:r w:rsidRPr="00477A12">
        <w:rPr>
          <w:b/>
        </w:rPr>
        <w:t>: DL association set and HARQ ACK codebook size are determined separately for each DL component carrier.</w:t>
      </w:r>
    </w:p>
    <w:p w14:paraId="2767619D" w14:textId="77777777" w:rsidR="008D51CF" w:rsidRPr="00477A12" w:rsidRDefault="008D51CF" w:rsidP="008D51CF">
      <w:pPr>
        <w:jc w:val="both"/>
        <w:rPr>
          <w:rFonts w:eastAsia="MS Mincho"/>
          <w:b/>
          <w:lang w:val="en-US" w:eastAsia="ja-JP"/>
        </w:rPr>
      </w:pPr>
      <w:r w:rsidRPr="00477A12">
        <w:rPr>
          <w:b/>
        </w:rPr>
        <w:t>Proposal-</w:t>
      </w:r>
      <w:r>
        <w:rPr>
          <w:b/>
        </w:rPr>
        <w:t>8</w:t>
      </w:r>
      <w:r w:rsidRPr="00477A12">
        <w:rPr>
          <w:b/>
        </w:rPr>
        <w:t xml:space="preserve">: </w:t>
      </w:r>
      <w:r>
        <w:rPr>
          <w:b/>
        </w:rPr>
        <w:t xml:space="preserve">For slot-based scheduling, </w:t>
      </w:r>
      <w:r w:rsidRPr="00477A12">
        <w:rPr>
          <w:rFonts w:eastAsia="MS Mincho"/>
          <w:b/>
          <w:lang w:val="en-US" w:eastAsia="ja-JP"/>
        </w:rPr>
        <w:t>HARQ feedback timing is determined in terms of slots of UL CC carrying the associated PUCCH.</w:t>
      </w:r>
    </w:p>
    <w:p w14:paraId="7E73E73A" w14:textId="3F7A906F" w:rsidR="007C6D69" w:rsidRPr="008D51CF" w:rsidRDefault="007C6D69" w:rsidP="00CF3594">
      <w:pPr>
        <w:rPr>
          <w:b/>
          <w:i/>
          <w:lang w:val="en-US"/>
        </w:rPr>
      </w:pPr>
    </w:p>
    <w:p w14:paraId="250AE873" w14:textId="23901009" w:rsidR="007C6D69" w:rsidRDefault="007C6D69" w:rsidP="00CF3594">
      <w:pPr>
        <w:rPr>
          <w:b/>
          <w:i/>
        </w:rPr>
      </w:pPr>
    </w:p>
    <w:p w14:paraId="701571BF" w14:textId="2C9A6016" w:rsidR="007C6D69" w:rsidRDefault="007C6D69" w:rsidP="007C6D69">
      <w:pPr>
        <w:pStyle w:val="Heading1"/>
        <w:ind w:left="0" w:firstLine="0"/>
      </w:pPr>
      <w:r>
        <w:rPr>
          <w:color w:val="000000"/>
        </w:rPr>
        <w:t>References</w:t>
      </w:r>
    </w:p>
    <w:p w14:paraId="3161527A" w14:textId="2C346786" w:rsidR="00C339EA" w:rsidRDefault="00F31B2A" w:rsidP="00F31B2A">
      <w:pPr>
        <w:numPr>
          <w:ilvl w:val="0"/>
          <w:numId w:val="25"/>
        </w:numPr>
        <w:overflowPunct/>
        <w:autoSpaceDE/>
        <w:autoSpaceDN/>
        <w:adjustRightInd/>
        <w:spacing w:after="120" w:line="259" w:lineRule="auto"/>
        <w:jc w:val="both"/>
        <w:textAlignment w:val="auto"/>
        <w:rPr>
          <w:lang w:val="en-US"/>
        </w:rPr>
      </w:pPr>
      <w:bookmarkStart w:id="1" w:name="_Ref449465801"/>
      <w:bookmarkStart w:id="2" w:name="_Ref477706555"/>
      <w:bookmarkStart w:id="3" w:name="_Ref484877133"/>
      <w:r w:rsidRPr="00F31B2A">
        <w:rPr>
          <w:lang w:val="en-US"/>
        </w:rPr>
        <w:t>R1-1710990</w:t>
      </w:r>
      <w:r w:rsidR="00C339EA" w:rsidRPr="00C339EA">
        <w:rPr>
          <w:lang w:val="en-US"/>
        </w:rPr>
        <w:t>, “</w:t>
      </w:r>
      <w:r w:rsidRPr="00F31B2A">
        <w:rPr>
          <w:lang w:val="en-US"/>
        </w:rPr>
        <w:t>Time-domain resource allocation for NR</w:t>
      </w:r>
      <w:r w:rsidR="00C339EA" w:rsidRPr="00C339EA">
        <w:rPr>
          <w:lang w:val="en-US"/>
        </w:rPr>
        <w:t xml:space="preserve">”, Nokia, Alcatel-Lucent Shanghai Bell, RAN1 NR#2, </w:t>
      </w:r>
      <w:bookmarkEnd w:id="1"/>
      <w:bookmarkEnd w:id="2"/>
      <w:r w:rsidR="00C339EA" w:rsidRPr="00C339EA">
        <w:rPr>
          <w:lang w:val="en-US"/>
        </w:rPr>
        <w:t>Qingdao, China, 27 -</w:t>
      </w:r>
      <w:r w:rsidR="00E561AD">
        <w:rPr>
          <w:lang w:val="en-US"/>
        </w:rPr>
        <w:t xml:space="preserve"> 30 J</w:t>
      </w:r>
      <w:r w:rsidR="00C339EA" w:rsidRPr="00C339EA">
        <w:rPr>
          <w:lang w:val="en-US"/>
        </w:rPr>
        <w:t>une 2017</w:t>
      </w:r>
      <w:bookmarkEnd w:id="3"/>
    </w:p>
    <w:p w14:paraId="6001A13F" w14:textId="6CE30F43" w:rsidR="000C7302" w:rsidRPr="000C7302" w:rsidRDefault="00E561AD" w:rsidP="00E561AD">
      <w:pPr>
        <w:numPr>
          <w:ilvl w:val="0"/>
          <w:numId w:val="25"/>
        </w:numPr>
        <w:overflowPunct/>
        <w:autoSpaceDE/>
        <w:autoSpaceDN/>
        <w:adjustRightInd/>
        <w:spacing w:after="120" w:line="259" w:lineRule="auto"/>
        <w:jc w:val="both"/>
        <w:textAlignment w:val="auto"/>
        <w:rPr>
          <w:lang w:val="en-US"/>
        </w:rPr>
      </w:pPr>
      <w:bookmarkStart w:id="4" w:name="_Ref485314036"/>
      <w:r w:rsidRPr="00E561AD">
        <w:rPr>
          <w:lang w:val="en-US"/>
        </w:rPr>
        <w:t>R1-1711396</w:t>
      </w:r>
      <w:r w:rsidR="000C7302" w:rsidRPr="000C7302">
        <w:rPr>
          <w:lang w:val="en-US"/>
        </w:rPr>
        <w:t>, “</w:t>
      </w:r>
      <w:r w:rsidRPr="00E561AD">
        <w:rPr>
          <w:lang w:val="en-US" w:eastAsia="zh-CN"/>
        </w:rPr>
        <w:t>On power sharing between LTE and NR in DC</w:t>
      </w:r>
      <w:r w:rsidR="000C7302" w:rsidRPr="000C7302">
        <w:rPr>
          <w:lang w:val="en-US"/>
        </w:rPr>
        <w:t xml:space="preserve">”, Nokia, Alcatel-Lucent Shanghai Bell, RAN1 NR#2, Qingdao, China, 27 - 30 </w:t>
      </w:r>
      <w:r>
        <w:rPr>
          <w:lang w:val="en-US"/>
        </w:rPr>
        <w:t>J</w:t>
      </w:r>
      <w:r w:rsidR="000C7302" w:rsidRPr="000C7302">
        <w:rPr>
          <w:lang w:val="en-US"/>
        </w:rPr>
        <w:t>une 2017</w:t>
      </w:r>
      <w:bookmarkEnd w:id="4"/>
    </w:p>
    <w:p w14:paraId="15F826AB" w14:textId="5AB0686B" w:rsidR="00AE02C3" w:rsidRDefault="00F31B2A" w:rsidP="00F31B2A">
      <w:pPr>
        <w:numPr>
          <w:ilvl w:val="0"/>
          <w:numId w:val="25"/>
        </w:numPr>
        <w:overflowPunct/>
        <w:autoSpaceDE/>
        <w:autoSpaceDN/>
        <w:adjustRightInd/>
        <w:spacing w:after="120" w:line="259" w:lineRule="auto"/>
        <w:jc w:val="both"/>
        <w:textAlignment w:val="auto"/>
        <w:rPr>
          <w:lang w:val="en-US"/>
        </w:rPr>
      </w:pPr>
      <w:bookmarkStart w:id="5" w:name="_Ref485314885"/>
      <w:r w:rsidRPr="00F31B2A">
        <w:rPr>
          <w:lang w:val="en-US"/>
        </w:rPr>
        <w:t>R1-1710999</w:t>
      </w:r>
      <w:r w:rsidR="00AE02C3" w:rsidRPr="00C339EA">
        <w:rPr>
          <w:lang w:val="en-US"/>
        </w:rPr>
        <w:t>, “</w:t>
      </w:r>
      <w:r w:rsidRPr="00F31B2A">
        <w:rPr>
          <w:lang w:val="en-US"/>
        </w:rPr>
        <w:t>On HARQ feedback determination</w:t>
      </w:r>
      <w:r w:rsidR="00AE02C3" w:rsidRPr="00C339EA">
        <w:rPr>
          <w:lang w:val="en-US"/>
        </w:rPr>
        <w:t xml:space="preserve">”, Nokia, Alcatel-Lucent Shanghai Bell, RAN1 NR#2, Qingdao, China, 27 - 30 </w:t>
      </w:r>
      <w:r w:rsidR="00E561AD">
        <w:rPr>
          <w:lang w:val="en-US"/>
        </w:rPr>
        <w:t>J</w:t>
      </w:r>
      <w:r w:rsidR="00AE02C3" w:rsidRPr="00C339EA">
        <w:rPr>
          <w:lang w:val="en-US"/>
        </w:rPr>
        <w:t>une 2017</w:t>
      </w:r>
      <w:bookmarkEnd w:id="5"/>
    </w:p>
    <w:p w14:paraId="3D3B7EAE" w14:textId="5CA74FE5" w:rsidR="009412D0" w:rsidRPr="009412D0" w:rsidRDefault="00F31B2A" w:rsidP="00F31B2A">
      <w:pPr>
        <w:numPr>
          <w:ilvl w:val="0"/>
          <w:numId w:val="25"/>
        </w:numPr>
        <w:overflowPunct/>
        <w:autoSpaceDE/>
        <w:autoSpaceDN/>
        <w:adjustRightInd/>
        <w:spacing w:after="120" w:line="259" w:lineRule="auto"/>
        <w:jc w:val="both"/>
        <w:textAlignment w:val="auto"/>
        <w:rPr>
          <w:lang w:val="en-US"/>
        </w:rPr>
      </w:pPr>
      <w:bookmarkStart w:id="6" w:name="_Ref485396446"/>
      <w:r w:rsidRPr="00F31B2A">
        <w:rPr>
          <w:lang w:val="en-US"/>
        </w:rPr>
        <w:t>R1-1710884</w:t>
      </w:r>
      <w:r w:rsidR="009412D0" w:rsidRPr="009412D0">
        <w:rPr>
          <w:lang w:val="en-US"/>
        </w:rPr>
        <w:t>, “</w:t>
      </w:r>
      <w:r w:rsidRPr="00F31B2A">
        <w:rPr>
          <w:lang w:val="en-US"/>
        </w:rPr>
        <w:t>On NR CA/DC configuration</w:t>
      </w:r>
      <w:r w:rsidR="009412D0" w:rsidRPr="009412D0">
        <w:rPr>
          <w:lang w:val="en-US"/>
        </w:rPr>
        <w:t xml:space="preserve">”, Nokia, Alcatel-Lucent Shanghai Bell, RAN1 NR#2, Qingdao, China, 27 - 30 </w:t>
      </w:r>
      <w:r w:rsidR="00E561AD">
        <w:rPr>
          <w:lang w:val="en-US"/>
        </w:rPr>
        <w:t>J</w:t>
      </w:r>
      <w:r w:rsidR="009412D0" w:rsidRPr="009412D0">
        <w:rPr>
          <w:lang w:val="en-US"/>
        </w:rPr>
        <w:t>une 2017</w:t>
      </w:r>
      <w:bookmarkEnd w:id="6"/>
    </w:p>
    <w:sectPr w:rsidR="009412D0" w:rsidRPr="009412D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6112E" w14:textId="77777777" w:rsidR="00AA7CEE" w:rsidRDefault="00AA7CEE">
      <w:r>
        <w:separator/>
      </w:r>
    </w:p>
  </w:endnote>
  <w:endnote w:type="continuationSeparator" w:id="0">
    <w:p w14:paraId="520D35CA" w14:textId="77777777" w:rsidR="00AA7CEE" w:rsidRDefault="00AA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SimSun"/>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DBDEC" w14:textId="77777777" w:rsidR="00AA7CEE" w:rsidRDefault="00AA7CEE">
      <w:r>
        <w:separator/>
      </w:r>
    </w:p>
  </w:footnote>
  <w:footnote w:type="continuationSeparator" w:id="0">
    <w:p w14:paraId="73351A1C" w14:textId="77777777" w:rsidR="00AA7CEE" w:rsidRDefault="00AA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hint="default"/>
      </w:rPr>
    </w:lvl>
    <w:lvl w:ilvl="1" w:tplc="3EB4E480">
      <w:numFmt w:val="bullet"/>
      <w:lvlText w:val="–"/>
      <w:lvlJc w:val="left"/>
      <w:pPr>
        <w:tabs>
          <w:tab w:val="num" w:pos="1440"/>
        </w:tabs>
        <w:ind w:left="1440" w:hanging="360"/>
      </w:pPr>
      <w:rPr>
        <w:rFonts w:ascii="Arial" w:hAnsi="Arial" w:hint="default"/>
      </w:rPr>
    </w:lvl>
    <w:lvl w:ilvl="2" w:tplc="9F24AA4E">
      <w:numFmt w:val="bullet"/>
      <w:lvlText w:val="•"/>
      <w:lvlJc w:val="left"/>
      <w:pPr>
        <w:tabs>
          <w:tab w:val="num" w:pos="2160"/>
        </w:tabs>
        <w:ind w:left="2160" w:hanging="360"/>
      </w:pPr>
      <w:rPr>
        <w:rFonts w:ascii="Arial" w:hAnsi="Arial" w:hint="default"/>
      </w:rPr>
    </w:lvl>
    <w:lvl w:ilvl="3" w:tplc="E8ACBCFC" w:tentative="1">
      <w:start w:val="1"/>
      <w:numFmt w:val="bullet"/>
      <w:lvlText w:val="•"/>
      <w:lvlJc w:val="left"/>
      <w:pPr>
        <w:tabs>
          <w:tab w:val="num" w:pos="2880"/>
        </w:tabs>
        <w:ind w:left="2880" w:hanging="360"/>
      </w:pPr>
      <w:rPr>
        <w:rFonts w:ascii="Arial" w:hAnsi="Arial" w:hint="default"/>
      </w:rPr>
    </w:lvl>
    <w:lvl w:ilvl="4" w:tplc="8A6007F2" w:tentative="1">
      <w:start w:val="1"/>
      <w:numFmt w:val="bullet"/>
      <w:lvlText w:val="•"/>
      <w:lvlJc w:val="left"/>
      <w:pPr>
        <w:tabs>
          <w:tab w:val="num" w:pos="3600"/>
        </w:tabs>
        <w:ind w:left="3600" w:hanging="360"/>
      </w:pPr>
      <w:rPr>
        <w:rFonts w:ascii="Arial" w:hAnsi="Arial" w:hint="default"/>
      </w:rPr>
    </w:lvl>
    <w:lvl w:ilvl="5" w:tplc="08E6B3EC" w:tentative="1">
      <w:start w:val="1"/>
      <w:numFmt w:val="bullet"/>
      <w:lvlText w:val="•"/>
      <w:lvlJc w:val="left"/>
      <w:pPr>
        <w:tabs>
          <w:tab w:val="num" w:pos="4320"/>
        </w:tabs>
        <w:ind w:left="4320" w:hanging="360"/>
      </w:pPr>
      <w:rPr>
        <w:rFonts w:ascii="Arial" w:hAnsi="Arial" w:hint="default"/>
      </w:rPr>
    </w:lvl>
    <w:lvl w:ilvl="6" w:tplc="16866B44" w:tentative="1">
      <w:start w:val="1"/>
      <w:numFmt w:val="bullet"/>
      <w:lvlText w:val="•"/>
      <w:lvlJc w:val="left"/>
      <w:pPr>
        <w:tabs>
          <w:tab w:val="num" w:pos="5040"/>
        </w:tabs>
        <w:ind w:left="5040" w:hanging="360"/>
      </w:pPr>
      <w:rPr>
        <w:rFonts w:ascii="Arial" w:hAnsi="Arial" w:hint="default"/>
      </w:rPr>
    </w:lvl>
    <w:lvl w:ilvl="7" w:tplc="9C6EAA74" w:tentative="1">
      <w:start w:val="1"/>
      <w:numFmt w:val="bullet"/>
      <w:lvlText w:val="•"/>
      <w:lvlJc w:val="left"/>
      <w:pPr>
        <w:tabs>
          <w:tab w:val="num" w:pos="5760"/>
        </w:tabs>
        <w:ind w:left="5760" w:hanging="360"/>
      </w:pPr>
      <w:rPr>
        <w:rFonts w:ascii="Arial" w:hAnsi="Arial" w:hint="default"/>
      </w:rPr>
    </w:lvl>
    <w:lvl w:ilvl="8" w:tplc="AB6C01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06B6166"/>
    <w:multiLevelType w:val="hybridMultilevel"/>
    <w:tmpl w:val="B42803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F800414"/>
    <w:multiLevelType w:val="hybridMultilevel"/>
    <w:tmpl w:val="486849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654B3F1F"/>
    <w:multiLevelType w:val="hybridMultilevel"/>
    <w:tmpl w:val="96FA8FDC"/>
    <w:lvl w:ilvl="0" w:tplc="75D25D18">
      <w:start w:val="1"/>
      <w:numFmt w:val="bullet"/>
      <w:lvlText w:val="•"/>
      <w:lvlJc w:val="left"/>
      <w:pPr>
        <w:tabs>
          <w:tab w:val="num" w:pos="720"/>
        </w:tabs>
        <w:ind w:left="720" w:hanging="360"/>
      </w:pPr>
      <w:rPr>
        <w:rFonts w:ascii="Arial" w:hAnsi="Arial" w:hint="default"/>
      </w:rPr>
    </w:lvl>
    <w:lvl w:ilvl="1" w:tplc="E508FDFC">
      <w:numFmt w:val="bullet"/>
      <w:lvlText w:val="–"/>
      <w:lvlJc w:val="left"/>
      <w:pPr>
        <w:tabs>
          <w:tab w:val="num" w:pos="1440"/>
        </w:tabs>
        <w:ind w:left="1440" w:hanging="360"/>
      </w:pPr>
      <w:rPr>
        <w:rFonts w:ascii="Arial" w:hAnsi="Arial" w:hint="default"/>
      </w:rPr>
    </w:lvl>
    <w:lvl w:ilvl="2" w:tplc="53F67428">
      <w:numFmt w:val="bullet"/>
      <w:lvlText w:val="•"/>
      <w:lvlJc w:val="left"/>
      <w:pPr>
        <w:tabs>
          <w:tab w:val="num" w:pos="2160"/>
        </w:tabs>
        <w:ind w:left="2160" w:hanging="360"/>
      </w:pPr>
      <w:rPr>
        <w:rFonts w:ascii="Arial" w:hAnsi="Arial" w:hint="default"/>
      </w:rPr>
    </w:lvl>
    <w:lvl w:ilvl="3" w:tplc="B6F09762" w:tentative="1">
      <w:start w:val="1"/>
      <w:numFmt w:val="bullet"/>
      <w:lvlText w:val="•"/>
      <w:lvlJc w:val="left"/>
      <w:pPr>
        <w:tabs>
          <w:tab w:val="num" w:pos="2880"/>
        </w:tabs>
        <w:ind w:left="2880" w:hanging="360"/>
      </w:pPr>
      <w:rPr>
        <w:rFonts w:ascii="Arial" w:hAnsi="Arial" w:hint="default"/>
      </w:rPr>
    </w:lvl>
    <w:lvl w:ilvl="4" w:tplc="23689214" w:tentative="1">
      <w:start w:val="1"/>
      <w:numFmt w:val="bullet"/>
      <w:lvlText w:val="•"/>
      <w:lvlJc w:val="left"/>
      <w:pPr>
        <w:tabs>
          <w:tab w:val="num" w:pos="3600"/>
        </w:tabs>
        <w:ind w:left="3600" w:hanging="360"/>
      </w:pPr>
      <w:rPr>
        <w:rFonts w:ascii="Arial" w:hAnsi="Arial" w:hint="default"/>
      </w:rPr>
    </w:lvl>
    <w:lvl w:ilvl="5" w:tplc="72DAA30A" w:tentative="1">
      <w:start w:val="1"/>
      <w:numFmt w:val="bullet"/>
      <w:lvlText w:val="•"/>
      <w:lvlJc w:val="left"/>
      <w:pPr>
        <w:tabs>
          <w:tab w:val="num" w:pos="4320"/>
        </w:tabs>
        <w:ind w:left="4320" w:hanging="360"/>
      </w:pPr>
      <w:rPr>
        <w:rFonts w:ascii="Arial" w:hAnsi="Arial" w:hint="default"/>
      </w:rPr>
    </w:lvl>
    <w:lvl w:ilvl="6" w:tplc="22D0CE4C" w:tentative="1">
      <w:start w:val="1"/>
      <w:numFmt w:val="bullet"/>
      <w:lvlText w:val="•"/>
      <w:lvlJc w:val="left"/>
      <w:pPr>
        <w:tabs>
          <w:tab w:val="num" w:pos="5040"/>
        </w:tabs>
        <w:ind w:left="5040" w:hanging="360"/>
      </w:pPr>
      <w:rPr>
        <w:rFonts w:ascii="Arial" w:hAnsi="Arial" w:hint="default"/>
      </w:rPr>
    </w:lvl>
    <w:lvl w:ilvl="7" w:tplc="BAD07420" w:tentative="1">
      <w:start w:val="1"/>
      <w:numFmt w:val="bullet"/>
      <w:lvlText w:val="•"/>
      <w:lvlJc w:val="left"/>
      <w:pPr>
        <w:tabs>
          <w:tab w:val="num" w:pos="5760"/>
        </w:tabs>
        <w:ind w:left="5760" w:hanging="360"/>
      </w:pPr>
      <w:rPr>
        <w:rFonts w:ascii="Arial" w:hAnsi="Arial" w:hint="default"/>
      </w:rPr>
    </w:lvl>
    <w:lvl w:ilvl="8" w:tplc="54246E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37DCC"/>
    <w:multiLevelType w:val="hybridMultilevel"/>
    <w:tmpl w:val="AB1E441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2" w15:restartNumberingAfterBreak="0">
    <w:nsid w:val="7B6F2A61"/>
    <w:multiLevelType w:val="hybridMultilevel"/>
    <w:tmpl w:val="15EC53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F104DF"/>
    <w:multiLevelType w:val="hybridMultilevel"/>
    <w:tmpl w:val="1916D8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9"/>
  </w:num>
  <w:num w:numId="4">
    <w:abstractNumId w:val="8"/>
  </w:num>
  <w:num w:numId="5">
    <w:abstractNumId w:val="11"/>
  </w:num>
  <w:num w:numId="6">
    <w:abstractNumId w:val="13"/>
  </w:num>
  <w:num w:numId="7">
    <w:abstractNumId w:val="10"/>
  </w:num>
  <w:num w:numId="8">
    <w:abstractNumId w:val="24"/>
  </w:num>
  <w:num w:numId="9">
    <w:abstractNumId w:val="12"/>
  </w:num>
  <w:num w:numId="10">
    <w:abstractNumId w:val="0"/>
  </w:num>
  <w:num w:numId="11">
    <w:abstractNumId w:val="20"/>
  </w:num>
  <w:num w:numId="12">
    <w:abstractNumId w:val="4"/>
  </w:num>
  <w:num w:numId="13">
    <w:abstractNumId w:val="3"/>
  </w:num>
  <w:num w:numId="14">
    <w:abstractNumId w:val="5"/>
  </w:num>
  <w:num w:numId="15">
    <w:abstractNumId w:val="14"/>
  </w:num>
  <w:num w:numId="16">
    <w:abstractNumId w:val="16"/>
  </w:num>
  <w:num w:numId="17">
    <w:abstractNumId w:val="7"/>
  </w:num>
  <w:num w:numId="18">
    <w:abstractNumId w:val="15"/>
  </w:num>
  <w:num w:numId="19">
    <w:abstractNumId w:val="1"/>
  </w:num>
  <w:num w:numId="20">
    <w:abstractNumId w:val="23"/>
  </w:num>
  <w:num w:numId="21">
    <w:abstractNumId w:val="22"/>
  </w:num>
  <w:num w:numId="22">
    <w:abstractNumId w:val="18"/>
  </w:num>
  <w:num w:numId="23">
    <w:abstractNumId w:val="17"/>
  </w:num>
  <w:num w:numId="24">
    <w:abstractNumId w:val="21"/>
  </w:num>
  <w:num w:numId="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549"/>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01B5"/>
    <w:rsid w:val="00023742"/>
    <w:rsid w:val="00024AEF"/>
    <w:rsid w:val="00025DCE"/>
    <w:rsid w:val="00026C65"/>
    <w:rsid w:val="00027755"/>
    <w:rsid w:val="00030048"/>
    <w:rsid w:val="0003072D"/>
    <w:rsid w:val="0003116C"/>
    <w:rsid w:val="000314CD"/>
    <w:rsid w:val="00031AF6"/>
    <w:rsid w:val="00033544"/>
    <w:rsid w:val="0003479E"/>
    <w:rsid w:val="00035691"/>
    <w:rsid w:val="00036BC3"/>
    <w:rsid w:val="0003707E"/>
    <w:rsid w:val="0003767C"/>
    <w:rsid w:val="00037DEE"/>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7C6"/>
    <w:rsid w:val="00091A92"/>
    <w:rsid w:val="00093C49"/>
    <w:rsid w:val="00095A80"/>
    <w:rsid w:val="00096ED1"/>
    <w:rsid w:val="000973E1"/>
    <w:rsid w:val="000A1402"/>
    <w:rsid w:val="000A20BA"/>
    <w:rsid w:val="000A262C"/>
    <w:rsid w:val="000A3C8D"/>
    <w:rsid w:val="000A40EC"/>
    <w:rsid w:val="000A54EE"/>
    <w:rsid w:val="000A6A23"/>
    <w:rsid w:val="000A7BC5"/>
    <w:rsid w:val="000B0C45"/>
    <w:rsid w:val="000B16DB"/>
    <w:rsid w:val="000B1ABD"/>
    <w:rsid w:val="000B1C5E"/>
    <w:rsid w:val="000B2282"/>
    <w:rsid w:val="000B2A11"/>
    <w:rsid w:val="000B2A5B"/>
    <w:rsid w:val="000B3B91"/>
    <w:rsid w:val="000B5AC9"/>
    <w:rsid w:val="000B5F0A"/>
    <w:rsid w:val="000C05FC"/>
    <w:rsid w:val="000C0C6B"/>
    <w:rsid w:val="000C1D59"/>
    <w:rsid w:val="000C30CF"/>
    <w:rsid w:val="000C501D"/>
    <w:rsid w:val="000C6EE7"/>
    <w:rsid w:val="000C7302"/>
    <w:rsid w:val="000C74BA"/>
    <w:rsid w:val="000C7531"/>
    <w:rsid w:val="000C7C3F"/>
    <w:rsid w:val="000D0BD6"/>
    <w:rsid w:val="000D0C61"/>
    <w:rsid w:val="000D27AD"/>
    <w:rsid w:val="000D29D1"/>
    <w:rsid w:val="000D2B0A"/>
    <w:rsid w:val="000D3286"/>
    <w:rsid w:val="000D344D"/>
    <w:rsid w:val="000D40E7"/>
    <w:rsid w:val="000D584F"/>
    <w:rsid w:val="000E0635"/>
    <w:rsid w:val="000E071E"/>
    <w:rsid w:val="000E27AA"/>
    <w:rsid w:val="000E337A"/>
    <w:rsid w:val="000E4350"/>
    <w:rsid w:val="000E4408"/>
    <w:rsid w:val="000E5716"/>
    <w:rsid w:val="000E7A79"/>
    <w:rsid w:val="000F147C"/>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243D"/>
    <w:rsid w:val="001130AC"/>
    <w:rsid w:val="0011339F"/>
    <w:rsid w:val="00113B8F"/>
    <w:rsid w:val="00113EC8"/>
    <w:rsid w:val="00114E96"/>
    <w:rsid w:val="0011644A"/>
    <w:rsid w:val="00117332"/>
    <w:rsid w:val="001200A9"/>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67D"/>
    <w:rsid w:val="00137D78"/>
    <w:rsid w:val="001409A0"/>
    <w:rsid w:val="0014172C"/>
    <w:rsid w:val="00141F08"/>
    <w:rsid w:val="00141FF2"/>
    <w:rsid w:val="0014287A"/>
    <w:rsid w:val="00142DE2"/>
    <w:rsid w:val="00144C87"/>
    <w:rsid w:val="001467B1"/>
    <w:rsid w:val="00150175"/>
    <w:rsid w:val="001502C8"/>
    <w:rsid w:val="0015130F"/>
    <w:rsid w:val="00155BFD"/>
    <w:rsid w:val="00157390"/>
    <w:rsid w:val="00160998"/>
    <w:rsid w:val="00160CD6"/>
    <w:rsid w:val="0016194F"/>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87E09"/>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5E5F"/>
    <w:rsid w:val="00206955"/>
    <w:rsid w:val="00210309"/>
    <w:rsid w:val="00212E4E"/>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150"/>
    <w:rsid w:val="002632DF"/>
    <w:rsid w:val="002640BA"/>
    <w:rsid w:val="00264CF2"/>
    <w:rsid w:val="002661CB"/>
    <w:rsid w:val="00267587"/>
    <w:rsid w:val="002675C8"/>
    <w:rsid w:val="00271589"/>
    <w:rsid w:val="00273177"/>
    <w:rsid w:val="00273D2F"/>
    <w:rsid w:val="00275074"/>
    <w:rsid w:val="002763E9"/>
    <w:rsid w:val="00276736"/>
    <w:rsid w:val="00282FE4"/>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3A0F"/>
    <w:rsid w:val="002A607D"/>
    <w:rsid w:val="002B132E"/>
    <w:rsid w:val="002B2813"/>
    <w:rsid w:val="002B2D29"/>
    <w:rsid w:val="002B5AB0"/>
    <w:rsid w:val="002B7E43"/>
    <w:rsid w:val="002C0C4B"/>
    <w:rsid w:val="002C1EEA"/>
    <w:rsid w:val="002C2E2E"/>
    <w:rsid w:val="002C47AD"/>
    <w:rsid w:val="002C6034"/>
    <w:rsid w:val="002C635B"/>
    <w:rsid w:val="002C7CFF"/>
    <w:rsid w:val="002D0BC6"/>
    <w:rsid w:val="002D17C5"/>
    <w:rsid w:val="002D365F"/>
    <w:rsid w:val="002D50EC"/>
    <w:rsid w:val="002D7C86"/>
    <w:rsid w:val="002E0692"/>
    <w:rsid w:val="002E086E"/>
    <w:rsid w:val="002E1D74"/>
    <w:rsid w:val="002E2943"/>
    <w:rsid w:val="002E2CF1"/>
    <w:rsid w:val="002E34AF"/>
    <w:rsid w:val="002E4AAC"/>
    <w:rsid w:val="002E53DE"/>
    <w:rsid w:val="002E563B"/>
    <w:rsid w:val="002E5B06"/>
    <w:rsid w:val="002E62D2"/>
    <w:rsid w:val="002E74AF"/>
    <w:rsid w:val="002E758C"/>
    <w:rsid w:val="002F1038"/>
    <w:rsid w:val="002F115E"/>
    <w:rsid w:val="002F22FF"/>
    <w:rsid w:val="002F2D8F"/>
    <w:rsid w:val="002F383F"/>
    <w:rsid w:val="002F695B"/>
    <w:rsid w:val="002F72DA"/>
    <w:rsid w:val="002F76B1"/>
    <w:rsid w:val="002F7D66"/>
    <w:rsid w:val="002F7DBE"/>
    <w:rsid w:val="0030090B"/>
    <w:rsid w:val="0030205B"/>
    <w:rsid w:val="00302AE8"/>
    <w:rsid w:val="00302BB1"/>
    <w:rsid w:val="0030404B"/>
    <w:rsid w:val="00304210"/>
    <w:rsid w:val="003048D7"/>
    <w:rsid w:val="00304A1B"/>
    <w:rsid w:val="00304AD2"/>
    <w:rsid w:val="00304D03"/>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6DB"/>
    <w:rsid w:val="00332B55"/>
    <w:rsid w:val="003353BC"/>
    <w:rsid w:val="00335EA8"/>
    <w:rsid w:val="003363DD"/>
    <w:rsid w:val="00340361"/>
    <w:rsid w:val="00340795"/>
    <w:rsid w:val="0034111C"/>
    <w:rsid w:val="00341E60"/>
    <w:rsid w:val="0034217F"/>
    <w:rsid w:val="00342920"/>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150"/>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3FB8"/>
    <w:rsid w:val="0038412E"/>
    <w:rsid w:val="00386053"/>
    <w:rsid w:val="0038771D"/>
    <w:rsid w:val="003879FD"/>
    <w:rsid w:val="003902EC"/>
    <w:rsid w:val="00392491"/>
    <w:rsid w:val="00393E44"/>
    <w:rsid w:val="003965D3"/>
    <w:rsid w:val="0039747B"/>
    <w:rsid w:val="00397AB6"/>
    <w:rsid w:val="00397ACA"/>
    <w:rsid w:val="003A10C3"/>
    <w:rsid w:val="003A1AFA"/>
    <w:rsid w:val="003A4A40"/>
    <w:rsid w:val="003A597F"/>
    <w:rsid w:val="003A71A8"/>
    <w:rsid w:val="003B00CA"/>
    <w:rsid w:val="003B030B"/>
    <w:rsid w:val="003B0432"/>
    <w:rsid w:val="003B0821"/>
    <w:rsid w:val="003B0BE9"/>
    <w:rsid w:val="003B2E9B"/>
    <w:rsid w:val="003B2F8D"/>
    <w:rsid w:val="003B4FAA"/>
    <w:rsid w:val="003B547A"/>
    <w:rsid w:val="003B60BE"/>
    <w:rsid w:val="003B75B9"/>
    <w:rsid w:val="003C0DA2"/>
    <w:rsid w:val="003C1A18"/>
    <w:rsid w:val="003C4BB6"/>
    <w:rsid w:val="003C5C41"/>
    <w:rsid w:val="003C7461"/>
    <w:rsid w:val="003D0788"/>
    <w:rsid w:val="003D091B"/>
    <w:rsid w:val="003D132A"/>
    <w:rsid w:val="003D1517"/>
    <w:rsid w:val="003D1D50"/>
    <w:rsid w:val="003D232D"/>
    <w:rsid w:val="003D2938"/>
    <w:rsid w:val="003D3C8A"/>
    <w:rsid w:val="003D3FBA"/>
    <w:rsid w:val="003D402B"/>
    <w:rsid w:val="003D764F"/>
    <w:rsid w:val="003D793F"/>
    <w:rsid w:val="003E0667"/>
    <w:rsid w:val="003E0BCE"/>
    <w:rsid w:val="003E13E0"/>
    <w:rsid w:val="003E1660"/>
    <w:rsid w:val="003E1CD1"/>
    <w:rsid w:val="003E2A2D"/>
    <w:rsid w:val="003E64A9"/>
    <w:rsid w:val="003E7905"/>
    <w:rsid w:val="003F0336"/>
    <w:rsid w:val="003F5547"/>
    <w:rsid w:val="003F5C40"/>
    <w:rsid w:val="003F6E12"/>
    <w:rsid w:val="003F6F75"/>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34D2B"/>
    <w:rsid w:val="00440FED"/>
    <w:rsid w:val="00441B92"/>
    <w:rsid w:val="0044474B"/>
    <w:rsid w:val="00445FF7"/>
    <w:rsid w:val="00446699"/>
    <w:rsid w:val="004508A8"/>
    <w:rsid w:val="00451FAB"/>
    <w:rsid w:val="00453341"/>
    <w:rsid w:val="004545C6"/>
    <w:rsid w:val="00454DCA"/>
    <w:rsid w:val="00456544"/>
    <w:rsid w:val="00456649"/>
    <w:rsid w:val="004567B7"/>
    <w:rsid w:val="00456856"/>
    <w:rsid w:val="004575CD"/>
    <w:rsid w:val="00460C67"/>
    <w:rsid w:val="00461210"/>
    <w:rsid w:val="00462490"/>
    <w:rsid w:val="00465299"/>
    <w:rsid w:val="004669DA"/>
    <w:rsid w:val="00466A0F"/>
    <w:rsid w:val="0046795B"/>
    <w:rsid w:val="004708C0"/>
    <w:rsid w:val="004715CB"/>
    <w:rsid w:val="00471863"/>
    <w:rsid w:val="00473A14"/>
    <w:rsid w:val="00474871"/>
    <w:rsid w:val="00474CA8"/>
    <w:rsid w:val="00474E43"/>
    <w:rsid w:val="00477A12"/>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1EBA"/>
    <w:rsid w:val="004C3EC7"/>
    <w:rsid w:val="004C3EEE"/>
    <w:rsid w:val="004C483D"/>
    <w:rsid w:val="004C6DA5"/>
    <w:rsid w:val="004C795A"/>
    <w:rsid w:val="004C7F93"/>
    <w:rsid w:val="004D26B8"/>
    <w:rsid w:val="004D2CA5"/>
    <w:rsid w:val="004D38C2"/>
    <w:rsid w:val="004D4FBD"/>
    <w:rsid w:val="004D4FC0"/>
    <w:rsid w:val="004D6381"/>
    <w:rsid w:val="004D7D83"/>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1BBF"/>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760"/>
    <w:rsid w:val="00523E75"/>
    <w:rsid w:val="005243E0"/>
    <w:rsid w:val="00524ACD"/>
    <w:rsid w:val="005256F3"/>
    <w:rsid w:val="005265A3"/>
    <w:rsid w:val="00526783"/>
    <w:rsid w:val="00527FB1"/>
    <w:rsid w:val="0053162F"/>
    <w:rsid w:val="00531777"/>
    <w:rsid w:val="0053281C"/>
    <w:rsid w:val="0053357A"/>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76CD1"/>
    <w:rsid w:val="00580793"/>
    <w:rsid w:val="00581470"/>
    <w:rsid w:val="00582087"/>
    <w:rsid w:val="005831DD"/>
    <w:rsid w:val="00583EE7"/>
    <w:rsid w:val="00584320"/>
    <w:rsid w:val="00585484"/>
    <w:rsid w:val="00587229"/>
    <w:rsid w:val="00587503"/>
    <w:rsid w:val="00587F7F"/>
    <w:rsid w:val="00590E8D"/>
    <w:rsid w:val="00591511"/>
    <w:rsid w:val="0059331A"/>
    <w:rsid w:val="00596BBA"/>
    <w:rsid w:val="005971FE"/>
    <w:rsid w:val="005975C4"/>
    <w:rsid w:val="00597A41"/>
    <w:rsid w:val="00597ED8"/>
    <w:rsid w:val="005A34D5"/>
    <w:rsid w:val="005A4904"/>
    <w:rsid w:val="005A515A"/>
    <w:rsid w:val="005A704D"/>
    <w:rsid w:val="005B0B63"/>
    <w:rsid w:val="005B3C6B"/>
    <w:rsid w:val="005B3C6D"/>
    <w:rsid w:val="005B4045"/>
    <w:rsid w:val="005B56D2"/>
    <w:rsid w:val="005B609E"/>
    <w:rsid w:val="005B6DF6"/>
    <w:rsid w:val="005B7B7D"/>
    <w:rsid w:val="005C1948"/>
    <w:rsid w:val="005C22F9"/>
    <w:rsid w:val="005C263C"/>
    <w:rsid w:val="005C2679"/>
    <w:rsid w:val="005C3D44"/>
    <w:rsid w:val="005D059A"/>
    <w:rsid w:val="005D07C5"/>
    <w:rsid w:val="005D1B39"/>
    <w:rsid w:val="005D21B7"/>
    <w:rsid w:val="005D296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4614"/>
    <w:rsid w:val="005F52CC"/>
    <w:rsid w:val="005F5E6F"/>
    <w:rsid w:val="005F6BD4"/>
    <w:rsid w:val="005F7188"/>
    <w:rsid w:val="005F7726"/>
    <w:rsid w:val="005F7985"/>
    <w:rsid w:val="00600C54"/>
    <w:rsid w:val="00600CEB"/>
    <w:rsid w:val="00602A78"/>
    <w:rsid w:val="00602A84"/>
    <w:rsid w:val="00602AA1"/>
    <w:rsid w:val="00604367"/>
    <w:rsid w:val="006044BE"/>
    <w:rsid w:val="0060475F"/>
    <w:rsid w:val="006060C2"/>
    <w:rsid w:val="00606A26"/>
    <w:rsid w:val="00607243"/>
    <w:rsid w:val="00607D81"/>
    <w:rsid w:val="00610747"/>
    <w:rsid w:val="00610E03"/>
    <w:rsid w:val="0061176E"/>
    <w:rsid w:val="00613D15"/>
    <w:rsid w:val="00614CD1"/>
    <w:rsid w:val="0061567B"/>
    <w:rsid w:val="0062152A"/>
    <w:rsid w:val="00623583"/>
    <w:rsid w:val="00623E2A"/>
    <w:rsid w:val="0062462F"/>
    <w:rsid w:val="00624BA1"/>
    <w:rsid w:val="00625A4E"/>
    <w:rsid w:val="0062661B"/>
    <w:rsid w:val="006268BF"/>
    <w:rsid w:val="006277C3"/>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4F2B"/>
    <w:rsid w:val="00665B41"/>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1D4B"/>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385F"/>
    <w:rsid w:val="006B48CB"/>
    <w:rsid w:val="006C0F68"/>
    <w:rsid w:val="006C1445"/>
    <w:rsid w:val="006C4FC1"/>
    <w:rsid w:val="006C51A5"/>
    <w:rsid w:val="006C529D"/>
    <w:rsid w:val="006C6A19"/>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6F7EE0"/>
    <w:rsid w:val="0070081A"/>
    <w:rsid w:val="00700AB4"/>
    <w:rsid w:val="00700FCA"/>
    <w:rsid w:val="00701645"/>
    <w:rsid w:val="00702D5A"/>
    <w:rsid w:val="00702EF7"/>
    <w:rsid w:val="00703989"/>
    <w:rsid w:val="007042E9"/>
    <w:rsid w:val="00710039"/>
    <w:rsid w:val="0071118B"/>
    <w:rsid w:val="00711E13"/>
    <w:rsid w:val="00712EDA"/>
    <w:rsid w:val="007136D0"/>
    <w:rsid w:val="007155A9"/>
    <w:rsid w:val="007158E1"/>
    <w:rsid w:val="0071705B"/>
    <w:rsid w:val="00720505"/>
    <w:rsid w:val="00721406"/>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17B"/>
    <w:rsid w:val="00760BE0"/>
    <w:rsid w:val="00761FF1"/>
    <w:rsid w:val="007626D0"/>
    <w:rsid w:val="00764C0B"/>
    <w:rsid w:val="007651CA"/>
    <w:rsid w:val="00767519"/>
    <w:rsid w:val="007704E1"/>
    <w:rsid w:val="00770E5C"/>
    <w:rsid w:val="00771322"/>
    <w:rsid w:val="00772569"/>
    <w:rsid w:val="00772E8C"/>
    <w:rsid w:val="007736D3"/>
    <w:rsid w:val="0077500F"/>
    <w:rsid w:val="0077536D"/>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87E67"/>
    <w:rsid w:val="0079018D"/>
    <w:rsid w:val="00791A00"/>
    <w:rsid w:val="00792CEE"/>
    <w:rsid w:val="007962B4"/>
    <w:rsid w:val="00796F15"/>
    <w:rsid w:val="007A138F"/>
    <w:rsid w:val="007A1640"/>
    <w:rsid w:val="007A1AE4"/>
    <w:rsid w:val="007A257A"/>
    <w:rsid w:val="007A2617"/>
    <w:rsid w:val="007A2ED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C6D69"/>
    <w:rsid w:val="007D05B2"/>
    <w:rsid w:val="007D0C44"/>
    <w:rsid w:val="007D1972"/>
    <w:rsid w:val="007D1F33"/>
    <w:rsid w:val="007D3307"/>
    <w:rsid w:val="007D5E27"/>
    <w:rsid w:val="007D6F64"/>
    <w:rsid w:val="007E22C0"/>
    <w:rsid w:val="007E25AB"/>
    <w:rsid w:val="007E4223"/>
    <w:rsid w:val="007E5AC2"/>
    <w:rsid w:val="007E79C5"/>
    <w:rsid w:val="007F2845"/>
    <w:rsid w:val="007F43BC"/>
    <w:rsid w:val="007F4740"/>
    <w:rsid w:val="007F70D0"/>
    <w:rsid w:val="008006C6"/>
    <w:rsid w:val="00800C52"/>
    <w:rsid w:val="0080153E"/>
    <w:rsid w:val="0080329D"/>
    <w:rsid w:val="0080439F"/>
    <w:rsid w:val="00804623"/>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3C94"/>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58D"/>
    <w:rsid w:val="00867651"/>
    <w:rsid w:val="008743F3"/>
    <w:rsid w:val="0087444A"/>
    <w:rsid w:val="00875139"/>
    <w:rsid w:val="00875410"/>
    <w:rsid w:val="00876052"/>
    <w:rsid w:val="00877F23"/>
    <w:rsid w:val="00880EDF"/>
    <w:rsid w:val="00882DE6"/>
    <w:rsid w:val="00883D4D"/>
    <w:rsid w:val="00884B59"/>
    <w:rsid w:val="008850BA"/>
    <w:rsid w:val="00885876"/>
    <w:rsid w:val="00886185"/>
    <w:rsid w:val="008861D9"/>
    <w:rsid w:val="0088638C"/>
    <w:rsid w:val="00886EDF"/>
    <w:rsid w:val="008908E5"/>
    <w:rsid w:val="00891216"/>
    <w:rsid w:val="00893FFC"/>
    <w:rsid w:val="00894FDC"/>
    <w:rsid w:val="0089716F"/>
    <w:rsid w:val="008A16F9"/>
    <w:rsid w:val="008A1D3E"/>
    <w:rsid w:val="008A2431"/>
    <w:rsid w:val="008A4B16"/>
    <w:rsid w:val="008A4D63"/>
    <w:rsid w:val="008A5939"/>
    <w:rsid w:val="008A6D62"/>
    <w:rsid w:val="008B13E9"/>
    <w:rsid w:val="008B3B51"/>
    <w:rsid w:val="008B4057"/>
    <w:rsid w:val="008B4145"/>
    <w:rsid w:val="008B5290"/>
    <w:rsid w:val="008C07FF"/>
    <w:rsid w:val="008C2CFD"/>
    <w:rsid w:val="008C3F56"/>
    <w:rsid w:val="008C5D47"/>
    <w:rsid w:val="008C603A"/>
    <w:rsid w:val="008C71C8"/>
    <w:rsid w:val="008D167D"/>
    <w:rsid w:val="008D492A"/>
    <w:rsid w:val="008D4B58"/>
    <w:rsid w:val="008D4B8A"/>
    <w:rsid w:val="008D51CF"/>
    <w:rsid w:val="008D6541"/>
    <w:rsid w:val="008D7D7B"/>
    <w:rsid w:val="008E0F52"/>
    <w:rsid w:val="008E2316"/>
    <w:rsid w:val="008E34BE"/>
    <w:rsid w:val="008E42CE"/>
    <w:rsid w:val="008E42F4"/>
    <w:rsid w:val="008E5657"/>
    <w:rsid w:val="008E5E51"/>
    <w:rsid w:val="008F00DB"/>
    <w:rsid w:val="008F1264"/>
    <w:rsid w:val="008F1F9B"/>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376C2"/>
    <w:rsid w:val="009411FB"/>
    <w:rsid w:val="009412D0"/>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17A4"/>
    <w:rsid w:val="00992343"/>
    <w:rsid w:val="00996306"/>
    <w:rsid w:val="00996744"/>
    <w:rsid w:val="00997CF4"/>
    <w:rsid w:val="009A0C5B"/>
    <w:rsid w:val="009A1169"/>
    <w:rsid w:val="009A1AAC"/>
    <w:rsid w:val="009A3789"/>
    <w:rsid w:val="009A38FF"/>
    <w:rsid w:val="009A42FE"/>
    <w:rsid w:val="009A45A2"/>
    <w:rsid w:val="009A6919"/>
    <w:rsid w:val="009A6AC7"/>
    <w:rsid w:val="009B0408"/>
    <w:rsid w:val="009B0843"/>
    <w:rsid w:val="009B1E47"/>
    <w:rsid w:val="009B2CED"/>
    <w:rsid w:val="009B335D"/>
    <w:rsid w:val="009B7A72"/>
    <w:rsid w:val="009B7BB8"/>
    <w:rsid w:val="009C0F3D"/>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6F6C"/>
    <w:rsid w:val="009D79F4"/>
    <w:rsid w:val="009E3CD1"/>
    <w:rsid w:val="009E5AF5"/>
    <w:rsid w:val="009E5EB5"/>
    <w:rsid w:val="009E74F0"/>
    <w:rsid w:val="009F0768"/>
    <w:rsid w:val="009F7867"/>
    <w:rsid w:val="009F7D66"/>
    <w:rsid w:val="00A00BD2"/>
    <w:rsid w:val="00A00E56"/>
    <w:rsid w:val="00A027F3"/>
    <w:rsid w:val="00A03978"/>
    <w:rsid w:val="00A04D7E"/>
    <w:rsid w:val="00A051D9"/>
    <w:rsid w:val="00A0541F"/>
    <w:rsid w:val="00A05DF3"/>
    <w:rsid w:val="00A07E08"/>
    <w:rsid w:val="00A10AD8"/>
    <w:rsid w:val="00A1175C"/>
    <w:rsid w:val="00A12798"/>
    <w:rsid w:val="00A153BE"/>
    <w:rsid w:val="00A15DEE"/>
    <w:rsid w:val="00A167B5"/>
    <w:rsid w:val="00A16DBE"/>
    <w:rsid w:val="00A17C4F"/>
    <w:rsid w:val="00A20653"/>
    <w:rsid w:val="00A20A39"/>
    <w:rsid w:val="00A238BD"/>
    <w:rsid w:val="00A243E4"/>
    <w:rsid w:val="00A2459D"/>
    <w:rsid w:val="00A24E23"/>
    <w:rsid w:val="00A25F05"/>
    <w:rsid w:val="00A26C85"/>
    <w:rsid w:val="00A30B2D"/>
    <w:rsid w:val="00A311AE"/>
    <w:rsid w:val="00A312A6"/>
    <w:rsid w:val="00A3130E"/>
    <w:rsid w:val="00A324CF"/>
    <w:rsid w:val="00A32E8B"/>
    <w:rsid w:val="00A32ED6"/>
    <w:rsid w:val="00A344A5"/>
    <w:rsid w:val="00A346C3"/>
    <w:rsid w:val="00A42D07"/>
    <w:rsid w:val="00A44F6B"/>
    <w:rsid w:val="00A4503E"/>
    <w:rsid w:val="00A450C0"/>
    <w:rsid w:val="00A45468"/>
    <w:rsid w:val="00A4791B"/>
    <w:rsid w:val="00A50A48"/>
    <w:rsid w:val="00A51242"/>
    <w:rsid w:val="00A51522"/>
    <w:rsid w:val="00A51573"/>
    <w:rsid w:val="00A51A5E"/>
    <w:rsid w:val="00A52895"/>
    <w:rsid w:val="00A52B95"/>
    <w:rsid w:val="00A53560"/>
    <w:rsid w:val="00A53DA0"/>
    <w:rsid w:val="00A5404D"/>
    <w:rsid w:val="00A5765D"/>
    <w:rsid w:val="00A6001F"/>
    <w:rsid w:val="00A607CB"/>
    <w:rsid w:val="00A6351F"/>
    <w:rsid w:val="00A640C1"/>
    <w:rsid w:val="00A64547"/>
    <w:rsid w:val="00A65A70"/>
    <w:rsid w:val="00A66F36"/>
    <w:rsid w:val="00A676D9"/>
    <w:rsid w:val="00A67EFC"/>
    <w:rsid w:val="00A7031E"/>
    <w:rsid w:val="00A71140"/>
    <w:rsid w:val="00A73C8F"/>
    <w:rsid w:val="00A74692"/>
    <w:rsid w:val="00A7618B"/>
    <w:rsid w:val="00A7640B"/>
    <w:rsid w:val="00A7778B"/>
    <w:rsid w:val="00A803BC"/>
    <w:rsid w:val="00A80969"/>
    <w:rsid w:val="00A86EA7"/>
    <w:rsid w:val="00A901DA"/>
    <w:rsid w:val="00A9071C"/>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CEE"/>
    <w:rsid w:val="00AB0872"/>
    <w:rsid w:val="00AB0A32"/>
    <w:rsid w:val="00AB0E56"/>
    <w:rsid w:val="00AB16D3"/>
    <w:rsid w:val="00AB2AD8"/>
    <w:rsid w:val="00AB33C3"/>
    <w:rsid w:val="00AB3A15"/>
    <w:rsid w:val="00AB4ECC"/>
    <w:rsid w:val="00AB53B7"/>
    <w:rsid w:val="00AB6601"/>
    <w:rsid w:val="00AB674E"/>
    <w:rsid w:val="00AB6D79"/>
    <w:rsid w:val="00AB7806"/>
    <w:rsid w:val="00AC02C1"/>
    <w:rsid w:val="00AC0AB6"/>
    <w:rsid w:val="00AC10AD"/>
    <w:rsid w:val="00AC1E55"/>
    <w:rsid w:val="00AC3D06"/>
    <w:rsid w:val="00AC429F"/>
    <w:rsid w:val="00AC4B65"/>
    <w:rsid w:val="00AC535E"/>
    <w:rsid w:val="00AC60B4"/>
    <w:rsid w:val="00AD00C5"/>
    <w:rsid w:val="00AD165F"/>
    <w:rsid w:val="00AD2794"/>
    <w:rsid w:val="00AD2DC5"/>
    <w:rsid w:val="00AD3455"/>
    <w:rsid w:val="00AD3CAD"/>
    <w:rsid w:val="00AD3DAD"/>
    <w:rsid w:val="00AD57CD"/>
    <w:rsid w:val="00AD69FF"/>
    <w:rsid w:val="00AD702B"/>
    <w:rsid w:val="00AD711C"/>
    <w:rsid w:val="00AD72E6"/>
    <w:rsid w:val="00AD7C95"/>
    <w:rsid w:val="00AE02C3"/>
    <w:rsid w:val="00AE3DE1"/>
    <w:rsid w:val="00AE78D1"/>
    <w:rsid w:val="00AF2D54"/>
    <w:rsid w:val="00AF3458"/>
    <w:rsid w:val="00AF3F7B"/>
    <w:rsid w:val="00AF42B4"/>
    <w:rsid w:val="00AF4B8A"/>
    <w:rsid w:val="00AF4F1B"/>
    <w:rsid w:val="00AF5EC6"/>
    <w:rsid w:val="00AF6257"/>
    <w:rsid w:val="00AF6E8A"/>
    <w:rsid w:val="00AF7213"/>
    <w:rsid w:val="00AF7D92"/>
    <w:rsid w:val="00B011CC"/>
    <w:rsid w:val="00B04048"/>
    <w:rsid w:val="00B04F3D"/>
    <w:rsid w:val="00B05702"/>
    <w:rsid w:val="00B06DD9"/>
    <w:rsid w:val="00B07220"/>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5A0"/>
    <w:rsid w:val="00B326A8"/>
    <w:rsid w:val="00B329EB"/>
    <w:rsid w:val="00B33508"/>
    <w:rsid w:val="00B3377E"/>
    <w:rsid w:val="00B35DA4"/>
    <w:rsid w:val="00B40A96"/>
    <w:rsid w:val="00B4184B"/>
    <w:rsid w:val="00B422A7"/>
    <w:rsid w:val="00B42A32"/>
    <w:rsid w:val="00B42FA6"/>
    <w:rsid w:val="00B4399E"/>
    <w:rsid w:val="00B43A16"/>
    <w:rsid w:val="00B43CC5"/>
    <w:rsid w:val="00B45CE1"/>
    <w:rsid w:val="00B46A75"/>
    <w:rsid w:val="00B500CD"/>
    <w:rsid w:val="00B5239C"/>
    <w:rsid w:val="00B52CFB"/>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1826"/>
    <w:rsid w:val="00B82613"/>
    <w:rsid w:val="00B828B5"/>
    <w:rsid w:val="00B82ED8"/>
    <w:rsid w:val="00B845D0"/>
    <w:rsid w:val="00B8489C"/>
    <w:rsid w:val="00B84E9C"/>
    <w:rsid w:val="00B85522"/>
    <w:rsid w:val="00B8774F"/>
    <w:rsid w:val="00B90E2A"/>
    <w:rsid w:val="00B90F2A"/>
    <w:rsid w:val="00B9198D"/>
    <w:rsid w:val="00B93008"/>
    <w:rsid w:val="00B9406D"/>
    <w:rsid w:val="00B94BA7"/>
    <w:rsid w:val="00B94E0E"/>
    <w:rsid w:val="00B97CA3"/>
    <w:rsid w:val="00BA1ADE"/>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27A3"/>
    <w:rsid w:val="00BD3E68"/>
    <w:rsid w:val="00BD4EE6"/>
    <w:rsid w:val="00BD598A"/>
    <w:rsid w:val="00BD6BC4"/>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4007"/>
    <w:rsid w:val="00BF711C"/>
    <w:rsid w:val="00BF748E"/>
    <w:rsid w:val="00BF789B"/>
    <w:rsid w:val="00C03309"/>
    <w:rsid w:val="00C0360A"/>
    <w:rsid w:val="00C041CF"/>
    <w:rsid w:val="00C072FE"/>
    <w:rsid w:val="00C12E39"/>
    <w:rsid w:val="00C14164"/>
    <w:rsid w:val="00C15D8E"/>
    <w:rsid w:val="00C17012"/>
    <w:rsid w:val="00C178FB"/>
    <w:rsid w:val="00C22B28"/>
    <w:rsid w:val="00C257B7"/>
    <w:rsid w:val="00C27115"/>
    <w:rsid w:val="00C272E8"/>
    <w:rsid w:val="00C2754B"/>
    <w:rsid w:val="00C33359"/>
    <w:rsid w:val="00C33830"/>
    <w:rsid w:val="00C339EA"/>
    <w:rsid w:val="00C348D6"/>
    <w:rsid w:val="00C365E7"/>
    <w:rsid w:val="00C36E34"/>
    <w:rsid w:val="00C404EE"/>
    <w:rsid w:val="00C4171B"/>
    <w:rsid w:val="00C42689"/>
    <w:rsid w:val="00C42988"/>
    <w:rsid w:val="00C42BD4"/>
    <w:rsid w:val="00C42FB2"/>
    <w:rsid w:val="00C43FF0"/>
    <w:rsid w:val="00C44641"/>
    <w:rsid w:val="00C45EF5"/>
    <w:rsid w:val="00C4604F"/>
    <w:rsid w:val="00C46B7E"/>
    <w:rsid w:val="00C50A4E"/>
    <w:rsid w:val="00C520B1"/>
    <w:rsid w:val="00C522D6"/>
    <w:rsid w:val="00C52C52"/>
    <w:rsid w:val="00C52D38"/>
    <w:rsid w:val="00C53E39"/>
    <w:rsid w:val="00C54020"/>
    <w:rsid w:val="00C5406F"/>
    <w:rsid w:val="00C545C5"/>
    <w:rsid w:val="00C54F35"/>
    <w:rsid w:val="00C55566"/>
    <w:rsid w:val="00C57A01"/>
    <w:rsid w:val="00C61D4B"/>
    <w:rsid w:val="00C62B0A"/>
    <w:rsid w:val="00C63F08"/>
    <w:rsid w:val="00C6528C"/>
    <w:rsid w:val="00C661E8"/>
    <w:rsid w:val="00C70084"/>
    <w:rsid w:val="00C72162"/>
    <w:rsid w:val="00C7235B"/>
    <w:rsid w:val="00C72E18"/>
    <w:rsid w:val="00C731AD"/>
    <w:rsid w:val="00C7380B"/>
    <w:rsid w:val="00C74421"/>
    <w:rsid w:val="00C75F2F"/>
    <w:rsid w:val="00C75FEE"/>
    <w:rsid w:val="00C76538"/>
    <w:rsid w:val="00C76F1D"/>
    <w:rsid w:val="00C773A9"/>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3B39"/>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5F0"/>
    <w:rsid w:val="00CD078F"/>
    <w:rsid w:val="00CD121E"/>
    <w:rsid w:val="00CD28F0"/>
    <w:rsid w:val="00CD3ED8"/>
    <w:rsid w:val="00CD761D"/>
    <w:rsid w:val="00CD76B5"/>
    <w:rsid w:val="00CE2346"/>
    <w:rsid w:val="00CE6F0F"/>
    <w:rsid w:val="00CE724E"/>
    <w:rsid w:val="00CF002F"/>
    <w:rsid w:val="00CF0246"/>
    <w:rsid w:val="00CF0B1C"/>
    <w:rsid w:val="00CF2483"/>
    <w:rsid w:val="00CF24E2"/>
    <w:rsid w:val="00CF3594"/>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074AB"/>
    <w:rsid w:val="00D12325"/>
    <w:rsid w:val="00D14487"/>
    <w:rsid w:val="00D15E7E"/>
    <w:rsid w:val="00D20016"/>
    <w:rsid w:val="00D207A7"/>
    <w:rsid w:val="00D2081E"/>
    <w:rsid w:val="00D2279F"/>
    <w:rsid w:val="00D22AF1"/>
    <w:rsid w:val="00D22E93"/>
    <w:rsid w:val="00D242DA"/>
    <w:rsid w:val="00D247EC"/>
    <w:rsid w:val="00D2614B"/>
    <w:rsid w:val="00D26448"/>
    <w:rsid w:val="00D264CE"/>
    <w:rsid w:val="00D26670"/>
    <w:rsid w:val="00D27530"/>
    <w:rsid w:val="00D27B8B"/>
    <w:rsid w:val="00D31B6E"/>
    <w:rsid w:val="00D3232B"/>
    <w:rsid w:val="00D3239F"/>
    <w:rsid w:val="00D324A4"/>
    <w:rsid w:val="00D3250C"/>
    <w:rsid w:val="00D328F6"/>
    <w:rsid w:val="00D3462C"/>
    <w:rsid w:val="00D35198"/>
    <w:rsid w:val="00D3584B"/>
    <w:rsid w:val="00D361D4"/>
    <w:rsid w:val="00D37E1F"/>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6F96"/>
    <w:rsid w:val="00D77413"/>
    <w:rsid w:val="00D81F10"/>
    <w:rsid w:val="00D84A57"/>
    <w:rsid w:val="00D86159"/>
    <w:rsid w:val="00D874DF"/>
    <w:rsid w:val="00D87A12"/>
    <w:rsid w:val="00D90408"/>
    <w:rsid w:val="00D930E1"/>
    <w:rsid w:val="00D9415C"/>
    <w:rsid w:val="00D942CC"/>
    <w:rsid w:val="00D94D87"/>
    <w:rsid w:val="00D9620A"/>
    <w:rsid w:val="00D962DC"/>
    <w:rsid w:val="00DA180C"/>
    <w:rsid w:val="00DA30D2"/>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59F1"/>
    <w:rsid w:val="00DE737B"/>
    <w:rsid w:val="00DE737F"/>
    <w:rsid w:val="00DF100B"/>
    <w:rsid w:val="00DF4359"/>
    <w:rsid w:val="00DF73C1"/>
    <w:rsid w:val="00DF7751"/>
    <w:rsid w:val="00E031BB"/>
    <w:rsid w:val="00E0576C"/>
    <w:rsid w:val="00E068BC"/>
    <w:rsid w:val="00E073F0"/>
    <w:rsid w:val="00E07538"/>
    <w:rsid w:val="00E10761"/>
    <w:rsid w:val="00E11D7A"/>
    <w:rsid w:val="00E11EEB"/>
    <w:rsid w:val="00E128F2"/>
    <w:rsid w:val="00E13EE4"/>
    <w:rsid w:val="00E15D3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239"/>
    <w:rsid w:val="00E428E5"/>
    <w:rsid w:val="00E4608B"/>
    <w:rsid w:val="00E46D7F"/>
    <w:rsid w:val="00E501D3"/>
    <w:rsid w:val="00E53A01"/>
    <w:rsid w:val="00E55AF3"/>
    <w:rsid w:val="00E561AD"/>
    <w:rsid w:val="00E561F7"/>
    <w:rsid w:val="00E564C4"/>
    <w:rsid w:val="00E567C9"/>
    <w:rsid w:val="00E604C4"/>
    <w:rsid w:val="00E60809"/>
    <w:rsid w:val="00E61300"/>
    <w:rsid w:val="00E61927"/>
    <w:rsid w:val="00E635B9"/>
    <w:rsid w:val="00E63C10"/>
    <w:rsid w:val="00E653BD"/>
    <w:rsid w:val="00E65D15"/>
    <w:rsid w:val="00E66383"/>
    <w:rsid w:val="00E67719"/>
    <w:rsid w:val="00E67EE5"/>
    <w:rsid w:val="00E7013A"/>
    <w:rsid w:val="00E727AF"/>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2433"/>
    <w:rsid w:val="00E941FD"/>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2E19"/>
    <w:rsid w:val="00EB584C"/>
    <w:rsid w:val="00EB5863"/>
    <w:rsid w:val="00EB5D88"/>
    <w:rsid w:val="00EB6C07"/>
    <w:rsid w:val="00EB7307"/>
    <w:rsid w:val="00EC14B0"/>
    <w:rsid w:val="00EC204E"/>
    <w:rsid w:val="00EC249E"/>
    <w:rsid w:val="00EC2CFF"/>
    <w:rsid w:val="00EC441D"/>
    <w:rsid w:val="00EC5F2F"/>
    <w:rsid w:val="00EC651E"/>
    <w:rsid w:val="00EC6927"/>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0F24"/>
    <w:rsid w:val="00EF1093"/>
    <w:rsid w:val="00EF1FCB"/>
    <w:rsid w:val="00EF21C3"/>
    <w:rsid w:val="00EF2E6B"/>
    <w:rsid w:val="00EF6199"/>
    <w:rsid w:val="00EF6A2C"/>
    <w:rsid w:val="00F0030E"/>
    <w:rsid w:val="00F00313"/>
    <w:rsid w:val="00F00CD1"/>
    <w:rsid w:val="00F01E6B"/>
    <w:rsid w:val="00F0241C"/>
    <w:rsid w:val="00F05759"/>
    <w:rsid w:val="00F10A13"/>
    <w:rsid w:val="00F10CB9"/>
    <w:rsid w:val="00F110D5"/>
    <w:rsid w:val="00F12351"/>
    <w:rsid w:val="00F14A1C"/>
    <w:rsid w:val="00F16739"/>
    <w:rsid w:val="00F16DE2"/>
    <w:rsid w:val="00F2052B"/>
    <w:rsid w:val="00F2260F"/>
    <w:rsid w:val="00F242AD"/>
    <w:rsid w:val="00F247F2"/>
    <w:rsid w:val="00F252A8"/>
    <w:rsid w:val="00F265F7"/>
    <w:rsid w:val="00F27FA6"/>
    <w:rsid w:val="00F31B2A"/>
    <w:rsid w:val="00F33DC8"/>
    <w:rsid w:val="00F34444"/>
    <w:rsid w:val="00F4065A"/>
    <w:rsid w:val="00F4275C"/>
    <w:rsid w:val="00F45693"/>
    <w:rsid w:val="00F52339"/>
    <w:rsid w:val="00F5277A"/>
    <w:rsid w:val="00F532E8"/>
    <w:rsid w:val="00F537FF"/>
    <w:rsid w:val="00F54E36"/>
    <w:rsid w:val="00F560FE"/>
    <w:rsid w:val="00F56C62"/>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6637"/>
    <w:rsid w:val="00F87032"/>
    <w:rsid w:val="00F87094"/>
    <w:rsid w:val="00F87AB3"/>
    <w:rsid w:val="00F913DC"/>
    <w:rsid w:val="00F91DDA"/>
    <w:rsid w:val="00F9397A"/>
    <w:rsid w:val="00F93A37"/>
    <w:rsid w:val="00F94182"/>
    <w:rsid w:val="00F94323"/>
    <w:rsid w:val="00F944D9"/>
    <w:rsid w:val="00F94DB3"/>
    <w:rsid w:val="00F94E5B"/>
    <w:rsid w:val="00F96500"/>
    <w:rsid w:val="00F96B68"/>
    <w:rsid w:val="00F975B8"/>
    <w:rsid w:val="00FA0F35"/>
    <w:rsid w:val="00FA185D"/>
    <w:rsid w:val="00FA413A"/>
    <w:rsid w:val="00FA4144"/>
    <w:rsid w:val="00FA4DDF"/>
    <w:rsid w:val="00FA6E7F"/>
    <w:rsid w:val="00FA7114"/>
    <w:rsid w:val="00FB2379"/>
    <w:rsid w:val="00FB266B"/>
    <w:rsid w:val="00FB3F15"/>
    <w:rsid w:val="00FB4B8A"/>
    <w:rsid w:val="00FB5152"/>
    <w:rsid w:val="00FB680E"/>
    <w:rsid w:val="00FC0065"/>
    <w:rsid w:val="00FC062F"/>
    <w:rsid w:val="00FC3695"/>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4154"/>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BFB1D090-FA7D-49E1-8844-231A89D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6C0F6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4547945">
      <w:bodyDiv w:val="1"/>
      <w:marLeft w:val="0"/>
      <w:marRight w:val="0"/>
      <w:marTop w:val="0"/>
      <w:marBottom w:val="0"/>
      <w:divBdr>
        <w:top w:val="none" w:sz="0" w:space="0" w:color="auto"/>
        <w:left w:val="none" w:sz="0" w:space="0" w:color="auto"/>
        <w:bottom w:val="none" w:sz="0" w:space="0" w:color="auto"/>
        <w:right w:val="none" w:sz="0" w:space="0" w:color="auto"/>
      </w:divBdr>
      <w:divsChild>
        <w:div w:id="419913398">
          <w:marLeft w:val="547"/>
          <w:marRight w:val="0"/>
          <w:marTop w:val="0"/>
          <w:marBottom w:val="0"/>
          <w:divBdr>
            <w:top w:val="none" w:sz="0" w:space="0" w:color="auto"/>
            <w:left w:val="none" w:sz="0" w:space="0" w:color="auto"/>
            <w:bottom w:val="none" w:sz="0" w:space="0" w:color="auto"/>
            <w:right w:val="none" w:sz="0" w:space="0" w:color="auto"/>
          </w:divBdr>
        </w:div>
        <w:div w:id="829563559">
          <w:marLeft w:val="1166"/>
          <w:marRight w:val="0"/>
          <w:marTop w:val="0"/>
          <w:marBottom w:val="0"/>
          <w:divBdr>
            <w:top w:val="none" w:sz="0" w:space="0" w:color="auto"/>
            <w:left w:val="none" w:sz="0" w:space="0" w:color="auto"/>
            <w:bottom w:val="none" w:sz="0" w:space="0" w:color="auto"/>
            <w:right w:val="none" w:sz="0" w:space="0" w:color="auto"/>
          </w:divBdr>
        </w:div>
        <w:div w:id="1937981696">
          <w:marLeft w:val="1800"/>
          <w:marRight w:val="0"/>
          <w:marTop w:val="0"/>
          <w:marBottom w:val="0"/>
          <w:divBdr>
            <w:top w:val="none" w:sz="0" w:space="0" w:color="auto"/>
            <w:left w:val="none" w:sz="0" w:space="0" w:color="auto"/>
            <w:bottom w:val="none" w:sz="0" w:space="0" w:color="auto"/>
            <w:right w:val="none" w:sz="0" w:space="0" w:color="auto"/>
          </w:divBdr>
        </w:div>
        <w:div w:id="249703487">
          <w:marLeft w:val="1800"/>
          <w:marRight w:val="0"/>
          <w:marTop w:val="0"/>
          <w:marBottom w:val="0"/>
          <w:divBdr>
            <w:top w:val="none" w:sz="0" w:space="0" w:color="auto"/>
            <w:left w:val="none" w:sz="0" w:space="0" w:color="auto"/>
            <w:bottom w:val="none" w:sz="0" w:space="0" w:color="auto"/>
            <w:right w:val="none" w:sz="0" w:space="0" w:color="auto"/>
          </w:divBdr>
        </w:div>
        <w:div w:id="847862981">
          <w:marLeft w:val="1800"/>
          <w:marRight w:val="0"/>
          <w:marTop w:val="0"/>
          <w:marBottom w:val="0"/>
          <w:divBdr>
            <w:top w:val="none" w:sz="0" w:space="0" w:color="auto"/>
            <w:left w:val="none" w:sz="0" w:space="0" w:color="auto"/>
            <w:bottom w:val="none" w:sz="0" w:space="0" w:color="auto"/>
            <w:right w:val="none" w:sz="0" w:space="0" w:color="auto"/>
          </w:divBdr>
        </w:div>
        <w:div w:id="1684045544">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9371713">
      <w:bodyDiv w:val="1"/>
      <w:marLeft w:val="0"/>
      <w:marRight w:val="0"/>
      <w:marTop w:val="0"/>
      <w:marBottom w:val="0"/>
      <w:divBdr>
        <w:top w:val="none" w:sz="0" w:space="0" w:color="auto"/>
        <w:left w:val="none" w:sz="0" w:space="0" w:color="auto"/>
        <w:bottom w:val="none" w:sz="0" w:space="0" w:color="auto"/>
        <w:right w:val="none" w:sz="0" w:space="0" w:color="auto"/>
      </w:divBdr>
      <w:divsChild>
        <w:div w:id="541677763">
          <w:marLeft w:val="547"/>
          <w:marRight w:val="0"/>
          <w:marTop w:val="0"/>
          <w:marBottom w:val="0"/>
          <w:divBdr>
            <w:top w:val="none" w:sz="0" w:space="0" w:color="auto"/>
            <w:left w:val="none" w:sz="0" w:space="0" w:color="auto"/>
            <w:bottom w:val="none" w:sz="0" w:space="0" w:color="auto"/>
            <w:right w:val="none" w:sz="0" w:space="0" w:color="auto"/>
          </w:divBdr>
        </w:div>
        <w:div w:id="365568213">
          <w:marLeft w:val="1166"/>
          <w:marRight w:val="0"/>
          <w:marTop w:val="0"/>
          <w:marBottom w:val="0"/>
          <w:divBdr>
            <w:top w:val="none" w:sz="0" w:space="0" w:color="auto"/>
            <w:left w:val="none" w:sz="0" w:space="0" w:color="auto"/>
            <w:bottom w:val="none" w:sz="0" w:space="0" w:color="auto"/>
            <w:right w:val="none" w:sz="0" w:space="0" w:color="auto"/>
          </w:divBdr>
        </w:div>
        <w:div w:id="1908177830">
          <w:marLeft w:val="1166"/>
          <w:marRight w:val="0"/>
          <w:marTop w:val="0"/>
          <w:marBottom w:val="0"/>
          <w:divBdr>
            <w:top w:val="none" w:sz="0" w:space="0" w:color="auto"/>
            <w:left w:val="none" w:sz="0" w:space="0" w:color="auto"/>
            <w:bottom w:val="none" w:sz="0" w:space="0" w:color="auto"/>
            <w:right w:val="none" w:sz="0" w:space="0" w:color="auto"/>
          </w:divBdr>
        </w:div>
        <w:div w:id="982656188">
          <w:marLeft w:val="1166"/>
          <w:marRight w:val="0"/>
          <w:marTop w:val="0"/>
          <w:marBottom w:val="0"/>
          <w:divBdr>
            <w:top w:val="none" w:sz="0" w:space="0" w:color="auto"/>
            <w:left w:val="none" w:sz="0" w:space="0" w:color="auto"/>
            <w:bottom w:val="none" w:sz="0" w:space="0" w:color="auto"/>
            <w:right w:val="none" w:sz="0" w:space="0" w:color="auto"/>
          </w:divBdr>
        </w:div>
        <w:div w:id="346254682">
          <w:marLeft w:val="547"/>
          <w:marRight w:val="0"/>
          <w:marTop w:val="0"/>
          <w:marBottom w:val="0"/>
          <w:divBdr>
            <w:top w:val="none" w:sz="0" w:space="0" w:color="auto"/>
            <w:left w:val="none" w:sz="0" w:space="0" w:color="auto"/>
            <w:bottom w:val="none" w:sz="0" w:space="0" w:color="auto"/>
            <w:right w:val="none" w:sz="0" w:space="0" w:color="auto"/>
          </w:divBdr>
        </w:div>
        <w:div w:id="797844496">
          <w:marLeft w:val="1166"/>
          <w:marRight w:val="0"/>
          <w:marTop w:val="0"/>
          <w:marBottom w:val="0"/>
          <w:divBdr>
            <w:top w:val="none" w:sz="0" w:space="0" w:color="auto"/>
            <w:left w:val="none" w:sz="0" w:space="0" w:color="auto"/>
            <w:bottom w:val="none" w:sz="0" w:space="0" w:color="auto"/>
            <w:right w:val="none" w:sz="0" w:space="0" w:color="auto"/>
          </w:divBdr>
        </w:div>
        <w:div w:id="1200439179">
          <w:marLeft w:val="1166"/>
          <w:marRight w:val="0"/>
          <w:marTop w:val="0"/>
          <w:marBottom w:val="0"/>
          <w:divBdr>
            <w:top w:val="none" w:sz="0" w:space="0" w:color="auto"/>
            <w:left w:val="none" w:sz="0" w:space="0" w:color="auto"/>
            <w:bottom w:val="none" w:sz="0" w:space="0" w:color="auto"/>
            <w:right w:val="none" w:sz="0" w:space="0" w:color="auto"/>
          </w:divBdr>
        </w:div>
        <w:div w:id="250354040">
          <w:marLeft w:val="1166"/>
          <w:marRight w:val="0"/>
          <w:marTop w:val="0"/>
          <w:marBottom w:val="0"/>
          <w:divBdr>
            <w:top w:val="none" w:sz="0" w:space="0" w:color="auto"/>
            <w:left w:val="none" w:sz="0" w:space="0" w:color="auto"/>
            <w:bottom w:val="none" w:sz="0" w:space="0" w:color="auto"/>
            <w:right w:val="none" w:sz="0" w:space="0" w:color="auto"/>
          </w:divBdr>
        </w:div>
        <w:div w:id="240717836">
          <w:marLeft w:val="547"/>
          <w:marRight w:val="0"/>
          <w:marTop w:val="0"/>
          <w:marBottom w:val="0"/>
          <w:divBdr>
            <w:top w:val="none" w:sz="0" w:space="0" w:color="auto"/>
            <w:left w:val="none" w:sz="0" w:space="0" w:color="auto"/>
            <w:bottom w:val="none" w:sz="0" w:space="0" w:color="auto"/>
            <w:right w:val="none" w:sz="0" w:space="0" w:color="auto"/>
          </w:divBdr>
        </w:div>
        <w:div w:id="1798062632">
          <w:marLeft w:val="1166"/>
          <w:marRight w:val="0"/>
          <w:marTop w:val="0"/>
          <w:marBottom w:val="0"/>
          <w:divBdr>
            <w:top w:val="none" w:sz="0" w:space="0" w:color="auto"/>
            <w:left w:val="none" w:sz="0" w:space="0" w:color="auto"/>
            <w:bottom w:val="none" w:sz="0" w:space="0" w:color="auto"/>
            <w:right w:val="none" w:sz="0" w:space="0" w:color="auto"/>
          </w:divBdr>
        </w:div>
        <w:div w:id="1531071219">
          <w:marLeft w:val="1800"/>
          <w:marRight w:val="0"/>
          <w:marTop w:val="0"/>
          <w:marBottom w:val="0"/>
          <w:divBdr>
            <w:top w:val="none" w:sz="0" w:space="0" w:color="auto"/>
            <w:left w:val="none" w:sz="0" w:space="0" w:color="auto"/>
            <w:bottom w:val="none" w:sz="0" w:space="0" w:color="auto"/>
            <w:right w:val="none" w:sz="0" w:space="0" w:color="auto"/>
          </w:divBdr>
        </w:div>
        <w:div w:id="790976228">
          <w:marLeft w:val="1166"/>
          <w:marRight w:val="0"/>
          <w:marTop w:val="0"/>
          <w:marBottom w:val="0"/>
          <w:divBdr>
            <w:top w:val="none" w:sz="0" w:space="0" w:color="auto"/>
            <w:left w:val="none" w:sz="0" w:space="0" w:color="auto"/>
            <w:bottom w:val="none" w:sz="0" w:space="0" w:color="auto"/>
            <w:right w:val="none" w:sz="0" w:space="0" w:color="auto"/>
          </w:divBdr>
        </w:div>
        <w:div w:id="1977450033">
          <w:marLeft w:val="547"/>
          <w:marRight w:val="0"/>
          <w:marTop w:val="0"/>
          <w:marBottom w:val="0"/>
          <w:divBdr>
            <w:top w:val="none" w:sz="0" w:space="0" w:color="auto"/>
            <w:left w:val="none" w:sz="0" w:space="0" w:color="auto"/>
            <w:bottom w:val="none" w:sz="0" w:space="0" w:color="auto"/>
            <w:right w:val="none" w:sz="0" w:space="0" w:color="auto"/>
          </w:divBdr>
        </w:div>
        <w:div w:id="525102615">
          <w:marLeft w:val="1166"/>
          <w:marRight w:val="0"/>
          <w:marTop w:val="0"/>
          <w:marBottom w:val="0"/>
          <w:divBdr>
            <w:top w:val="none" w:sz="0" w:space="0" w:color="auto"/>
            <w:left w:val="none" w:sz="0" w:space="0" w:color="auto"/>
            <w:bottom w:val="none" w:sz="0" w:space="0" w:color="auto"/>
            <w:right w:val="none" w:sz="0" w:space="0" w:color="auto"/>
          </w:divBdr>
        </w:div>
        <w:div w:id="770316683">
          <w:marLeft w:val="1166"/>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881843">
      <w:bodyDiv w:val="1"/>
      <w:marLeft w:val="0"/>
      <w:marRight w:val="0"/>
      <w:marTop w:val="0"/>
      <w:marBottom w:val="0"/>
      <w:divBdr>
        <w:top w:val="none" w:sz="0" w:space="0" w:color="auto"/>
        <w:left w:val="none" w:sz="0" w:space="0" w:color="auto"/>
        <w:bottom w:val="none" w:sz="0" w:space="0" w:color="auto"/>
        <w:right w:val="none" w:sz="0" w:space="0" w:color="auto"/>
      </w:divBdr>
    </w:div>
    <w:div w:id="1964998377">
      <w:bodyDiv w:val="1"/>
      <w:marLeft w:val="0"/>
      <w:marRight w:val="0"/>
      <w:marTop w:val="0"/>
      <w:marBottom w:val="0"/>
      <w:divBdr>
        <w:top w:val="none" w:sz="0" w:space="0" w:color="auto"/>
        <w:left w:val="none" w:sz="0" w:space="0" w:color="auto"/>
        <w:bottom w:val="none" w:sz="0" w:space="0" w:color="auto"/>
        <w:right w:val="none" w:sz="0" w:space="0" w:color="auto"/>
      </w:divBdr>
      <w:divsChild>
        <w:div w:id="1411735922">
          <w:marLeft w:val="547"/>
          <w:marRight w:val="0"/>
          <w:marTop w:val="0"/>
          <w:marBottom w:val="0"/>
          <w:divBdr>
            <w:top w:val="none" w:sz="0" w:space="0" w:color="auto"/>
            <w:left w:val="none" w:sz="0" w:space="0" w:color="auto"/>
            <w:bottom w:val="none" w:sz="0" w:space="0" w:color="auto"/>
            <w:right w:val="none" w:sz="0" w:space="0" w:color="auto"/>
          </w:divBdr>
        </w:div>
        <w:div w:id="862091526">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SP-5AIRPNAIUNRU-1830940522-1298</_dlc_DocId>
    <_dlc_DocIdUrl xmlns="71c5aaf6-e6ce-465b-b873-5148d2a4c105">
      <Url>https://nokia.sharepoint.com/sites/c5g/5gradio/_layouts/15/DocIdRedir.aspx?ID=SP-5AIRPNAIUNRU-1830940522-1298</Url>
      <Description>SP-5AIRPNAIUNRU-1830940522-1298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4.xml><?xml version="1.0" encoding="utf-8"?>
<ds:datastoreItem xmlns:ds="http://schemas.openxmlformats.org/officeDocument/2006/customXml" ds:itemID="{B01F18FE-E5FD-4CA5-8782-1BB25763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1CA4FE-E0A7-4C14-B7DA-E2025CB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6</Pages>
  <Words>2089</Words>
  <Characters>16921</Characters>
  <Application>Microsoft Office Word</Application>
  <DocSecurity>0</DocSecurity>
  <Lines>141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Karol</cp:lastModifiedBy>
  <cp:revision>13</cp:revision>
  <cp:lastPrinted>2016-06-20T11:35:00Z</cp:lastPrinted>
  <dcterms:created xsi:type="dcterms:W3CDTF">2017-06-16T14:20:00Z</dcterms:created>
  <dcterms:modified xsi:type="dcterms:W3CDTF">2017-06-16T16:29:00Z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cc152ff9-173d-47b4-9035-d147b6d5dc5f</vt:lpwstr>
  </property>
</Properties>
</file>